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D28A" w14:textId="73DB23D4" w:rsidR="00165C11" w:rsidRDefault="00B74298">
      <w:pPr>
        <w:rPr>
          <w:rFonts w:ascii="標楷體" w:eastAsia="標楷體" w:hAnsi="標楷體"/>
          <w:b/>
          <w:sz w:val="36"/>
          <w:szCs w:val="36"/>
        </w:rPr>
      </w:pPr>
      <w:r w:rsidRPr="00B74298">
        <w:rPr>
          <w:rFonts w:ascii="標楷體" w:eastAsia="標楷體" w:hAnsi="標楷體" w:hint="eastAsia"/>
          <w:b/>
          <w:sz w:val="36"/>
          <w:szCs w:val="36"/>
        </w:rPr>
        <w:t>臺灣證券交易所股份有限公司對有價證券上市公司重大訊息之查證暨公開處理程序</w:t>
      </w:r>
      <w:r w:rsidR="0094605E">
        <w:rPr>
          <w:rFonts w:ascii="標楷體" w:eastAsia="標楷體" w:hAnsi="標楷體" w:hint="eastAsia"/>
          <w:b/>
          <w:sz w:val="36"/>
          <w:szCs w:val="36"/>
        </w:rPr>
        <w:t>第四條</w:t>
      </w:r>
      <w:r w:rsidR="00285E16" w:rsidRPr="00F5581C">
        <w:rPr>
          <w:rFonts w:ascii="標楷體" w:eastAsia="標楷體" w:hAnsi="標楷體" w:hint="eastAsia"/>
          <w:b/>
          <w:sz w:val="36"/>
          <w:szCs w:val="36"/>
        </w:rPr>
        <w:t>修正</w:t>
      </w:r>
      <w:r w:rsidR="00285E16">
        <w:rPr>
          <w:rFonts w:ascii="標楷體" w:eastAsia="標楷體" w:hAnsi="標楷體" w:hint="eastAsia"/>
          <w:b/>
          <w:sz w:val="36"/>
          <w:szCs w:val="36"/>
        </w:rPr>
        <w:t>條</w:t>
      </w:r>
      <w:r w:rsidR="00285E16">
        <w:rPr>
          <w:rFonts w:ascii="標楷體" w:eastAsia="標楷體" w:hAnsi="標楷體"/>
          <w:b/>
          <w:sz w:val="36"/>
          <w:szCs w:val="36"/>
        </w:rPr>
        <w:t>文</w:t>
      </w:r>
      <w:r w:rsidR="00285E16" w:rsidRPr="00F5581C">
        <w:rPr>
          <w:rFonts w:ascii="標楷體" w:eastAsia="標楷體" w:hAnsi="標楷體" w:hint="eastAsia"/>
          <w:b/>
          <w:sz w:val="36"/>
          <w:szCs w:val="36"/>
        </w:rPr>
        <w:t>對照表</w:t>
      </w:r>
    </w:p>
    <w:tbl>
      <w:tblPr>
        <w:tblStyle w:val="a3"/>
        <w:tblW w:w="10775" w:type="dxa"/>
        <w:tblInd w:w="-1139" w:type="dxa"/>
        <w:tblLook w:val="04A0" w:firstRow="1" w:lastRow="0" w:firstColumn="1" w:lastColumn="0" w:noHBand="0" w:noVBand="1"/>
      </w:tblPr>
      <w:tblGrid>
        <w:gridCol w:w="3591"/>
        <w:gridCol w:w="3592"/>
        <w:gridCol w:w="3592"/>
      </w:tblGrid>
      <w:tr w:rsidR="005315CD" w14:paraId="0CD23003" w14:textId="77777777" w:rsidTr="00947C36">
        <w:tc>
          <w:tcPr>
            <w:tcW w:w="3591" w:type="dxa"/>
          </w:tcPr>
          <w:p w14:paraId="353FB55A"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修正條文</w:t>
            </w:r>
          </w:p>
        </w:tc>
        <w:tc>
          <w:tcPr>
            <w:tcW w:w="3592" w:type="dxa"/>
          </w:tcPr>
          <w:p w14:paraId="681D0087"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現行條文</w:t>
            </w:r>
          </w:p>
        </w:tc>
        <w:tc>
          <w:tcPr>
            <w:tcW w:w="3592" w:type="dxa"/>
          </w:tcPr>
          <w:p w14:paraId="3BAA3C25"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說明</w:t>
            </w:r>
          </w:p>
        </w:tc>
      </w:tr>
      <w:tr w:rsidR="000855D1" w:rsidRPr="00F958B0" w14:paraId="48D7E323" w14:textId="77777777" w:rsidTr="00947C36">
        <w:tc>
          <w:tcPr>
            <w:tcW w:w="3591" w:type="dxa"/>
          </w:tcPr>
          <w:p w14:paraId="011F25C0" w14:textId="77777777" w:rsidR="000855D1" w:rsidRDefault="000855D1" w:rsidP="000855D1">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第四</w:t>
            </w:r>
            <w:r>
              <w:rPr>
                <w:rFonts w:ascii="Times New Roman" w:eastAsia="標楷體" w:hAnsi="Times New Roman" w:cs="Times New Roman"/>
                <w:color w:val="000000" w:themeColor="text1"/>
              </w:rPr>
              <w:t>條</w:t>
            </w:r>
          </w:p>
          <w:p w14:paraId="22F7E369" w14:textId="77777777" w:rsidR="000855D1" w:rsidRDefault="000855D1" w:rsidP="000855D1">
            <w:pPr>
              <w:ind w:firstLineChars="200" w:firstLine="480"/>
              <w:rPr>
                <w:rFonts w:ascii="標楷體" w:eastAsia="標楷體" w:hAnsi="標楷體" w:cs="細明體"/>
                <w:color w:val="000000" w:themeColor="text1"/>
              </w:rPr>
            </w:pPr>
            <w:r w:rsidRPr="00F5581C">
              <w:rPr>
                <w:rFonts w:ascii="標楷體" w:eastAsia="標楷體" w:hAnsi="標楷體" w:cs="細明體" w:hint="eastAsia"/>
                <w:color w:val="000000" w:themeColor="text1"/>
              </w:rPr>
              <w:t>上市公司重大訊息，係指下列事項：</w:t>
            </w:r>
          </w:p>
          <w:p w14:paraId="1ADBF084" w14:textId="0C623024" w:rsidR="000855D1" w:rsidRDefault="000855D1" w:rsidP="000855D1">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第一款至第十八款略</w:t>
            </w:r>
            <w:r>
              <w:rPr>
                <w:rFonts w:ascii="Times New Roman" w:eastAsia="標楷體" w:hAnsi="Times New Roman" w:cs="Times New Roman" w:hint="eastAsia"/>
                <w:color w:val="000000" w:themeColor="text1"/>
              </w:rPr>
              <w:t>)</w:t>
            </w:r>
          </w:p>
          <w:p w14:paraId="4F68D86E" w14:textId="64BFEA49" w:rsidR="000855D1" w:rsidRDefault="000855D1" w:rsidP="00DC27F3">
            <w:pPr>
              <w:ind w:left="746" w:hangingChars="311" w:hanging="74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十九、</w:t>
            </w:r>
            <w:r w:rsidR="00AE0BD3" w:rsidRPr="00AE0BD3">
              <w:rPr>
                <w:rFonts w:ascii="Times New Roman" w:eastAsia="標楷體" w:hAnsi="Times New Roman" w:cs="Times New Roman" w:hint="eastAsia"/>
                <w:color w:val="000000" w:themeColor="text1"/>
              </w:rPr>
              <w:t>公司發生內部控制舞弊、非常規交易或掏空資產等重大事件；或遭依法執行搜索者</w:t>
            </w:r>
            <w:r w:rsidR="00907515">
              <w:rPr>
                <w:rFonts w:ascii="Times New Roman" w:eastAsia="標楷體" w:hAnsi="Times New Roman" w:cs="Times New Roman" w:hint="eastAsia"/>
                <w:color w:val="FF0000"/>
                <w:u w:val="single"/>
              </w:rPr>
              <w:t>；或董事長、總經理遭通緝</w:t>
            </w:r>
            <w:r w:rsidR="00AE0BD3" w:rsidRPr="00AE0BD3">
              <w:rPr>
                <w:rFonts w:ascii="Times New Roman" w:eastAsia="標楷體" w:hAnsi="Times New Roman" w:cs="Times New Roman" w:hint="eastAsia"/>
                <w:color w:val="FF0000"/>
                <w:u w:val="single"/>
              </w:rPr>
              <w:t>者</w:t>
            </w:r>
            <w:r w:rsidR="00AE0BD3" w:rsidRPr="00AE0BD3">
              <w:rPr>
                <w:rFonts w:ascii="Times New Roman" w:eastAsia="標楷體" w:hAnsi="Times New Roman" w:cs="Times New Roman" w:hint="eastAsia"/>
                <w:color w:val="000000" w:themeColor="text1"/>
              </w:rPr>
              <w:t>。</w:t>
            </w:r>
          </w:p>
          <w:p w14:paraId="1CF68E3E" w14:textId="6A41F94B" w:rsidR="000855D1" w:rsidRDefault="000855D1" w:rsidP="000855D1">
            <w:pPr>
              <w:ind w:left="480" w:hangingChars="200" w:hanging="480"/>
              <w:rPr>
                <w:rFonts w:ascii="標楷體" w:eastAsia="標楷體" w:hAnsi="標楷體" w:cs="細明體"/>
                <w:color w:val="000000" w:themeColor="text1"/>
              </w:rPr>
            </w:pPr>
            <w:r>
              <w:rPr>
                <w:rFonts w:ascii="標楷體" w:eastAsia="標楷體" w:hAnsi="標楷體" w:cs="細明體" w:hint="eastAsia"/>
                <w:color w:val="000000" w:themeColor="text1"/>
              </w:rPr>
              <w:t>(</w:t>
            </w:r>
            <w:r w:rsidR="00A70145">
              <w:rPr>
                <w:rFonts w:ascii="標楷體" w:eastAsia="標楷體" w:hAnsi="標楷體" w:cs="細明體" w:hint="eastAsia"/>
                <w:color w:val="000000" w:themeColor="text1"/>
              </w:rPr>
              <w:t>第二十款至第三十款略</w:t>
            </w:r>
            <w:r>
              <w:rPr>
                <w:rFonts w:ascii="標楷體" w:eastAsia="標楷體" w:hAnsi="標楷體" w:cs="細明體" w:hint="eastAsia"/>
                <w:color w:val="000000" w:themeColor="text1"/>
              </w:rPr>
              <w:t>)</w:t>
            </w:r>
          </w:p>
          <w:p w14:paraId="5B5486D5" w14:textId="77777777" w:rsidR="00A70145" w:rsidRDefault="00A70145" w:rsidP="008E0EF5">
            <w:pPr>
              <w:widowControl/>
              <w:tabs>
                <w:tab w:val="left" w:pos="6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Chars="-43" w:left="463" w:hangingChars="236" w:hanging="566"/>
              <w:jc w:val="both"/>
              <w:rPr>
                <w:rFonts w:ascii="標楷體" w:eastAsia="標楷體" w:hAnsi="標楷體"/>
                <w:color w:val="000000"/>
                <w:kern w:val="3"/>
                <w:szCs w:val="24"/>
              </w:rPr>
            </w:pPr>
            <w:r w:rsidRPr="004E2189">
              <w:rPr>
                <w:rFonts w:ascii="標楷體" w:eastAsia="標楷體" w:hAnsi="標楷體" w:hint="eastAsia"/>
                <w:color w:val="000000"/>
                <w:kern w:val="3"/>
              </w:rPr>
              <w:t>三十一、上市公司有下列情事之一，但屬第七條第二項、第三項或第五項上市公司應代為申報重大</w:t>
            </w:r>
            <w:r w:rsidRPr="004E2189">
              <w:rPr>
                <w:rFonts w:ascii="標楷體" w:eastAsia="標楷體" w:hAnsi="標楷體" w:hint="eastAsia"/>
                <w:color w:val="000000"/>
                <w:kern w:val="3"/>
                <w:szCs w:val="24"/>
              </w:rPr>
              <w:t>訊息者，不適用之：</w:t>
            </w:r>
          </w:p>
          <w:p w14:paraId="54C57DB5" w14:textId="77777777" w:rsidR="00A70145" w:rsidRPr="004E2189" w:rsidRDefault="00A70145" w:rsidP="00DC2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Chars="-42" w:left="463" w:hangingChars="235" w:hanging="564"/>
              <w:jc w:val="both"/>
              <w:rPr>
                <w:rFonts w:ascii="標楷體" w:eastAsia="標楷體" w:hAnsi="標楷體"/>
                <w:color w:val="000000"/>
                <w:kern w:val="3"/>
                <w:szCs w:val="24"/>
              </w:rPr>
            </w:pPr>
            <w:r w:rsidRPr="00E23281">
              <w:rPr>
                <w:rFonts w:ascii="標楷體" w:eastAsia="標楷體" w:hAnsi="標楷體" w:hint="eastAsia"/>
                <w:kern w:val="3"/>
                <w:szCs w:val="24"/>
              </w:rPr>
              <w:t>（一）</w:t>
            </w:r>
            <w:r w:rsidRPr="004E2189">
              <w:rPr>
                <w:rFonts w:ascii="標楷體" w:eastAsia="標楷體" w:hAnsi="標楷體" w:hint="eastAsia"/>
                <w:color w:val="000000"/>
                <w:kern w:val="3"/>
                <w:szCs w:val="24"/>
              </w:rPr>
              <w:t>財務報告提報董事會或經董事會決議，但已依本款第二目規定發布重大訊息且內容一致者，不在此限；</w:t>
            </w:r>
          </w:p>
          <w:p w14:paraId="37746AE9" w14:textId="77777777" w:rsidR="00A70145" w:rsidRPr="004E2189" w:rsidRDefault="00A70145" w:rsidP="00DC2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Chars="1" w:left="463" w:hangingChars="192" w:hanging="461"/>
              <w:jc w:val="both"/>
              <w:rPr>
                <w:rFonts w:ascii="標楷體" w:eastAsia="標楷體" w:hAnsi="標楷體"/>
                <w:color w:val="000000"/>
                <w:kern w:val="3"/>
                <w:szCs w:val="24"/>
              </w:rPr>
            </w:pPr>
            <w:r w:rsidRPr="00E23281">
              <w:rPr>
                <w:rFonts w:ascii="標楷體" w:eastAsia="標楷體" w:hAnsi="標楷體" w:hint="eastAsia"/>
                <w:kern w:val="3"/>
                <w:szCs w:val="24"/>
              </w:rPr>
              <w:t>(二)</w:t>
            </w:r>
            <w:r w:rsidRPr="004E2189">
              <w:rPr>
                <w:rFonts w:ascii="標楷體" w:eastAsia="標楷體" w:hAnsi="標楷體" w:hint="eastAsia"/>
                <w:color w:val="000000"/>
                <w:kern w:val="3"/>
                <w:szCs w:val="24"/>
              </w:rPr>
              <w:t>依據本公司「對有價證券上市公司及境外指數股票型基金上市之境外基金機構資訊申報作業辦法」第三條之五經董</w:t>
            </w:r>
            <w:r>
              <w:rPr>
                <w:rFonts w:ascii="標楷體" w:eastAsia="標楷體" w:hAnsi="標楷體" w:hint="eastAsia"/>
                <w:color w:val="000000"/>
                <w:kern w:val="3"/>
                <w:szCs w:val="24"/>
              </w:rPr>
              <w:t>事會通過年度自結財務資訊者</w:t>
            </w:r>
            <w:r w:rsidRPr="005F0128">
              <w:rPr>
                <w:rFonts w:ascii="標楷體" w:eastAsia="標楷體" w:hAnsi="標楷體" w:hint="eastAsia"/>
                <w:color w:val="FF0000"/>
                <w:kern w:val="3"/>
                <w:szCs w:val="24"/>
                <w:u w:val="single"/>
              </w:rPr>
              <w:t>；</w:t>
            </w:r>
          </w:p>
          <w:p w14:paraId="29D8AF14" w14:textId="77777777" w:rsidR="00A70145" w:rsidRDefault="00A70145" w:rsidP="00DC27F3">
            <w:pPr>
              <w:ind w:leftChars="1" w:left="463" w:hangingChars="192" w:hanging="461"/>
              <w:rPr>
                <w:rFonts w:ascii="標楷體" w:eastAsia="標楷體" w:hAnsi="標楷體"/>
                <w:color w:val="FF0000"/>
                <w:kern w:val="3"/>
                <w:szCs w:val="24"/>
                <w:u w:val="single"/>
              </w:rPr>
            </w:pPr>
            <w:r w:rsidRPr="003F73B9">
              <w:rPr>
                <w:rFonts w:ascii="標楷體" w:eastAsia="標楷體" w:hAnsi="標楷體" w:hint="eastAsia"/>
                <w:color w:val="FF0000"/>
                <w:kern w:val="3"/>
                <w:szCs w:val="24"/>
                <w:u w:val="single"/>
              </w:rPr>
              <w:t>(</w:t>
            </w:r>
            <w:r>
              <w:rPr>
                <w:rFonts w:ascii="標楷體" w:eastAsia="標楷體" w:hAnsi="標楷體" w:hint="eastAsia"/>
                <w:color w:val="FF0000"/>
                <w:kern w:val="3"/>
                <w:szCs w:val="24"/>
                <w:u w:val="single"/>
              </w:rPr>
              <w:t>三</w:t>
            </w:r>
            <w:r w:rsidRPr="003F73B9">
              <w:rPr>
                <w:rFonts w:ascii="標楷體" w:eastAsia="標楷體" w:hAnsi="標楷體" w:hint="eastAsia"/>
                <w:color w:val="FF0000"/>
                <w:kern w:val="3"/>
                <w:szCs w:val="24"/>
                <w:u w:val="single"/>
              </w:rPr>
              <w:t>)</w:t>
            </w:r>
            <w:r>
              <w:rPr>
                <w:rFonts w:ascii="標楷體" w:eastAsia="標楷體" w:hAnsi="標楷體" w:hint="eastAsia"/>
                <w:color w:val="FF0000"/>
                <w:kern w:val="3"/>
                <w:szCs w:val="24"/>
                <w:u w:val="single"/>
              </w:rPr>
              <w:t>依據「</w:t>
            </w:r>
            <w:r w:rsidRPr="00CE420B">
              <w:rPr>
                <w:rFonts w:ascii="標楷體" w:eastAsia="標楷體" w:hAnsi="標楷體" w:hint="eastAsia"/>
                <w:color w:val="FF0000"/>
                <w:kern w:val="3"/>
                <w:szCs w:val="24"/>
                <w:u w:val="single"/>
              </w:rPr>
              <w:t>公開發行公司董事會議事辦法</w:t>
            </w:r>
            <w:r>
              <w:rPr>
                <w:rFonts w:ascii="標楷體" w:eastAsia="標楷體" w:hAnsi="標楷體" w:hint="eastAsia"/>
                <w:color w:val="FF0000"/>
                <w:kern w:val="3"/>
                <w:szCs w:val="24"/>
                <w:u w:val="single"/>
              </w:rPr>
              <w:t>」第三條第二項規定</w:t>
            </w:r>
            <w:r w:rsidRPr="003512BA">
              <w:rPr>
                <w:rFonts w:ascii="標楷體" w:eastAsia="標楷體" w:hAnsi="標楷體" w:hint="eastAsia"/>
                <w:color w:val="FF0000"/>
                <w:kern w:val="3"/>
                <w:szCs w:val="24"/>
                <w:u w:val="single"/>
              </w:rPr>
              <w:t>，</w:t>
            </w:r>
            <w:r>
              <w:rPr>
                <w:rFonts w:ascii="標楷體" w:eastAsia="標楷體" w:hAnsi="標楷體" w:hint="eastAsia"/>
                <w:color w:val="FF0000"/>
                <w:kern w:val="3"/>
                <w:szCs w:val="24"/>
                <w:u w:val="single"/>
              </w:rPr>
              <w:t>辦理本款</w:t>
            </w:r>
            <w:r w:rsidRPr="003512BA">
              <w:rPr>
                <w:rFonts w:ascii="標楷體" w:eastAsia="標楷體" w:hAnsi="標楷體" w:hint="eastAsia"/>
                <w:color w:val="FF0000"/>
                <w:kern w:val="3"/>
                <w:szCs w:val="24"/>
                <w:u w:val="single"/>
              </w:rPr>
              <w:t>第一目或第二目</w:t>
            </w:r>
            <w:r>
              <w:rPr>
                <w:rFonts w:ascii="標楷體" w:eastAsia="標楷體" w:hAnsi="標楷體" w:hint="eastAsia"/>
                <w:color w:val="FF0000"/>
                <w:kern w:val="3"/>
                <w:szCs w:val="24"/>
                <w:u w:val="single"/>
              </w:rPr>
              <w:t>之董事會召集通知</w:t>
            </w:r>
            <w:r w:rsidRPr="003512BA">
              <w:rPr>
                <w:rFonts w:ascii="標楷體" w:eastAsia="標楷體" w:hAnsi="標楷體" w:hint="eastAsia"/>
                <w:color w:val="FF0000"/>
                <w:kern w:val="3"/>
                <w:szCs w:val="24"/>
                <w:u w:val="single"/>
              </w:rPr>
              <w:t>者</w:t>
            </w:r>
            <w:r w:rsidRPr="00962E79">
              <w:rPr>
                <w:rFonts w:ascii="標楷體" w:eastAsia="標楷體" w:hAnsi="標楷體" w:hint="eastAsia"/>
                <w:color w:val="FF0000"/>
                <w:kern w:val="3"/>
                <w:szCs w:val="24"/>
                <w:u w:val="single"/>
              </w:rPr>
              <w:t>；或前開事項有變更者。</w:t>
            </w:r>
          </w:p>
          <w:p w14:paraId="6AE3157D" w14:textId="5D437A4F" w:rsidR="00A70145" w:rsidRDefault="00A70145" w:rsidP="00A70145">
            <w:pPr>
              <w:ind w:left="480" w:hangingChars="200" w:hanging="480"/>
              <w:rPr>
                <w:rFonts w:ascii="Times New Roman" w:eastAsia="標楷體" w:hAnsi="Times New Roman" w:cs="Times New Roman" w:hint="eastAsia"/>
                <w:color w:val="000000" w:themeColor="text1"/>
              </w:rPr>
            </w:pPr>
            <w:r>
              <w:rPr>
                <w:rFonts w:ascii="標楷體" w:eastAsia="標楷體" w:hAnsi="標楷體" w:cs="細明體" w:hint="eastAsia"/>
                <w:color w:val="000000" w:themeColor="text1"/>
              </w:rPr>
              <w:t>(以下略)</w:t>
            </w:r>
          </w:p>
        </w:tc>
        <w:tc>
          <w:tcPr>
            <w:tcW w:w="3592" w:type="dxa"/>
          </w:tcPr>
          <w:p w14:paraId="5288003A" w14:textId="77777777" w:rsidR="000855D1" w:rsidRDefault="000855D1" w:rsidP="000855D1">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第四</w:t>
            </w:r>
            <w:r>
              <w:rPr>
                <w:rFonts w:ascii="Times New Roman" w:eastAsia="標楷體" w:hAnsi="Times New Roman" w:cs="Times New Roman"/>
                <w:color w:val="000000" w:themeColor="text1"/>
              </w:rPr>
              <w:t>條</w:t>
            </w:r>
          </w:p>
          <w:p w14:paraId="467D904E" w14:textId="77777777" w:rsidR="000855D1" w:rsidRDefault="000855D1" w:rsidP="000855D1">
            <w:pPr>
              <w:ind w:firstLineChars="200" w:firstLine="480"/>
              <w:rPr>
                <w:rFonts w:ascii="標楷體" w:eastAsia="標楷體" w:hAnsi="標楷體" w:cs="細明體"/>
                <w:color w:val="000000" w:themeColor="text1"/>
              </w:rPr>
            </w:pPr>
            <w:r w:rsidRPr="00F5581C">
              <w:rPr>
                <w:rFonts w:ascii="標楷體" w:eastAsia="標楷體" w:hAnsi="標楷體" w:cs="細明體" w:hint="eastAsia"/>
                <w:color w:val="000000" w:themeColor="text1"/>
              </w:rPr>
              <w:t>上市公司重大訊息，係指下列事項：</w:t>
            </w:r>
          </w:p>
          <w:p w14:paraId="5A15D501" w14:textId="77777777" w:rsidR="000855D1" w:rsidRDefault="000855D1" w:rsidP="000855D1">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第一款至第十八款略</w:t>
            </w:r>
            <w:r>
              <w:rPr>
                <w:rFonts w:ascii="Times New Roman" w:eastAsia="標楷體" w:hAnsi="Times New Roman" w:cs="Times New Roman" w:hint="eastAsia"/>
                <w:color w:val="000000" w:themeColor="text1"/>
              </w:rPr>
              <w:t>)</w:t>
            </w:r>
          </w:p>
          <w:p w14:paraId="12996AF2" w14:textId="77777777" w:rsidR="000855D1" w:rsidRDefault="000855D1" w:rsidP="00DC27F3">
            <w:pPr>
              <w:ind w:left="691" w:hangingChars="288" w:hanging="691"/>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十九、</w:t>
            </w:r>
            <w:r w:rsidRPr="000855D1">
              <w:rPr>
                <w:rFonts w:ascii="Times New Roman" w:eastAsia="標楷體" w:hAnsi="Times New Roman" w:cs="Times New Roman" w:hint="eastAsia"/>
                <w:color w:val="000000" w:themeColor="text1"/>
              </w:rPr>
              <w:t>有發生內部控制舞弊、非常規交易或掏空資產等重大事件；或遭依法執行搜索者。</w:t>
            </w:r>
          </w:p>
          <w:p w14:paraId="384DE685" w14:textId="20A3807A" w:rsidR="00A70145" w:rsidRDefault="00A70145" w:rsidP="000855D1">
            <w:pPr>
              <w:rPr>
                <w:rFonts w:ascii="標楷體" w:eastAsia="標楷體" w:hAnsi="標楷體" w:cs="細明體"/>
                <w:color w:val="000000" w:themeColor="text1"/>
              </w:rPr>
            </w:pPr>
            <w:r>
              <w:rPr>
                <w:rFonts w:ascii="標楷體" w:eastAsia="標楷體" w:hAnsi="標楷體" w:cs="細明體" w:hint="eastAsia"/>
                <w:color w:val="000000" w:themeColor="text1"/>
              </w:rPr>
              <w:t>(第二十款至第三十款略)</w:t>
            </w:r>
          </w:p>
          <w:p w14:paraId="3B848B4F" w14:textId="77777777" w:rsidR="00B1492E" w:rsidRDefault="00B1492E" w:rsidP="000855D1">
            <w:pPr>
              <w:rPr>
                <w:rFonts w:ascii="標楷體" w:eastAsia="標楷體" w:hAnsi="標楷體" w:cs="細明體"/>
                <w:color w:val="000000" w:themeColor="text1"/>
              </w:rPr>
            </w:pPr>
          </w:p>
          <w:p w14:paraId="72DFC4EC" w14:textId="43B15124" w:rsidR="00A70145" w:rsidRPr="004E2189" w:rsidRDefault="00A70145" w:rsidP="008E0EF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Chars="-7" w:left="408" w:hangingChars="177" w:hanging="425"/>
              <w:jc w:val="both"/>
              <w:rPr>
                <w:rFonts w:ascii="標楷體" w:eastAsia="標楷體" w:hAnsi="標楷體"/>
                <w:color w:val="000000"/>
                <w:kern w:val="3"/>
                <w:szCs w:val="24"/>
              </w:rPr>
            </w:pPr>
            <w:r w:rsidRPr="004E2189">
              <w:rPr>
                <w:rFonts w:ascii="標楷體" w:eastAsia="標楷體" w:hAnsi="標楷體" w:hint="eastAsia"/>
                <w:color w:val="000000"/>
                <w:kern w:val="3"/>
              </w:rPr>
              <w:t>三十一、上市公司有下列情事之一，但屬第七條第二項、第三項或第五項上市公司應代為申報重大</w:t>
            </w:r>
            <w:r w:rsidRPr="004E2189">
              <w:rPr>
                <w:rFonts w:ascii="標楷體" w:eastAsia="標楷體" w:hAnsi="標楷體" w:hint="eastAsia"/>
                <w:color w:val="000000"/>
                <w:kern w:val="3"/>
                <w:szCs w:val="24"/>
              </w:rPr>
              <w:t>訊息者，不適用之：</w:t>
            </w:r>
          </w:p>
          <w:p w14:paraId="0D92941D" w14:textId="77777777" w:rsidR="00A70145" w:rsidRPr="004E2189" w:rsidRDefault="00A70145" w:rsidP="00DC2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Chars="-47" w:left="408" w:hangingChars="217" w:hanging="521"/>
              <w:jc w:val="both"/>
              <w:rPr>
                <w:rFonts w:ascii="標楷體" w:eastAsia="標楷體" w:hAnsi="標楷體"/>
                <w:color w:val="000000"/>
                <w:kern w:val="3"/>
                <w:szCs w:val="24"/>
              </w:rPr>
            </w:pPr>
            <w:r w:rsidRPr="004E2189">
              <w:rPr>
                <w:rFonts w:ascii="標楷體" w:eastAsia="標楷體" w:hAnsi="標楷體" w:hint="eastAsia"/>
                <w:color w:val="000000"/>
                <w:kern w:val="3"/>
                <w:szCs w:val="24"/>
              </w:rPr>
              <w:t>（一）財務報告提報董事會或經董事會決議，但已依本款第二目規定發布重大訊息且內容一致者，不在此限；</w:t>
            </w:r>
          </w:p>
          <w:p w14:paraId="23F6C17A" w14:textId="4B48D21C" w:rsidR="00A70145" w:rsidRDefault="00A70145" w:rsidP="00DC27F3">
            <w:pPr>
              <w:ind w:leftChars="-6" w:left="408" w:hangingChars="176" w:hanging="422"/>
              <w:rPr>
                <w:rFonts w:ascii="標楷體" w:eastAsia="標楷體" w:hAnsi="標楷體" w:cs="細明體"/>
                <w:color w:val="000000" w:themeColor="text1"/>
              </w:rPr>
            </w:pPr>
            <w:r w:rsidRPr="004E2189">
              <w:rPr>
                <w:rFonts w:ascii="標楷體" w:eastAsia="標楷體" w:hAnsi="標楷體" w:hint="eastAsia"/>
                <w:color w:val="000000"/>
                <w:kern w:val="3"/>
                <w:szCs w:val="24"/>
              </w:rPr>
              <w:t>(二)依據本公司「對有價證券上市公司及境外指數股票型基金上市之境外基金機構資訊申報作業辦法」第三條之五經董事會通過年度自結財務資訊者。</w:t>
            </w:r>
          </w:p>
          <w:p w14:paraId="24BC586B" w14:textId="1F914AFE" w:rsidR="000855D1" w:rsidRDefault="000855D1" w:rsidP="000855D1">
            <w:pPr>
              <w:rPr>
                <w:rFonts w:ascii="Times New Roman" w:eastAsia="標楷體" w:hAnsi="Times New Roman" w:cs="Times New Roman"/>
                <w:color w:val="000000" w:themeColor="text1"/>
              </w:rPr>
            </w:pPr>
            <w:r>
              <w:rPr>
                <w:rFonts w:ascii="標楷體" w:eastAsia="標楷體" w:hAnsi="標楷體" w:cs="細明體" w:hint="eastAsia"/>
                <w:color w:val="000000" w:themeColor="text1"/>
              </w:rPr>
              <w:t>(以下略)</w:t>
            </w:r>
          </w:p>
        </w:tc>
        <w:tc>
          <w:tcPr>
            <w:tcW w:w="3592" w:type="dxa"/>
          </w:tcPr>
          <w:p w14:paraId="7A2DB6B7" w14:textId="77777777" w:rsidR="000855D1" w:rsidRDefault="000855D1" w:rsidP="000855D1">
            <w:pPr>
              <w:rPr>
                <w:rFonts w:ascii="Times New Roman" w:eastAsia="標楷體" w:hAnsi="Times New Roman" w:cs="Times New Roman"/>
                <w:color w:val="000000" w:themeColor="text1"/>
              </w:rPr>
            </w:pPr>
          </w:p>
          <w:p w14:paraId="70F4E3C0" w14:textId="77777777" w:rsidR="000855D1" w:rsidRDefault="000855D1" w:rsidP="000855D1">
            <w:pPr>
              <w:rPr>
                <w:rFonts w:ascii="Times New Roman" w:eastAsia="標楷體" w:hAnsi="Times New Roman" w:cs="Times New Roman"/>
                <w:color w:val="000000" w:themeColor="text1"/>
              </w:rPr>
            </w:pPr>
          </w:p>
          <w:p w14:paraId="00FE41EB" w14:textId="77777777" w:rsidR="000855D1" w:rsidRDefault="000855D1" w:rsidP="000855D1">
            <w:pPr>
              <w:rPr>
                <w:rFonts w:ascii="Times New Roman" w:eastAsia="標楷體" w:hAnsi="Times New Roman" w:cs="Times New Roman"/>
                <w:color w:val="000000" w:themeColor="text1"/>
              </w:rPr>
            </w:pPr>
          </w:p>
          <w:p w14:paraId="1414EB56" w14:textId="77777777" w:rsidR="000855D1" w:rsidRDefault="000855D1" w:rsidP="000855D1">
            <w:pPr>
              <w:rPr>
                <w:rFonts w:ascii="Times New Roman" w:eastAsia="標楷體" w:hAnsi="Times New Roman" w:cs="Times New Roman"/>
                <w:color w:val="000000" w:themeColor="text1"/>
              </w:rPr>
            </w:pPr>
          </w:p>
          <w:p w14:paraId="4839F232" w14:textId="77777777" w:rsidR="00A70145" w:rsidRDefault="000855D1" w:rsidP="00A70145">
            <w:pPr>
              <w:pStyle w:val="af3"/>
              <w:rPr>
                <w:rFonts w:hint="eastAsia"/>
              </w:rPr>
            </w:pPr>
            <w:r>
              <w:rPr>
                <w:rFonts w:hint="eastAsia"/>
              </w:rPr>
              <w:t>為維護股東權益</w:t>
            </w:r>
            <w:r w:rsidRPr="00084913">
              <w:rPr>
                <w:rFonts w:hint="eastAsia"/>
              </w:rPr>
              <w:t>，公司</w:t>
            </w:r>
            <w:r>
              <w:rPr>
                <w:rFonts w:hint="eastAsia"/>
              </w:rPr>
              <w:t>董事</w:t>
            </w:r>
            <w:r w:rsidR="00000498">
              <w:rPr>
                <w:rFonts w:hint="eastAsia"/>
              </w:rPr>
              <w:t>長</w:t>
            </w:r>
            <w:r>
              <w:rPr>
                <w:rFonts w:hint="eastAsia"/>
              </w:rPr>
              <w:t>或總經理遭通緝</w:t>
            </w:r>
            <w:r w:rsidR="00AE0BD3" w:rsidRPr="00AE0BD3">
              <w:rPr>
                <w:rFonts w:hint="eastAsia"/>
              </w:rPr>
              <w:t>者</w:t>
            </w:r>
            <w:r w:rsidRPr="00084913">
              <w:rPr>
                <w:rFonts w:hint="eastAsia"/>
              </w:rPr>
              <w:t>，</w:t>
            </w:r>
            <w:r>
              <w:rPr>
                <w:rFonts w:hint="eastAsia"/>
              </w:rPr>
              <w:t>公司</w:t>
            </w:r>
            <w:r w:rsidRPr="00084913">
              <w:rPr>
                <w:rFonts w:hint="eastAsia"/>
              </w:rPr>
              <w:t>應發布重大訊息</w:t>
            </w:r>
            <w:r>
              <w:rPr>
                <w:rFonts w:hint="eastAsia"/>
              </w:rPr>
              <w:t>說明相關事宜</w:t>
            </w:r>
            <w:r w:rsidRPr="00084913">
              <w:rPr>
                <w:rFonts w:hint="eastAsia"/>
              </w:rPr>
              <w:t>俾</w:t>
            </w:r>
            <w:r>
              <w:rPr>
                <w:rFonts w:hint="eastAsia"/>
              </w:rPr>
              <w:t>股東知悉</w:t>
            </w:r>
            <w:r w:rsidRPr="00084913">
              <w:rPr>
                <w:rFonts w:hint="eastAsia"/>
              </w:rPr>
              <w:t>，爰</w:t>
            </w:r>
            <w:r>
              <w:rPr>
                <w:rFonts w:hint="eastAsia"/>
              </w:rPr>
              <w:t>修</w:t>
            </w:r>
            <w:r w:rsidRPr="00084913">
              <w:rPr>
                <w:rFonts w:hint="eastAsia"/>
              </w:rPr>
              <w:t>訂</w:t>
            </w:r>
            <w:r w:rsidR="001E5A98">
              <w:rPr>
                <w:rFonts w:hint="eastAsia"/>
              </w:rPr>
              <w:t>第四條第一項</w:t>
            </w:r>
            <w:r>
              <w:rPr>
                <w:rFonts w:hint="eastAsia"/>
              </w:rPr>
              <w:t>第十九</w:t>
            </w:r>
            <w:r w:rsidRPr="00084913">
              <w:rPr>
                <w:rFonts w:hint="eastAsia"/>
              </w:rPr>
              <w:t>款</w:t>
            </w:r>
            <w:r w:rsidR="00AE0BD3">
              <w:rPr>
                <w:rFonts w:hint="eastAsia"/>
              </w:rPr>
              <w:t>後段</w:t>
            </w:r>
            <w:r w:rsidRPr="00084913">
              <w:rPr>
                <w:rFonts w:hint="eastAsia"/>
              </w:rPr>
              <w:t>文字，以</w:t>
            </w:r>
            <w:r w:rsidR="00EB30E5">
              <w:rPr>
                <w:rFonts w:hint="eastAsia"/>
              </w:rPr>
              <w:t>茲</w:t>
            </w:r>
            <w:r>
              <w:rPr>
                <w:rFonts w:hint="eastAsia"/>
              </w:rPr>
              <w:t>上市公司遵循辦理</w:t>
            </w:r>
            <w:r w:rsidRPr="00084913">
              <w:rPr>
                <w:rFonts w:hint="eastAsia"/>
              </w:rPr>
              <w:t>。</w:t>
            </w:r>
          </w:p>
          <w:p w14:paraId="1EC099CA" w14:textId="77777777" w:rsidR="00A70145" w:rsidRDefault="00A70145" w:rsidP="00A70145"/>
          <w:p w14:paraId="5C44CEDD" w14:textId="77777777" w:rsidR="00A70145" w:rsidRDefault="00A70145" w:rsidP="00A70145"/>
          <w:p w14:paraId="3DCD3201" w14:textId="77777777" w:rsidR="00A70145" w:rsidRDefault="00A70145" w:rsidP="00A70145"/>
          <w:p w14:paraId="2E556441" w14:textId="77777777" w:rsidR="00A70145" w:rsidRDefault="00A70145" w:rsidP="00A70145"/>
          <w:p w14:paraId="52F8E5B1" w14:textId="77777777" w:rsidR="00A70145" w:rsidRDefault="00A70145" w:rsidP="00A70145"/>
          <w:p w14:paraId="15F9B744" w14:textId="77777777" w:rsidR="00A70145" w:rsidRDefault="00A70145" w:rsidP="00A70145"/>
          <w:p w14:paraId="7E9BF70D" w14:textId="77777777" w:rsidR="00A70145" w:rsidRDefault="00A70145" w:rsidP="00A70145"/>
          <w:p w14:paraId="7EAAAB38" w14:textId="77777777" w:rsidR="00A70145" w:rsidRDefault="00A70145" w:rsidP="00A70145"/>
          <w:p w14:paraId="28ECF8F3" w14:textId="77777777" w:rsidR="00A70145" w:rsidRDefault="00A70145" w:rsidP="00A70145"/>
          <w:p w14:paraId="65F9E1D0" w14:textId="77777777" w:rsidR="00A70145" w:rsidRDefault="00A70145" w:rsidP="00A70145"/>
          <w:p w14:paraId="73793DC9" w14:textId="77777777" w:rsidR="00A70145" w:rsidRDefault="00A70145" w:rsidP="00A70145"/>
          <w:p w14:paraId="0FFAFFCD" w14:textId="475EDDBB" w:rsidR="00A70145" w:rsidRDefault="00A70145" w:rsidP="00A70145"/>
          <w:p w14:paraId="1D6D1E83" w14:textId="7E383751" w:rsidR="00DB36A6" w:rsidRDefault="00DB36A6" w:rsidP="00A70145"/>
          <w:p w14:paraId="4DAF1350" w14:textId="77777777" w:rsidR="00DB36A6" w:rsidRDefault="00DB36A6" w:rsidP="00A70145">
            <w:pPr>
              <w:rPr>
                <w:rFonts w:hint="eastAsia"/>
              </w:rPr>
            </w:pPr>
            <w:bookmarkStart w:id="0" w:name="_GoBack"/>
            <w:bookmarkEnd w:id="0"/>
          </w:p>
          <w:p w14:paraId="08EBDDE8" w14:textId="77777777" w:rsidR="00A70145" w:rsidRDefault="00A70145" w:rsidP="00A70145"/>
          <w:p w14:paraId="6898CC06" w14:textId="15E922EB" w:rsidR="00A70145" w:rsidRDefault="00A70145" w:rsidP="00A70145">
            <w:pPr>
              <w:rPr>
                <w:rFonts w:hint="eastAsia"/>
              </w:rPr>
            </w:pPr>
            <w:r w:rsidRPr="00233677">
              <w:rPr>
                <w:rFonts w:ascii="標楷體" w:eastAsia="標楷體" w:hAnsi="標楷體" w:hint="eastAsia"/>
                <w:color w:val="000000"/>
                <w:kern w:val="3"/>
              </w:rPr>
              <w:t>為與國際市場接軌提升競爭</w:t>
            </w:r>
            <w:r>
              <w:rPr>
                <w:rFonts w:ascii="標楷體" w:eastAsia="標楷體" w:hAnsi="標楷體" w:hint="eastAsia"/>
                <w:color w:val="000000"/>
                <w:kern w:val="3"/>
              </w:rPr>
              <w:t>力、維持公平及有秩序的證券市場，並維護股東知的權利，</w:t>
            </w:r>
            <w:r w:rsidRPr="008327EE">
              <w:rPr>
                <w:rFonts w:ascii="標楷體" w:eastAsia="標楷體" w:hAnsi="標楷體" w:hint="eastAsia"/>
                <w:color w:val="000000"/>
                <w:kern w:val="3"/>
              </w:rPr>
              <w:t>新增規範上市公司自113年第1季財務報告起，各季財務報告或年度自結財務資訊提董事會之前，須事先公告董事會召開日期</w:t>
            </w:r>
            <w:r>
              <w:rPr>
                <w:rFonts w:ascii="標楷體" w:eastAsia="標楷體" w:hAnsi="標楷體" w:hint="eastAsia"/>
                <w:color w:val="000000"/>
                <w:kern w:val="3"/>
              </w:rPr>
              <w:t>，爰</w:t>
            </w:r>
            <w:r>
              <w:rPr>
                <w:rFonts w:ascii="標楷體" w:eastAsia="標楷體" w:hAnsi="標楷體" w:hint="eastAsia"/>
                <w:color w:val="000000"/>
                <w:kern w:val="3"/>
              </w:rPr>
              <w:t>增</w:t>
            </w:r>
            <w:r>
              <w:rPr>
                <w:rFonts w:ascii="標楷體" w:eastAsia="標楷體" w:hAnsi="標楷體" w:hint="eastAsia"/>
                <w:color w:val="000000"/>
                <w:kern w:val="3"/>
              </w:rPr>
              <w:t>訂</w:t>
            </w:r>
            <w:r w:rsidRPr="00A70145">
              <w:rPr>
                <w:rFonts w:ascii="標楷體" w:eastAsia="標楷體" w:hAnsi="標楷體" w:hint="eastAsia"/>
                <w:color w:val="000000"/>
                <w:kern w:val="3"/>
              </w:rPr>
              <w:t>第四條第一項第</w:t>
            </w:r>
            <w:r w:rsidRPr="00A70145">
              <w:rPr>
                <w:rFonts w:ascii="標楷體" w:eastAsia="標楷體" w:hAnsi="標楷體" w:hint="eastAsia"/>
                <w:color w:val="000000"/>
                <w:kern w:val="3"/>
              </w:rPr>
              <w:t>三十一</w:t>
            </w:r>
            <w:r w:rsidRPr="00A70145">
              <w:rPr>
                <w:rFonts w:ascii="標楷體" w:eastAsia="標楷體" w:hAnsi="標楷體" w:hint="eastAsia"/>
                <w:color w:val="000000"/>
                <w:kern w:val="3"/>
              </w:rPr>
              <w:t>款</w:t>
            </w:r>
            <w:r>
              <w:rPr>
                <w:rFonts w:ascii="標楷體" w:eastAsia="標楷體" w:hAnsi="標楷體" w:hint="eastAsia"/>
                <w:color w:val="000000"/>
                <w:kern w:val="3"/>
              </w:rPr>
              <w:t>第三目</w:t>
            </w:r>
            <w:r w:rsidRPr="00E81657">
              <w:rPr>
                <w:rFonts w:ascii="標楷體" w:eastAsia="標楷體" w:hAnsi="標楷體" w:hint="eastAsia"/>
                <w:color w:val="000000"/>
                <w:kern w:val="3"/>
              </w:rPr>
              <w:t>。</w:t>
            </w:r>
          </w:p>
        </w:tc>
      </w:tr>
    </w:tbl>
    <w:p w14:paraId="0EFE4AFC" w14:textId="77777777" w:rsidR="005315CD" w:rsidRDefault="005315CD" w:rsidP="008A3F78"/>
    <w:sectPr w:rsidR="005315CD" w:rsidSect="008A3F78">
      <w:pgSz w:w="11906" w:h="16838"/>
      <w:pgMar w:top="1440" w:right="849"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9A8FD" w14:textId="77777777" w:rsidR="00152737" w:rsidRDefault="00152737" w:rsidP="00A26A41">
      <w:r>
        <w:separator/>
      </w:r>
    </w:p>
  </w:endnote>
  <w:endnote w:type="continuationSeparator" w:id="0">
    <w:p w14:paraId="35AD3974" w14:textId="77777777" w:rsidR="00152737" w:rsidRDefault="00152737" w:rsidP="00A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4D886" w14:textId="77777777" w:rsidR="00152737" w:rsidRDefault="00152737" w:rsidP="00A26A41">
      <w:r>
        <w:separator/>
      </w:r>
    </w:p>
  </w:footnote>
  <w:footnote w:type="continuationSeparator" w:id="0">
    <w:p w14:paraId="075973C1" w14:textId="77777777" w:rsidR="00152737" w:rsidRDefault="00152737" w:rsidP="00A2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F07"/>
    <w:multiLevelType w:val="hybridMultilevel"/>
    <w:tmpl w:val="EDAED2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022DF4"/>
    <w:multiLevelType w:val="hybridMultilevel"/>
    <w:tmpl w:val="0D84D7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82CF9"/>
    <w:multiLevelType w:val="hybridMultilevel"/>
    <w:tmpl w:val="C23284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511B10"/>
    <w:multiLevelType w:val="hybridMultilevel"/>
    <w:tmpl w:val="98069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E813E1"/>
    <w:multiLevelType w:val="hybridMultilevel"/>
    <w:tmpl w:val="3B7C6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DD422C"/>
    <w:multiLevelType w:val="hybridMultilevel"/>
    <w:tmpl w:val="1ACED932"/>
    <w:lvl w:ilvl="0" w:tplc="BCA460DA">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2D548FD"/>
    <w:multiLevelType w:val="hybridMultilevel"/>
    <w:tmpl w:val="5F34E59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D77C66"/>
    <w:multiLevelType w:val="hybridMultilevel"/>
    <w:tmpl w:val="E3909DB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7F7A19"/>
    <w:multiLevelType w:val="hybridMultilevel"/>
    <w:tmpl w:val="0C1CEF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E31C25"/>
    <w:multiLevelType w:val="multilevel"/>
    <w:tmpl w:val="DBD87896"/>
    <w:lvl w:ilvl="0">
      <w:start w:val="1"/>
      <w:numFmt w:val="decimal"/>
      <w:lvlText w:val="%1."/>
      <w:lvlJc w:val="left"/>
      <w:pPr>
        <w:ind w:left="360" w:hanging="360"/>
      </w:pPr>
      <w:rPr>
        <w:rFonts w:ascii="Times New Roman" w:eastAsia="標楷體" w:hAnsi="Times New Roman" w:cs="Times New Roman"/>
      </w:rPr>
    </w:lvl>
    <w:lvl w:ilvl="1">
      <w:start w:val="1"/>
      <w:numFmt w:val="taiwaneseCountingThousand"/>
      <w:lvlText w:val="%2、"/>
      <w:lvlJc w:val="left"/>
      <w:pPr>
        <w:ind w:left="960" w:hanging="480"/>
      </w:pPr>
      <w:rPr>
        <w:color w:val="auto"/>
        <w:lang w:val="en-US"/>
      </w:rPr>
    </w:lvl>
    <w:lvl w:ilvl="2">
      <w:start w:val="1"/>
      <w:numFmt w:val="decimal"/>
      <w:lvlText w:val="%3."/>
      <w:lvlJc w:val="left"/>
      <w:pPr>
        <w:ind w:left="1320" w:hanging="360"/>
      </w:pPr>
      <w:rPr>
        <w:rFonts w:ascii="Times New Roman" w:hAnsi="Times New Roman" w:cs="Times New Roman"/>
      </w:rPr>
    </w:lvl>
    <w:lvl w:ilvl="3">
      <w:start w:val="1"/>
      <w:numFmt w:val="taiwaneseCountingThousand"/>
      <w:lvlText w:val="(%4)"/>
      <w:lvlJc w:val="left"/>
      <w:pPr>
        <w:ind w:left="1845" w:hanging="405"/>
      </w:pPr>
    </w:lvl>
    <w:lvl w:ilvl="4">
      <w:start w:val="1"/>
      <w:numFmt w:val="decimal"/>
      <w:lvlText w:val="(%5)"/>
      <w:lvlJc w:val="left"/>
      <w:pPr>
        <w:ind w:left="2280" w:hanging="360"/>
      </w:pPr>
      <w:rPr>
        <w:b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C4473C"/>
    <w:multiLevelType w:val="hybridMultilevel"/>
    <w:tmpl w:val="F454DE54"/>
    <w:lvl w:ilvl="0" w:tplc="FE72000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0F0741"/>
    <w:multiLevelType w:val="hybridMultilevel"/>
    <w:tmpl w:val="1C02D45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1A14E0"/>
    <w:multiLevelType w:val="hybridMultilevel"/>
    <w:tmpl w:val="91FA87D4"/>
    <w:lvl w:ilvl="0" w:tplc="91B0B2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0"/>
  </w:num>
  <w:num w:numId="6">
    <w:abstractNumId w:val="3"/>
  </w:num>
  <w:num w:numId="7">
    <w:abstractNumId w:val="7"/>
  </w:num>
  <w:num w:numId="8">
    <w:abstractNumId w:val="11"/>
  </w:num>
  <w:num w:numId="9">
    <w:abstractNumId w:val="6"/>
  </w:num>
  <w:num w:numId="10">
    <w:abstractNumId w:val="0"/>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CD"/>
    <w:rsid w:val="00000498"/>
    <w:rsid w:val="00002394"/>
    <w:rsid w:val="000044B1"/>
    <w:rsid w:val="00012A2E"/>
    <w:rsid w:val="00025F9D"/>
    <w:rsid w:val="000264C5"/>
    <w:rsid w:val="00027CDB"/>
    <w:rsid w:val="0003283B"/>
    <w:rsid w:val="00037D1F"/>
    <w:rsid w:val="00054E6D"/>
    <w:rsid w:val="000563DB"/>
    <w:rsid w:val="00062AD8"/>
    <w:rsid w:val="000671CF"/>
    <w:rsid w:val="00070DC7"/>
    <w:rsid w:val="000750F5"/>
    <w:rsid w:val="00084913"/>
    <w:rsid w:val="00085022"/>
    <w:rsid w:val="000855D1"/>
    <w:rsid w:val="00097B46"/>
    <w:rsid w:val="000A7FAC"/>
    <w:rsid w:val="000D0E59"/>
    <w:rsid w:val="000D2966"/>
    <w:rsid w:val="000E4FC1"/>
    <w:rsid w:val="000E7D97"/>
    <w:rsid w:val="000F5D1B"/>
    <w:rsid w:val="000F6543"/>
    <w:rsid w:val="00105E1E"/>
    <w:rsid w:val="0010748D"/>
    <w:rsid w:val="00110C40"/>
    <w:rsid w:val="00112831"/>
    <w:rsid w:val="001170BE"/>
    <w:rsid w:val="00145433"/>
    <w:rsid w:val="00152737"/>
    <w:rsid w:val="00157498"/>
    <w:rsid w:val="00157FE0"/>
    <w:rsid w:val="001605D9"/>
    <w:rsid w:val="00162155"/>
    <w:rsid w:val="001722F7"/>
    <w:rsid w:val="0017407F"/>
    <w:rsid w:val="0017578C"/>
    <w:rsid w:val="001859B1"/>
    <w:rsid w:val="00190260"/>
    <w:rsid w:val="001918F8"/>
    <w:rsid w:val="001A14C4"/>
    <w:rsid w:val="001A35E9"/>
    <w:rsid w:val="001A6B07"/>
    <w:rsid w:val="001C6BD4"/>
    <w:rsid w:val="001D5E1F"/>
    <w:rsid w:val="001E11E4"/>
    <w:rsid w:val="001E24AB"/>
    <w:rsid w:val="001E3D24"/>
    <w:rsid w:val="001E5A98"/>
    <w:rsid w:val="001E76E9"/>
    <w:rsid w:val="001F2112"/>
    <w:rsid w:val="002028BD"/>
    <w:rsid w:val="00207533"/>
    <w:rsid w:val="0024674D"/>
    <w:rsid w:val="00250335"/>
    <w:rsid w:val="0025205E"/>
    <w:rsid w:val="00254101"/>
    <w:rsid w:val="002561D0"/>
    <w:rsid w:val="00256F9F"/>
    <w:rsid w:val="00275AF1"/>
    <w:rsid w:val="00285E16"/>
    <w:rsid w:val="00286A4B"/>
    <w:rsid w:val="0028716D"/>
    <w:rsid w:val="002872F7"/>
    <w:rsid w:val="00287BEE"/>
    <w:rsid w:val="0029321B"/>
    <w:rsid w:val="002A3AE2"/>
    <w:rsid w:val="002B409F"/>
    <w:rsid w:val="002C74FB"/>
    <w:rsid w:val="002D0F6A"/>
    <w:rsid w:val="002D1868"/>
    <w:rsid w:val="002D1A67"/>
    <w:rsid w:val="002D5EE5"/>
    <w:rsid w:val="002E16D3"/>
    <w:rsid w:val="002E370C"/>
    <w:rsid w:val="002F1529"/>
    <w:rsid w:val="002F6A49"/>
    <w:rsid w:val="00302CFA"/>
    <w:rsid w:val="00302E1A"/>
    <w:rsid w:val="00302F8B"/>
    <w:rsid w:val="0030371F"/>
    <w:rsid w:val="00304D6F"/>
    <w:rsid w:val="00316131"/>
    <w:rsid w:val="00316615"/>
    <w:rsid w:val="00316D91"/>
    <w:rsid w:val="00322D41"/>
    <w:rsid w:val="00332A2A"/>
    <w:rsid w:val="003358BC"/>
    <w:rsid w:val="00341692"/>
    <w:rsid w:val="00345FBF"/>
    <w:rsid w:val="00346C3F"/>
    <w:rsid w:val="00347751"/>
    <w:rsid w:val="00371BEB"/>
    <w:rsid w:val="003730E2"/>
    <w:rsid w:val="00377CB8"/>
    <w:rsid w:val="00380FE1"/>
    <w:rsid w:val="003904AB"/>
    <w:rsid w:val="00390501"/>
    <w:rsid w:val="00394866"/>
    <w:rsid w:val="00395C40"/>
    <w:rsid w:val="003A447F"/>
    <w:rsid w:val="003A6A6E"/>
    <w:rsid w:val="003A6BC4"/>
    <w:rsid w:val="003A7581"/>
    <w:rsid w:val="003B42F1"/>
    <w:rsid w:val="003B66C4"/>
    <w:rsid w:val="003D3FED"/>
    <w:rsid w:val="003D60DD"/>
    <w:rsid w:val="003D6463"/>
    <w:rsid w:val="003E0A7E"/>
    <w:rsid w:val="003F0BEF"/>
    <w:rsid w:val="003F6C06"/>
    <w:rsid w:val="0040323B"/>
    <w:rsid w:val="004033A4"/>
    <w:rsid w:val="00411D18"/>
    <w:rsid w:val="0043154C"/>
    <w:rsid w:val="004344BE"/>
    <w:rsid w:val="004372B2"/>
    <w:rsid w:val="00442700"/>
    <w:rsid w:val="00450312"/>
    <w:rsid w:val="004520AD"/>
    <w:rsid w:val="00462AA4"/>
    <w:rsid w:val="00470FB6"/>
    <w:rsid w:val="004736BB"/>
    <w:rsid w:val="00476BE6"/>
    <w:rsid w:val="0047720D"/>
    <w:rsid w:val="0049091F"/>
    <w:rsid w:val="004945D9"/>
    <w:rsid w:val="004A1D5E"/>
    <w:rsid w:val="004B1738"/>
    <w:rsid w:val="004B337A"/>
    <w:rsid w:val="004B691F"/>
    <w:rsid w:val="004D16FA"/>
    <w:rsid w:val="004D483A"/>
    <w:rsid w:val="004E0C6F"/>
    <w:rsid w:val="004E0F5B"/>
    <w:rsid w:val="004E24AD"/>
    <w:rsid w:val="004E42C8"/>
    <w:rsid w:val="004E44FE"/>
    <w:rsid w:val="004F5557"/>
    <w:rsid w:val="0050556E"/>
    <w:rsid w:val="00506C0F"/>
    <w:rsid w:val="00510F02"/>
    <w:rsid w:val="00513E27"/>
    <w:rsid w:val="005168B5"/>
    <w:rsid w:val="005315CD"/>
    <w:rsid w:val="005324DB"/>
    <w:rsid w:val="005428B2"/>
    <w:rsid w:val="005558E9"/>
    <w:rsid w:val="0055756C"/>
    <w:rsid w:val="00567D0F"/>
    <w:rsid w:val="005730D1"/>
    <w:rsid w:val="00575BBB"/>
    <w:rsid w:val="0058015B"/>
    <w:rsid w:val="005871D8"/>
    <w:rsid w:val="00591FD6"/>
    <w:rsid w:val="005A41F5"/>
    <w:rsid w:val="005C748F"/>
    <w:rsid w:val="005D35E7"/>
    <w:rsid w:val="005D3A00"/>
    <w:rsid w:val="005D6903"/>
    <w:rsid w:val="005D7D4D"/>
    <w:rsid w:val="005F3F40"/>
    <w:rsid w:val="00602016"/>
    <w:rsid w:val="00602097"/>
    <w:rsid w:val="006023E1"/>
    <w:rsid w:val="00605A72"/>
    <w:rsid w:val="006063BC"/>
    <w:rsid w:val="006219E2"/>
    <w:rsid w:val="0064052B"/>
    <w:rsid w:val="00642CE9"/>
    <w:rsid w:val="0064589C"/>
    <w:rsid w:val="00650E54"/>
    <w:rsid w:val="00656F82"/>
    <w:rsid w:val="00664AE9"/>
    <w:rsid w:val="006656E7"/>
    <w:rsid w:val="0066644F"/>
    <w:rsid w:val="00667C86"/>
    <w:rsid w:val="00671B0B"/>
    <w:rsid w:val="00673CEE"/>
    <w:rsid w:val="00677974"/>
    <w:rsid w:val="00683BFD"/>
    <w:rsid w:val="0069431A"/>
    <w:rsid w:val="006B3450"/>
    <w:rsid w:val="006B5903"/>
    <w:rsid w:val="006C6C94"/>
    <w:rsid w:val="006D072F"/>
    <w:rsid w:val="006D0BF5"/>
    <w:rsid w:val="006D527D"/>
    <w:rsid w:val="006F4DEA"/>
    <w:rsid w:val="007075F7"/>
    <w:rsid w:val="007173FD"/>
    <w:rsid w:val="00722F53"/>
    <w:rsid w:val="007252E2"/>
    <w:rsid w:val="00726311"/>
    <w:rsid w:val="00726732"/>
    <w:rsid w:val="007417C0"/>
    <w:rsid w:val="00745D3B"/>
    <w:rsid w:val="00757BBC"/>
    <w:rsid w:val="00763C32"/>
    <w:rsid w:val="0077586E"/>
    <w:rsid w:val="0078274A"/>
    <w:rsid w:val="00793EDA"/>
    <w:rsid w:val="007962CC"/>
    <w:rsid w:val="007A2EFC"/>
    <w:rsid w:val="007B3A8A"/>
    <w:rsid w:val="007B4890"/>
    <w:rsid w:val="007B5277"/>
    <w:rsid w:val="007C0880"/>
    <w:rsid w:val="007C35CC"/>
    <w:rsid w:val="007D4B27"/>
    <w:rsid w:val="007D4C9C"/>
    <w:rsid w:val="007E04FF"/>
    <w:rsid w:val="007E06CB"/>
    <w:rsid w:val="007E60F1"/>
    <w:rsid w:val="007F16CD"/>
    <w:rsid w:val="007F5654"/>
    <w:rsid w:val="00816E2A"/>
    <w:rsid w:val="00817B74"/>
    <w:rsid w:val="00820CF6"/>
    <w:rsid w:val="008256F9"/>
    <w:rsid w:val="00827A55"/>
    <w:rsid w:val="00842773"/>
    <w:rsid w:val="00842A42"/>
    <w:rsid w:val="00842F6F"/>
    <w:rsid w:val="00847EEE"/>
    <w:rsid w:val="008503B7"/>
    <w:rsid w:val="00851990"/>
    <w:rsid w:val="0085752E"/>
    <w:rsid w:val="00857F7B"/>
    <w:rsid w:val="008764B0"/>
    <w:rsid w:val="0088455F"/>
    <w:rsid w:val="00897F35"/>
    <w:rsid w:val="008A2917"/>
    <w:rsid w:val="008A3F78"/>
    <w:rsid w:val="008A514E"/>
    <w:rsid w:val="008A6035"/>
    <w:rsid w:val="008A6814"/>
    <w:rsid w:val="008A75C2"/>
    <w:rsid w:val="008B306A"/>
    <w:rsid w:val="008B73A3"/>
    <w:rsid w:val="008C11E3"/>
    <w:rsid w:val="008C61BE"/>
    <w:rsid w:val="008D56AE"/>
    <w:rsid w:val="008D7FF7"/>
    <w:rsid w:val="008E0EF5"/>
    <w:rsid w:val="008E18F4"/>
    <w:rsid w:val="008E31A1"/>
    <w:rsid w:val="008E42B8"/>
    <w:rsid w:val="008E6E24"/>
    <w:rsid w:val="008F4D79"/>
    <w:rsid w:val="008F505B"/>
    <w:rsid w:val="008F5516"/>
    <w:rsid w:val="009036DA"/>
    <w:rsid w:val="00905041"/>
    <w:rsid w:val="00907515"/>
    <w:rsid w:val="00910823"/>
    <w:rsid w:val="00910917"/>
    <w:rsid w:val="00914FAC"/>
    <w:rsid w:val="009154F5"/>
    <w:rsid w:val="009240F7"/>
    <w:rsid w:val="00926385"/>
    <w:rsid w:val="00933ACF"/>
    <w:rsid w:val="00942E38"/>
    <w:rsid w:val="0094384A"/>
    <w:rsid w:val="009441F8"/>
    <w:rsid w:val="00944698"/>
    <w:rsid w:val="0094605E"/>
    <w:rsid w:val="009461BB"/>
    <w:rsid w:val="00947C36"/>
    <w:rsid w:val="00952327"/>
    <w:rsid w:val="009565D8"/>
    <w:rsid w:val="00960E5C"/>
    <w:rsid w:val="009618D5"/>
    <w:rsid w:val="00966617"/>
    <w:rsid w:val="00981655"/>
    <w:rsid w:val="0098189A"/>
    <w:rsid w:val="00983076"/>
    <w:rsid w:val="00996B37"/>
    <w:rsid w:val="009A077D"/>
    <w:rsid w:val="009B0A5B"/>
    <w:rsid w:val="009B3C1A"/>
    <w:rsid w:val="009B5C92"/>
    <w:rsid w:val="009C1A63"/>
    <w:rsid w:val="009D0459"/>
    <w:rsid w:val="009D1459"/>
    <w:rsid w:val="009D1582"/>
    <w:rsid w:val="009D6A5E"/>
    <w:rsid w:val="009E0234"/>
    <w:rsid w:val="009E1F5C"/>
    <w:rsid w:val="009E2067"/>
    <w:rsid w:val="009E48E0"/>
    <w:rsid w:val="009E77C7"/>
    <w:rsid w:val="009E7A5C"/>
    <w:rsid w:val="009F1250"/>
    <w:rsid w:val="009F568E"/>
    <w:rsid w:val="00A06880"/>
    <w:rsid w:val="00A23AB8"/>
    <w:rsid w:val="00A26A41"/>
    <w:rsid w:val="00A40165"/>
    <w:rsid w:val="00A5523E"/>
    <w:rsid w:val="00A556CB"/>
    <w:rsid w:val="00A61C9A"/>
    <w:rsid w:val="00A66FE5"/>
    <w:rsid w:val="00A70145"/>
    <w:rsid w:val="00A73900"/>
    <w:rsid w:val="00A846BF"/>
    <w:rsid w:val="00A94744"/>
    <w:rsid w:val="00A95658"/>
    <w:rsid w:val="00AA7B7E"/>
    <w:rsid w:val="00AB1AD3"/>
    <w:rsid w:val="00AB746D"/>
    <w:rsid w:val="00AB783D"/>
    <w:rsid w:val="00AC1D49"/>
    <w:rsid w:val="00AD0BC7"/>
    <w:rsid w:val="00AD649F"/>
    <w:rsid w:val="00AD6573"/>
    <w:rsid w:val="00AE0BD3"/>
    <w:rsid w:val="00AE5A9E"/>
    <w:rsid w:val="00AE63FE"/>
    <w:rsid w:val="00AF01AD"/>
    <w:rsid w:val="00AF7996"/>
    <w:rsid w:val="00B01850"/>
    <w:rsid w:val="00B018E6"/>
    <w:rsid w:val="00B03535"/>
    <w:rsid w:val="00B066DE"/>
    <w:rsid w:val="00B13D9D"/>
    <w:rsid w:val="00B1492E"/>
    <w:rsid w:val="00B14DCA"/>
    <w:rsid w:val="00B17DC8"/>
    <w:rsid w:val="00B20F2D"/>
    <w:rsid w:val="00B30CE9"/>
    <w:rsid w:val="00B32360"/>
    <w:rsid w:val="00B36464"/>
    <w:rsid w:val="00B40444"/>
    <w:rsid w:val="00B53875"/>
    <w:rsid w:val="00B60E57"/>
    <w:rsid w:val="00B701CE"/>
    <w:rsid w:val="00B74298"/>
    <w:rsid w:val="00B827AD"/>
    <w:rsid w:val="00B82A3D"/>
    <w:rsid w:val="00B87ABC"/>
    <w:rsid w:val="00B90659"/>
    <w:rsid w:val="00B96F54"/>
    <w:rsid w:val="00BA0495"/>
    <w:rsid w:val="00BB2374"/>
    <w:rsid w:val="00BB44F7"/>
    <w:rsid w:val="00BC2C31"/>
    <w:rsid w:val="00BC3B94"/>
    <w:rsid w:val="00BC554E"/>
    <w:rsid w:val="00BC6CC8"/>
    <w:rsid w:val="00BD00B5"/>
    <w:rsid w:val="00BD6032"/>
    <w:rsid w:val="00BD646D"/>
    <w:rsid w:val="00BE0C8B"/>
    <w:rsid w:val="00BE45E7"/>
    <w:rsid w:val="00BF0449"/>
    <w:rsid w:val="00BF6A5F"/>
    <w:rsid w:val="00C049D4"/>
    <w:rsid w:val="00C204E1"/>
    <w:rsid w:val="00C21211"/>
    <w:rsid w:val="00C22396"/>
    <w:rsid w:val="00C325E5"/>
    <w:rsid w:val="00C32F77"/>
    <w:rsid w:val="00C367C2"/>
    <w:rsid w:val="00C3749B"/>
    <w:rsid w:val="00C37838"/>
    <w:rsid w:val="00C4382E"/>
    <w:rsid w:val="00C47430"/>
    <w:rsid w:val="00C474A6"/>
    <w:rsid w:val="00C47C8A"/>
    <w:rsid w:val="00C623FE"/>
    <w:rsid w:val="00C64248"/>
    <w:rsid w:val="00C64ABD"/>
    <w:rsid w:val="00C67510"/>
    <w:rsid w:val="00C75335"/>
    <w:rsid w:val="00C83A9F"/>
    <w:rsid w:val="00C844E7"/>
    <w:rsid w:val="00CA1F55"/>
    <w:rsid w:val="00CA216A"/>
    <w:rsid w:val="00CA37A2"/>
    <w:rsid w:val="00CA50C3"/>
    <w:rsid w:val="00CC1A90"/>
    <w:rsid w:val="00CC5140"/>
    <w:rsid w:val="00CC545E"/>
    <w:rsid w:val="00CC6772"/>
    <w:rsid w:val="00CD0D39"/>
    <w:rsid w:val="00CE203C"/>
    <w:rsid w:val="00CE3110"/>
    <w:rsid w:val="00CE662C"/>
    <w:rsid w:val="00CE7B07"/>
    <w:rsid w:val="00CF0097"/>
    <w:rsid w:val="00CF101E"/>
    <w:rsid w:val="00CF315F"/>
    <w:rsid w:val="00CF5819"/>
    <w:rsid w:val="00CF66C6"/>
    <w:rsid w:val="00D00EEC"/>
    <w:rsid w:val="00D060CF"/>
    <w:rsid w:val="00D23C80"/>
    <w:rsid w:val="00D37823"/>
    <w:rsid w:val="00D6398D"/>
    <w:rsid w:val="00D64DA3"/>
    <w:rsid w:val="00D81EAC"/>
    <w:rsid w:val="00D839F5"/>
    <w:rsid w:val="00D84D7F"/>
    <w:rsid w:val="00DB0F72"/>
    <w:rsid w:val="00DB36A6"/>
    <w:rsid w:val="00DC27F3"/>
    <w:rsid w:val="00DC37F8"/>
    <w:rsid w:val="00DF22D2"/>
    <w:rsid w:val="00E03FAA"/>
    <w:rsid w:val="00E04673"/>
    <w:rsid w:val="00E1497E"/>
    <w:rsid w:val="00E2225D"/>
    <w:rsid w:val="00E24F5E"/>
    <w:rsid w:val="00E25B5E"/>
    <w:rsid w:val="00E27054"/>
    <w:rsid w:val="00E3677D"/>
    <w:rsid w:val="00E43C50"/>
    <w:rsid w:val="00E5026E"/>
    <w:rsid w:val="00E52B05"/>
    <w:rsid w:val="00E54BA6"/>
    <w:rsid w:val="00E5620A"/>
    <w:rsid w:val="00E712D6"/>
    <w:rsid w:val="00E75FC0"/>
    <w:rsid w:val="00E76469"/>
    <w:rsid w:val="00E908E7"/>
    <w:rsid w:val="00E90BB1"/>
    <w:rsid w:val="00E94FC4"/>
    <w:rsid w:val="00EB0999"/>
    <w:rsid w:val="00EB30E5"/>
    <w:rsid w:val="00EB3802"/>
    <w:rsid w:val="00EB47BB"/>
    <w:rsid w:val="00EC36C7"/>
    <w:rsid w:val="00EC7DBD"/>
    <w:rsid w:val="00ED554D"/>
    <w:rsid w:val="00EE13DF"/>
    <w:rsid w:val="00EE4852"/>
    <w:rsid w:val="00EE7974"/>
    <w:rsid w:val="00EF2F8E"/>
    <w:rsid w:val="00F02AB3"/>
    <w:rsid w:val="00F114E4"/>
    <w:rsid w:val="00F12FAE"/>
    <w:rsid w:val="00F13BA3"/>
    <w:rsid w:val="00F17CED"/>
    <w:rsid w:val="00F32AB6"/>
    <w:rsid w:val="00F3487D"/>
    <w:rsid w:val="00F412A5"/>
    <w:rsid w:val="00F43620"/>
    <w:rsid w:val="00F464C1"/>
    <w:rsid w:val="00F50393"/>
    <w:rsid w:val="00F61092"/>
    <w:rsid w:val="00F77C20"/>
    <w:rsid w:val="00F84088"/>
    <w:rsid w:val="00F85DA3"/>
    <w:rsid w:val="00F958B0"/>
    <w:rsid w:val="00FA0E8E"/>
    <w:rsid w:val="00FA10B3"/>
    <w:rsid w:val="00FA58DA"/>
    <w:rsid w:val="00FC4A39"/>
    <w:rsid w:val="00FC57CC"/>
    <w:rsid w:val="00FD0975"/>
    <w:rsid w:val="00FD7D8B"/>
    <w:rsid w:val="00FE4F3E"/>
    <w:rsid w:val="00FE61BA"/>
    <w:rsid w:val="00FF0A84"/>
    <w:rsid w:val="00FF54BE"/>
    <w:rsid w:val="00FF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4076"/>
  <w15:chartTrackingRefBased/>
  <w15:docId w15:val="{B28616AD-01EC-4F7B-8CE1-9FA0378E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A41"/>
    <w:pPr>
      <w:tabs>
        <w:tab w:val="center" w:pos="4153"/>
        <w:tab w:val="right" w:pos="8306"/>
      </w:tabs>
      <w:snapToGrid w:val="0"/>
    </w:pPr>
    <w:rPr>
      <w:sz w:val="20"/>
      <w:szCs w:val="20"/>
    </w:rPr>
  </w:style>
  <w:style w:type="character" w:customStyle="1" w:styleId="a5">
    <w:name w:val="頁首 字元"/>
    <w:basedOn w:val="a0"/>
    <w:link w:val="a4"/>
    <w:uiPriority w:val="99"/>
    <w:rsid w:val="00A26A41"/>
    <w:rPr>
      <w:sz w:val="20"/>
      <w:szCs w:val="20"/>
    </w:rPr>
  </w:style>
  <w:style w:type="paragraph" w:styleId="a6">
    <w:name w:val="footer"/>
    <w:basedOn w:val="a"/>
    <w:link w:val="a7"/>
    <w:uiPriority w:val="99"/>
    <w:unhideWhenUsed/>
    <w:rsid w:val="00A26A41"/>
    <w:pPr>
      <w:tabs>
        <w:tab w:val="center" w:pos="4153"/>
        <w:tab w:val="right" w:pos="8306"/>
      </w:tabs>
      <w:snapToGrid w:val="0"/>
    </w:pPr>
    <w:rPr>
      <w:sz w:val="20"/>
      <w:szCs w:val="20"/>
    </w:rPr>
  </w:style>
  <w:style w:type="character" w:customStyle="1" w:styleId="a7">
    <w:name w:val="頁尾 字元"/>
    <w:basedOn w:val="a0"/>
    <w:link w:val="a6"/>
    <w:uiPriority w:val="99"/>
    <w:rsid w:val="00A26A41"/>
    <w:rPr>
      <w:sz w:val="20"/>
      <w:szCs w:val="20"/>
    </w:rPr>
  </w:style>
  <w:style w:type="paragraph" w:styleId="a8">
    <w:name w:val="Balloon Text"/>
    <w:basedOn w:val="a"/>
    <w:link w:val="a9"/>
    <w:uiPriority w:val="99"/>
    <w:semiHidden/>
    <w:unhideWhenUsed/>
    <w:rsid w:val="000E4FC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4FC1"/>
    <w:rPr>
      <w:rFonts w:asciiTheme="majorHAnsi" w:eastAsiaTheme="majorEastAsia" w:hAnsiTheme="majorHAnsi" w:cstheme="majorBidi"/>
      <w:sz w:val="18"/>
      <w:szCs w:val="18"/>
    </w:rPr>
  </w:style>
  <w:style w:type="paragraph" w:styleId="aa">
    <w:name w:val="List Paragraph"/>
    <w:basedOn w:val="a"/>
    <w:uiPriority w:val="34"/>
    <w:qFormat/>
    <w:rsid w:val="0094384A"/>
    <w:pPr>
      <w:ind w:leftChars="200" w:left="480"/>
    </w:pPr>
  </w:style>
  <w:style w:type="character" w:styleId="ab">
    <w:name w:val="annotation reference"/>
    <w:basedOn w:val="a0"/>
    <w:uiPriority w:val="99"/>
    <w:semiHidden/>
    <w:unhideWhenUsed/>
    <w:rsid w:val="009A077D"/>
    <w:rPr>
      <w:sz w:val="18"/>
      <w:szCs w:val="18"/>
    </w:rPr>
  </w:style>
  <w:style w:type="paragraph" w:styleId="ac">
    <w:name w:val="annotation text"/>
    <w:basedOn w:val="a"/>
    <w:link w:val="ad"/>
    <w:uiPriority w:val="99"/>
    <w:semiHidden/>
    <w:unhideWhenUsed/>
    <w:rsid w:val="009A077D"/>
  </w:style>
  <w:style w:type="character" w:customStyle="1" w:styleId="ad">
    <w:name w:val="註解文字 字元"/>
    <w:basedOn w:val="a0"/>
    <w:link w:val="ac"/>
    <w:uiPriority w:val="99"/>
    <w:semiHidden/>
    <w:rsid w:val="009A077D"/>
  </w:style>
  <w:style w:type="paragraph" w:styleId="ae">
    <w:name w:val="annotation subject"/>
    <w:basedOn w:val="ac"/>
    <w:next w:val="ac"/>
    <w:link w:val="af"/>
    <w:uiPriority w:val="99"/>
    <w:semiHidden/>
    <w:unhideWhenUsed/>
    <w:rsid w:val="009A077D"/>
    <w:rPr>
      <w:b/>
      <w:bCs/>
    </w:rPr>
  </w:style>
  <w:style w:type="character" w:customStyle="1" w:styleId="af">
    <w:name w:val="註解主旨 字元"/>
    <w:basedOn w:val="ad"/>
    <w:link w:val="ae"/>
    <w:uiPriority w:val="99"/>
    <w:semiHidden/>
    <w:rsid w:val="009A077D"/>
    <w:rPr>
      <w:b/>
      <w:bCs/>
    </w:rPr>
  </w:style>
  <w:style w:type="paragraph" w:customStyle="1" w:styleId="Default">
    <w:name w:val="Default"/>
    <w:rsid w:val="0085752E"/>
    <w:pPr>
      <w:widowControl w:val="0"/>
      <w:autoSpaceDE w:val="0"/>
      <w:autoSpaceDN w:val="0"/>
      <w:adjustRightInd w:val="0"/>
    </w:pPr>
    <w:rPr>
      <w:rFonts w:ascii="標楷體" w:eastAsia="標楷體" w:cs="標楷體"/>
      <w:color w:val="000000"/>
      <w:kern w:val="0"/>
      <w:szCs w:val="24"/>
    </w:rPr>
  </w:style>
  <w:style w:type="paragraph" w:styleId="af0">
    <w:name w:val="Plain Text"/>
    <w:basedOn w:val="a"/>
    <w:link w:val="af1"/>
    <w:uiPriority w:val="99"/>
    <w:unhideWhenUsed/>
    <w:rsid w:val="007C35CC"/>
    <w:rPr>
      <w:rFonts w:ascii="Calibri" w:eastAsia="標楷體" w:hAnsi="Courier New" w:cs="Courier New"/>
      <w:sz w:val="28"/>
    </w:rPr>
  </w:style>
  <w:style w:type="character" w:customStyle="1" w:styleId="af1">
    <w:name w:val="純文字 字元"/>
    <w:basedOn w:val="a0"/>
    <w:link w:val="af0"/>
    <w:uiPriority w:val="99"/>
    <w:rsid w:val="007C35CC"/>
    <w:rPr>
      <w:rFonts w:ascii="Calibri" w:eastAsia="標楷體" w:hAnsi="Courier New" w:cs="Courier New"/>
      <w:sz w:val="28"/>
    </w:rPr>
  </w:style>
  <w:style w:type="paragraph" w:styleId="af2">
    <w:name w:val="Revision"/>
    <w:hidden/>
    <w:uiPriority w:val="99"/>
    <w:semiHidden/>
    <w:rsid w:val="00BE0C8B"/>
  </w:style>
  <w:style w:type="paragraph" w:styleId="af3">
    <w:name w:val="Salutation"/>
    <w:basedOn w:val="a"/>
    <w:next w:val="a"/>
    <w:link w:val="af4"/>
    <w:uiPriority w:val="99"/>
    <w:unhideWhenUsed/>
    <w:rsid w:val="00A70145"/>
    <w:rPr>
      <w:rFonts w:ascii="Times New Roman" w:eastAsia="標楷體" w:hAnsi="Times New Roman" w:cs="Times New Roman"/>
      <w:color w:val="000000" w:themeColor="text1"/>
    </w:rPr>
  </w:style>
  <w:style w:type="character" w:customStyle="1" w:styleId="af4">
    <w:name w:val="問候 字元"/>
    <w:basedOn w:val="a0"/>
    <w:link w:val="af3"/>
    <w:uiPriority w:val="99"/>
    <w:rsid w:val="00A70145"/>
    <w:rPr>
      <w:rFonts w:ascii="Times New Roman" w:eastAsia="標楷體" w:hAnsi="Times New Roman" w:cs="Times New Roman"/>
      <w:color w:val="000000" w:themeColor="text1"/>
    </w:rPr>
  </w:style>
  <w:style w:type="paragraph" w:styleId="af5">
    <w:name w:val="Closing"/>
    <w:basedOn w:val="a"/>
    <w:link w:val="af6"/>
    <w:uiPriority w:val="99"/>
    <w:unhideWhenUsed/>
    <w:rsid w:val="00A70145"/>
    <w:pPr>
      <w:ind w:leftChars="1800" w:left="100"/>
    </w:pPr>
    <w:rPr>
      <w:rFonts w:ascii="Times New Roman" w:eastAsia="標楷體" w:hAnsi="Times New Roman" w:cs="Times New Roman"/>
      <w:color w:val="000000" w:themeColor="text1"/>
    </w:rPr>
  </w:style>
  <w:style w:type="character" w:customStyle="1" w:styleId="af6">
    <w:name w:val="結語 字元"/>
    <w:basedOn w:val="a0"/>
    <w:link w:val="af5"/>
    <w:uiPriority w:val="99"/>
    <w:rsid w:val="00A70145"/>
    <w:rPr>
      <w:rFonts w:ascii="Times New Roman" w:eastAsia="標楷體"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8090">
      <w:bodyDiv w:val="1"/>
      <w:marLeft w:val="0"/>
      <w:marRight w:val="0"/>
      <w:marTop w:val="0"/>
      <w:marBottom w:val="0"/>
      <w:divBdr>
        <w:top w:val="none" w:sz="0" w:space="0" w:color="auto"/>
        <w:left w:val="none" w:sz="0" w:space="0" w:color="auto"/>
        <w:bottom w:val="none" w:sz="0" w:space="0" w:color="auto"/>
        <w:right w:val="none" w:sz="0" w:space="0" w:color="auto"/>
      </w:divBdr>
    </w:div>
    <w:div w:id="18264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887C-14E0-44BC-8E3F-CB3BA6B6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129</Words>
  <Characters>740</Characters>
  <Application>Microsoft Office Word</Application>
  <DocSecurity>0</DocSecurity>
  <Lines>6</Lines>
  <Paragraphs>1</Paragraphs>
  <ScaleCrop>false</ScaleCrop>
  <Company>TWSE 臺灣證券交易所</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小美 王</dc:creator>
  <cp:keywords/>
  <dc:description/>
  <cp:lastModifiedBy>王美齡</cp:lastModifiedBy>
  <cp:revision>7</cp:revision>
  <cp:lastPrinted>2022-03-25T07:56:00Z</cp:lastPrinted>
  <dcterms:created xsi:type="dcterms:W3CDTF">2022-10-11T04:02:00Z</dcterms:created>
  <dcterms:modified xsi:type="dcterms:W3CDTF">2022-10-11T07:03:00Z</dcterms:modified>
</cp:coreProperties>
</file>