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1B31B44A" w:rsidR="00350D20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>
        <w:rPr>
          <w:rFonts w:ascii="新細明體" w:eastAsia="新細明體" w:cs="新細明體" w:hint="eastAsia"/>
          <w:color w:val="000000"/>
        </w:rPr>
        <w:t>─</w:t>
      </w:r>
      <w:r w:rsidRPr="00AD7491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AD7491">
        <w:rPr>
          <w:rFonts w:ascii="新細明體" w:eastAsia="新細明體" w:cs="新細明體" w:hint="eastAsia"/>
          <w:color w:val="000000"/>
        </w:rPr>
        <w:t>修</w:t>
      </w:r>
      <w:r w:rsidR="0041234B" w:rsidRPr="00837E3D">
        <w:rPr>
          <w:rFonts w:ascii="新細明體" w:eastAsia="新細明體" w:cs="新細明體" w:hint="eastAsia"/>
        </w:rPr>
        <w:t>正</w:t>
      </w:r>
      <w:r w:rsidR="00A055B3" w:rsidRPr="00AD7491">
        <w:rPr>
          <w:rFonts w:ascii="新細明體" w:eastAsia="新細明體" w:cs="新細明體" w:hint="eastAsia"/>
          <w:color w:val="000000"/>
        </w:rPr>
        <w:t>對照表</w:t>
      </w:r>
      <w:r w:rsidR="004A2E6B" w:rsidRPr="004A2E6B">
        <w:rPr>
          <w:rFonts w:ascii="新細明體" w:eastAsia="新細明體" w:cs="新細明體" w:hint="eastAsia"/>
          <w:color w:val="000000"/>
        </w:rPr>
        <w:t>（114.0</w:t>
      </w:r>
      <w:r w:rsidR="004A2E6B">
        <w:rPr>
          <w:rFonts w:ascii="新細明體" w:eastAsia="新細明體" w:cs="新細明體" w:hint="eastAsia"/>
          <w:color w:val="000000"/>
        </w:rPr>
        <w:t>7</w:t>
      </w:r>
      <w:r w:rsidR="004A2E6B" w:rsidRPr="004A2E6B">
        <w:rPr>
          <w:rFonts w:ascii="新細明體" w:eastAsia="新細明體" w:cs="新細明體" w:hint="eastAsia"/>
          <w:color w:val="000000"/>
        </w:rPr>
        <w:t>.01生效）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C41BB1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144760FE" w:rsidR="00C41BB1" w:rsidRPr="004444C4" w:rsidRDefault="00C41BB1" w:rsidP="00C41BB1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  <w:u w:val="single"/>
              </w:rPr>
            </w:pPr>
            <w:r w:rsidRPr="004444C4">
              <w:rPr>
                <w:rFonts w:ascii="新細明體" w:eastAsia="新細明體" w:cs="新細明體"/>
                <w:color w:val="FF0000"/>
                <w:u w:val="single"/>
              </w:rPr>
              <w:t>AA-</w:t>
            </w:r>
            <w:r w:rsidRPr="004444C4">
              <w:rPr>
                <w:rFonts w:ascii="新細明體" w:eastAsia="新細明體" w:hAnsi="新細明體" w:cs="新細明體"/>
                <w:color w:val="FF0000"/>
                <w:u w:val="single"/>
              </w:rPr>
              <w:t>1</w:t>
            </w:r>
            <w:r w:rsidR="00CA502D" w:rsidRPr="004444C4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116</w:t>
            </w:r>
            <w:r w:rsidRPr="004444C4">
              <w:rPr>
                <w:rFonts w:ascii="新細明體" w:eastAsia="新細明體" w:hAnsi="新細明體" w:cs="新細明體"/>
                <w:color w:val="FF0000"/>
                <w:u w:val="single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18CF9528" w14:textId="2D96EB22" w:rsidR="00C41BB1" w:rsidRPr="004444C4" w:rsidRDefault="00361E59" w:rsidP="00C41BB1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FF0000"/>
                <w:u w:val="single"/>
              </w:rPr>
            </w:pPr>
            <w:r w:rsidRPr="004444C4">
              <w:rPr>
                <w:rFonts w:ascii="新細明體" w:eastAsia="新細明體" w:cs="新細明體" w:hint="eastAsia"/>
                <w:color w:val="FF0000"/>
                <w:u w:val="single"/>
              </w:rPr>
              <w:t>客戶資料</w:t>
            </w:r>
            <w:r w:rsidR="00CA502D" w:rsidRPr="004444C4">
              <w:rPr>
                <w:rFonts w:ascii="新細明體" w:eastAsia="新細明體" w:cs="新細明體" w:hint="eastAsia"/>
                <w:color w:val="FF0000"/>
                <w:u w:val="single"/>
              </w:rPr>
              <w:t>保護</w:t>
            </w:r>
            <w:r w:rsidR="00C41BB1" w:rsidRPr="004444C4">
              <w:rPr>
                <w:rFonts w:ascii="新細明體" w:eastAsia="新細明體" w:cs="新細明體" w:hint="eastAsia"/>
                <w:color w:val="FF0000"/>
                <w:u w:val="single"/>
              </w:rPr>
              <w:t>作業之稽核</w:t>
            </w:r>
          </w:p>
          <w:p w14:paraId="6E99E549" w14:textId="77777777" w:rsidR="00C41BB1" w:rsidRPr="004444C4" w:rsidRDefault="00C41BB1" w:rsidP="00C41BB1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FF0000"/>
                <w:u w:val="single"/>
              </w:rPr>
            </w:pPr>
            <w:r w:rsidRPr="004444C4">
              <w:rPr>
                <w:rFonts w:ascii="新細明體" w:eastAsia="新細明體" w:cs="新細明體" w:hint="eastAsia"/>
                <w:color w:val="FF0000"/>
                <w:u w:val="single"/>
              </w:rPr>
              <w:t>目的：</w:t>
            </w:r>
          </w:p>
          <w:p w14:paraId="50DE8256" w14:textId="20FE25D8" w:rsidR="00C41BB1" w:rsidRPr="004444C4" w:rsidRDefault="00C41BB1" w:rsidP="00C41BB1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FF0000"/>
                <w:u w:val="single"/>
              </w:rPr>
            </w:pPr>
            <w:r w:rsidRPr="004444C4">
              <w:rPr>
                <w:rFonts w:ascii="新細明體" w:eastAsia="新細明體" w:cs="新細明體" w:hint="eastAsia"/>
                <w:color w:val="FF0000"/>
                <w:u w:val="single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022C771A" w:rsidR="00C41BB1" w:rsidRPr="004444C4" w:rsidRDefault="00C41BB1" w:rsidP="00C41BB1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4444C4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作業週期：不</w:t>
            </w:r>
            <w:r w:rsidRPr="004444C4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定期（每</w:t>
            </w:r>
            <w:r w:rsidR="00EA1CEE" w:rsidRPr="004444C4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半年</w:t>
            </w:r>
            <w:r w:rsidRPr="004444C4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至少查核乙次）</w:t>
            </w:r>
          </w:p>
          <w:p w14:paraId="7EE1CB00" w14:textId="77777777" w:rsidR="00443961" w:rsidRPr="004444C4" w:rsidRDefault="00443961" w:rsidP="00C41BB1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</w:p>
          <w:p w14:paraId="0F15710A" w14:textId="77777777" w:rsidR="0037278F" w:rsidRPr="004444C4" w:rsidRDefault="0037278F" w:rsidP="0037278F">
            <w:pPr>
              <w:snapToGrid/>
              <w:spacing w:line="360" w:lineRule="exact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(</w:t>
            </w:r>
            <w:proofErr w:type="gramStart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一</w:t>
            </w:r>
            <w:proofErr w:type="gramEnd"/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>)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對新客戶之作業程序：</w:t>
            </w:r>
          </w:p>
          <w:p w14:paraId="449E3DB6" w14:textId="68986332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1.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簽署「委託買賣證券受託契約」時，公司是否告知客戶依法提供之「蒐集處理及利用個人資料告知書」所列蒐集之特定目的，與處理或利用之明確範圍。</w:t>
            </w:r>
          </w:p>
          <w:p w14:paraId="05B247FC" w14:textId="780B4A93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2.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公司是否於官方網站、行動裝置應用軟體（APP）或其他足以使客戶知悉或可得知悉之方式，同步揭露前揭</w:t>
            </w:r>
            <w:r w:rsidR="00B02450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告知</w:t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書完整內容。</w:t>
            </w:r>
          </w:p>
          <w:p w14:paraId="2380525C" w14:textId="638C3AF6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3.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後續如遇業務或客戶服務等項目有增減異動時，公司是否即以前</w:t>
            </w:r>
            <w:proofErr w:type="gramStart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揭</w:t>
            </w:r>
            <w:proofErr w:type="gramEnd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方式，揭露最新</w:t>
            </w:r>
            <w:r w:rsidR="00B02450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告知</w:t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書版本資訊以供參考，使客戶知悉其與初始蒐集之目的，仍具正當合理關聯。</w:t>
            </w:r>
            <w:r w:rsidR="00302428" w:rsidRPr="00302428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對個人資料之利用，除有個人資料保護法第20條第1</w:t>
            </w:r>
            <w:r w:rsidR="00302428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項但書所列情事外，是否未</w:t>
            </w:r>
            <w:r w:rsidR="00302428" w:rsidRPr="00302428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逾越原</w:t>
            </w:r>
            <w:bookmarkStart w:id="0" w:name="_GoBack"/>
            <w:bookmarkEnd w:id="0"/>
            <w:r w:rsidR="00302428" w:rsidRPr="00302428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蒐集特定目的之必要範圍。</w:t>
            </w:r>
          </w:p>
          <w:p w14:paraId="0CE455A9" w14:textId="77777777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38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</w:p>
          <w:p w14:paraId="2EB6FDC0" w14:textId="77777777" w:rsidR="0037278F" w:rsidRPr="004444C4" w:rsidRDefault="0037278F" w:rsidP="0037278F">
            <w:pPr>
              <w:snapToGrid/>
              <w:spacing w:line="360" w:lineRule="exact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(二)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對既有客戶之作業程序：</w:t>
            </w:r>
          </w:p>
          <w:p w14:paraId="3D3181EC" w14:textId="52110C6C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1.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後續如遇業務或客戶服務等項目有增減異動，致變更</w:t>
            </w:r>
            <w:r w:rsidR="00B02450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告知</w:t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書內容時，公司是否即</w:t>
            </w:r>
            <w:proofErr w:type="gramStart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以前揭足</w:t>
            </w:r>
            <w:proofErr w:type="gramEnd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使客戶知悉或可得知悉之方</w:t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lastRenderedPageBreak/>
              <w:t>式，公告最新同意書版本資訊以供參考。</w:t>
            </w:r>
          </w:p>
          <w:p w14:paraId="2F52060A" w14:textId="1607B4DA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2.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公司是否確認客戶瞭解更新後同意書內容，與其初始同意蒐集之目的，仍具正當合理關聯。</w:t>
            </w:r>
          </w:p>
          <w:p w14:paraId="4DE35814" w14:textId="77777777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</w:p>
          <w:p w14:paraId="25B6D3CE" w14:textId="77777777" w:rsidR="0037278F" w:rsidRPr="004444C4" w:rsidRDefault="0037278F" w:rsidP="0037278F">
            <w:pPr>
              <w:snapToGrid/>
              <w:spacing w:line="360" w:lineRule="exact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(三)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防止資料外</w:t>
            </w:r>
            <w:proofErr w:type="gramStart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洩</w:t>
            </w:r>
            <w:proofErr w:type="gramEnd"/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或遭不當存取：</w:t>
            </w:r>
          </w:p>
          <w:p w14:paraId="71E845D2" w14:textId="7D53A000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1.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公司是否就保存之客戶個人資料檔案，確實依據「金融監督管理委員會指定非公務機關個人資料檔案安全維護辦法」所訂規劃、管理程序、安全稽核等規定辦理。</w:t>
            </w:r>
          </w:p>
          <w:p w14:paraId="76CB8E22" w14:textId="02203CCC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2.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公司是否確實建立存取控制與保護監控等機制，以避免詐騙等犯罪案件發生。</w:t>
            </w:r>
          </w:p>
          <w:p w14:paraId="7A18B080" w14:textId="77777777" w:rsidR="0037278F" w:rsidRPr="004444C4" w:rsidRDefault="0037278F" w:rsidP="0037278F">
            <w:pPr>
              <w:tabs>
                <w:tab w:val="left" w:pos="667"/>
              </w:tabs>
              <w:snapToGrid/>
              <w:spacing w:line="360" w:lineRule="exact"/>
              <w:ind w:leftChars="146" w:left="640" w:hangingChars="100" w:hanging="26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</w:p>
          <w:p w14:paraId="20380BF9" w14:textId="554CCFEC" w:rsidR="0037278F" w:rsidRPr="004444C4" w:rsidRDefault="0037278F" w:rsidP="0037278F">
            <w:pPr>
              <w:snapToGrid/>
              <w:spacing w:line="360" w:lineRule="exact"/>
              <w:ind w:left="520" w:hangingChars="200" w:hanging="520"/>
              <w:rPr>
                <w:rFonts w:ascii="新細明體" w:eastAsia="新細明體" w:hAnsi="新細明體"/>
                <w:color w:val="FF0000"/>
                <w:szCs w:val="28"/>
                <w:u w:val="single"/>
              </w:rPr>
            </w:pP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(四)</w:t>
            </w:r>
            <w:r w:rsidRPr="004444C4">
              <w:rPr>
                <w:rFonts w:ascii="新細明體" w:eastAsia="新細明體" w:hAnsi="新細明體"/>
                <w:color w:val="FF0000"/>
                <w:szCs w:val="28"/>
                <w:u w:val="single"/>
              </w:rPr>
              <w:tab/>
            </w:r>
            <w:r w:rsidRPr="004444C4">
              <w:rPr>
                <w:rFonts w:ascii="新細明體" w:eastAsia="新細明體" w:hAnsi="新細明體" w:hint="eastAsia"/>
                <w:color w:val="FF0000"/>
                <w:szCs w:val="28"/>
                <w:u w:val="single"/>
              </w:rPr>
              <w:t>為保障個人資料之自主權，公司是否提供服務專線等便利管道，使客戶得隨時行使「個人資料保護法」第3條之請求權。</w:t>
            </w:r>
          </w:p>
          <w:p w14:paraId="200CAA9A" w14:textId="268CB7B3" w:rsidR="00FE26AA" w:rsidRPr="004444C4" w:rsidRDefault="00FE26AA" w:rsidP="00C41BB1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u w:val="single"/>
              </w:rPr>
            </w:pP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7FD2FD44" w14:textId="2A5C8B99" w:rsidR="00CE00C7" w:rsidRPr="0037278F" w:rsidRDefault="0037278F" w:rsidP="0037278F">
            <w:pPr>
              <w:spacing w:line="240" w:lineRule="auto"/>
              <w:ind w:leftChars="300" w:left="780" w:right="28"/>
              <w:rPr>
                <w:rFonts w:ascii="新細明體" w:eastAsia="新細明體" w:hAnsi="新細明體" w:cs="Times New Roman"/>
                <w:color w:val="FF0000"/>
                <w:spacing w:val="20"/>
              </w:rPr>
            </w:pPr>
            <w:r w:rsidRPr="0037278F">
              <w:rPr>
                <w:rFonts w:ascii="新細明體" w:eastAsia="新細明體" w:hAnsi="新細明體" w:cs="Times New Roman" w:hint="eastAsia"/>
                <w:color w:val="FF0000"/>
                <w:spacing w:val="20"/>
              </w:rPr>
              <w:lastRenderedPageBreak/>
              <w:t>(</w:t>
            </w:r>
            <w:r w:rsidR="00CE00C7" w:rsidRPr="0037278F">
              <w:rPr>
                <w:rFonts w:ascii="新細明體" w:eastAsia="新細明體" w:hAnsi="新細明體" w:cs="Times New Roman" w:hint="eastAsia"/>
                <w:color w:val="FF0000"/>
                <w:spacing w:val="20"/>
              </w:rPr>
              <w:t>新增</w:t>
            </w:r>
            <w:r w:rsidRPr="0037278F">
              <w:rPr>
                <w:rFonts w:ascii="新細明體" w:eastAsia="新細明體" w:hAnsi="新細明體" w:cs="Times New Roman" w:hint="eastAsia"/>
                <w:color w:val="FF0000"/>
                <w:spacing w:val="20"/>
              </w:rPr>
              <w:t>)</w:t>
            </w:r>
          </w:p>
          <w:p w14:paraId="0C3CA42D" w14:textId="7A01CFB1" w:rsidR="00CE00C7" w:rsidRDefault="00CE00C7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289C27F" w14:textId="5C2D28AA" w:rsidR="00CE00C7" w:rsidRDefault="00CE00C7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B7DEABB" w14:textId="30E3ED5C" w:rsidR="00CE00C7" w:rsidRDefault="00CE00C7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315AB7A" w14:textId="42C7DA50" w:rsidR="00CE00C7" w:rsidRDefault="00CE00C7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080F0589" w14:textId="179CE0D9" w:rsidR="00CE00C7" w:rsidRDefault="00CE00C7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786AA7E4" w14:textId="1D00FA9E" w:rsidR="00CE00C7" w:rsidRDefault="00CE00C7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99B4A2D" w14:textId="5306DDD9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979B143" w14:textId="336F12C0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72F2279" w14:textId="06DBC72F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874FD43" w14:textId="1B8E4311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BAF9E72" w14:textId="70D899E0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0940DA0" w14:textId="526DBF31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574C8E0C" w14:textId="76054B9F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432FC30" w14:textId="4C61B679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5BA22110" w14:textId="0656C479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9BC077C" w14:textId="3CA94B8E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5C44843" w14:textId="023CCA07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711F1654" w14:textId="28327099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2165B06" w14:textId="1976A093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76FAE55D" w14:textId="20E49D0C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7D69872F" w14:textId="7B3354DD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7B4B94FF" w14:textId="552F3424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0EF029F7" w14:textId="71F73476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3A48B5A" w14:textId="6DE8C4C7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15D1E7ED" w14:textId="3FBC6F26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B00D74D" w14:textId="49ED6837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33C3E2D1" w14:textId="50FBEFEB" w:rsidR="003C372E" w:rsidRDefault="003C372E" w:rsidP="00CE00C7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</w:p>
          <w:p w14:paraId="4B8B5DE1" w14:textId="04A08743" w:rsidR="00C41BB1" w:rsidRPr="00D612D7" w:rsidRDefault="00C41BB1" w:rsidP="00C41BB1">
            <w:pPr>
              <w:adjustRightInd w:val="0"/>
              <w:spacing w:line="240" w:lineRule="auto"/>
              <w:ind w:leftChars="1" w:left="346" w:hangingChars="143" w:hanging="343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41C3A45C" w14:textId="6D5677AA" w:rsidR="00C41BB1" w:rsidRDefault="00777FA4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  <w:r w:rsidRPr="00777FA4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lastRenderedPageBreak/>
              <w:t>配合內部控制制度CA-1</w:t>
            </w:r>
            <w:r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11</w:t>
            </w:r>
            <w:r w:rsidR="0037278F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6</w:t>
            </w:r>
            <w:r w:rsidRPr="00777FA4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0</w:t>
            </w:r>
            <w:r w:rsidR="0037278F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增</w:t>
            </w:r>
            <w:r w:rsidR="00E20B9C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訂本項作業</w:t>
            </w:r>
            <w:r w:rsidRPr="00777FA4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。</w:t>
            </w:r>
          </w:p>
          <w:p w14:paraId="78AC9B11" w14:textId="77777777" w:rsidR="004D27A3" w:rsidRDefault="004D27A3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4136ADFF" w14:textId="77777777" w:rsidR="004D27A3" w:rsidRPr="0037278F" w:rsidRDefault="004D27A3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172E02AB" w14:textId="77777777" w:rsidR="004D27A3" w:rsidRDefault="004D27A3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389B56DC" w14:textId="1440E680" w:rsidR="004D27A3" w:rsidRDefault="004D27A3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18D7845C" w14:textId="7A4FCD89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628D03AB" w14:textId="2C826340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212660F9" w14:textId="7536FAB3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593C91D2" w14:textId="75E08E26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42BA4802" w14:textId="6D31ECF5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2F5C765B" w14:textId="68D5D864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6EDB70A2" w14:textId="687197D4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68DA9ECB" w14:textId="692A036D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0BD26682" w14:textId="6E2009A8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5E1F5E73" w14:textId="218806F5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7A7FA331" w14:textId="43F3B2D9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77210ED0" w14:textId="13946EE4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406ED2CF" w14:textId="04E1E300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68CE363D" w14:textId="39C3EA71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2C05BE4E" w14:textId="0EC9346E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57ED250B" w14:textId="5C5F7F16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569B4562" w14:textId="73FE5520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7F14A6E8" w14:textId="002792C7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09368548" w14:textId="20CFE4CE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6289657C" w14:textId="1072CA1C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1EC04D0B" w14:textId="76B0B638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744B7295" w14:textId="3BF39017" w:rsidR="003C372E" w:rsidRDefault="003C372E" w:rsidP="00777FA4">
            <w:pPr>
              <w:spacing w:line="360" w:lineRule="exact"/>
              <w:ind w:right="28"/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</w:pPr>
          </w:p>
          <w:p w14:paraId="3FFE97D1" w14:textId="77C21B26" w:rsidR="004D27A3" w:rsidRPr="00D6595F" w:rsidRDefault="004D27A3" w:rsidP="00443961">
            <w:pPr>
              <w:spacing w:line="280" w:lineRule="exact"/>
              <w:ind w:right="28"/>
              <w:rPr>
                <w:rFonts w:ascii="新細明體" w:eastAsia="新細明體" w:hAnsi="新細明體" w:cs="Times New Roman"/>
                <w:color w:val="FF0000"/>
                <w:u w:val="single"/>
              </w:rPr>
            </w:pP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F2DBC" w14:textId="77777777" w:rsidR="00E74E63" w:rsidRDefault="00E74E63" w:rsidP="00E87601">
      <w:pPr>
        <w:spacing w:line="240" w:lineRule="auto"/>
      </w:pPr>
      <w:r>
        <w:separator/>
      </w:r>
    </w:p>
  </w:endnote>
  <w:endnote w:type="continuationSeparator" w:id="0">
    <w:p w14:paraId="65A3EFA2" w14:textId="77777777" w:rsidR="00E74E63" w:rsidRDefault="00E74E63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1813269B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02428" w:rsidRPr="00302428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DECA8" w14:textId="77777777" w:rsidR="00E74E63" w:rsidRDefault="00E74E63" w:rsidP="00E87601">
      <w:pPr>
        <w:spacing w:line="240" w:lineRule="auto"/>
      </w:pPr>
      <w:r>
        <w:separator/>
      </w:r>
    </w:p>
  </w:footnote>
  <w:footnote w:type="continuationSeparator" w:id="0">
    <w:p w14:paraId="253684F8" w14:textId="77777777" w:rsidR="00E74E63" w:rsidRDefault="00E74E63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C8062B90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1341DB"/>
    <w:multiLevelType w:val="hybridMultilevel"/>
    <w:tmpl w:val="C8062B90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0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1" w15:restartNumberingAfterBreak="0">
    <w:nsid w:val="3CD459CA"/>
    <w:multiLevelType w:val="hybridMultilevel"/>
    <w:tmpl w:val="0A0A8F74"/>
    <w:lvl w:ilvl="0" w:tplc="960AA9D6">
      <w:start w:val="1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917CFD"/>
    <w:multiLevelType w:val="hybridMultilevel"/>
    <w:tmpl w:val="920A362E"/>
    <w:lvl w:ilvl="0" w:tplc="4FFABF54">
      <w:start w:val="3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F872169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173C08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7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8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9" w15:restartNumberingAfterBreak="0">
    <w:nsid w:val="5FD64CFC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E2B436D"/>
    <w:multiLevelType w:val="hybridMultilevel"/>
    <w:tmpl w:val="CD1A13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24" w15:restartNumberingAfterBreak="0">
    <w:nsid w:val="74885B95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18"/>
  </w:num>
  <w:num w:numId="3">
    <w:abstractNumId w:val="9"/>
  </w:num>
  <w:num w:numId="4">
    <w:abstractNumId w:val="2"/>
  </w:num>
  <w:num w:numId="5">
    <w:abstractNumId w:val="17"/>
  </w:num>
  <w:num w:numId="6">
    <w:abstractNumId w:val="6"/>
  </w:num>
  <w:num w:numId="7">
    <w:abstractNumId w:val="20"/>
  </w:num>
  <w:num w:numId="8">
    <w:abstractNumId w:val="10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21"/>
  </w:num>
  <w:num w:numId="14">
    <w:abstractNumId w:val="25"/>
  </w:num>
  <w:num w:numId="15">
    <w:abstractNumId w:val="16"/>
  </w:num>
  <w:num w:numId="16">
    <w:abstractNumId w:val="13"/>
  </w:num>
  <w:num w:numId="17">
    <w:abstractNumId w:val="1"/>
  </w:num>
  <w:num w:numId="18">
    <w:abstractNumId w:val="5"/>
  </w:num>
  <w:num w:numId="19">
    <w:abstractNumId w:val="15"/>
  </w:num>
  <w:num w:numId="20">
    <w:abstractNumId w:val="12"/>
  </w:num>
  <w:num w:numId="21">
    <w:abstractNumId w:val="19"/>
  </w:num>
  <w:num w:numId="22">
    <w:abstractNumId w:val="24"/>
  </w:num>
  <w:num w:numId="23">
    <w:abstractNumId w:val="14"/>
  </w:num>
  <w:num w:numId="24">
    <w:abstractNumId w:val="11"/>
  </w:num>
  <w:num w:numId="25">
    <w:abstractNumId w:val="8"/>
  </w:num>
  <w:num w:numId="26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53CCD"/>
    <w:rsid w:val="0005494B"/>
    <w:rsid w:val="00054E8D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4277"/>
    <w:rsid w:val="000947F2"/>
    <w:rsid w:val="000948EF"/>
    <w:rsid w:val="00095146"/>
    <w:rsid w:val="00096C09"/>
    <w:rsid w:val="00097095"/>
    <w:rsid w:val="00097C5A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513D"/>
    <w:rsid w:val="0010731D"/>
    <w:rsid w:val="001078B4"/>
    <w:rsid w:val="00107B1D"/>
    <w:rsid w:val="001117C9"/>
    <w:rsid w:val="00112B23"/>
    <w:rsid w:val="00114A0E"/>
    <w:rsid w:val="001222CF"/>
    <w:rsid w:val="0012263C"/>
    <w:rsid w:val="00132C94"/>
    <w:rsid w:val="00134EA0"/>
    <w:rsid w:val="00140207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6115"/>
    <w:rsid w:val="0016782A"/>
    <w:rsid w:val="001811AA"/>
    <w:rsid w:val="001812B0"/>
    <w:rsid w:val="001833E6"/>
    <w:rsid w:val="00187DCA"/>
    <w:rsid w:val="00191618"/>
    <w:rsid w:val="001926EB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5990"/>
    <w:rsid w:val="001B622E"/>
    <w:rsid w:val="001B6D44"/>
    <w:rsid w:val="001C1C35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2428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37BDF"/>
    <w:rsid w:val="00345586"/>
    <w:rsid w:val="00350D20"/>
    <w:rsid w:val="00352C65"/>
    <w:rsid w:val="0035622D"/>
    <w:rsid w:val="003577C1"/>
    <w:rsid w:val="00357C05"/>
    <w:rsid w:val="00360DC6"/>
    <w:rsid w:val="00361E59"/>
    <w:rsid w:val="00366064"/>
    <w:rsid w:val="003673E1"/>
    <w:rsid w:val="00367985"/>
    <w:rsid w:val="00367E59"/>
    <w:rsid w:val="003706E4"/>
    <w:rsid w:val="0037278F"/>
    <w:rsid w:val="00372B32"/>
    <w:rsid w:val="00373B1B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C372E"/>
    <w:rsid w:val="003D06D6"/>
    <w:rsid w:val="003D07FA"/>
    <w:rsid w:val="003D1B2E"/>
    <w:rsid w:val="003D1C95"/>
    <w:rsid w:val="003D2866"/>
    <w:rsid w:val="003D39EF"/>
    <w:rsid w:val="003D599C"/>
    <w:rsid w:val="003E1D56"/>
    <w:rsid w:val="003E2F0D"/>
    <w:rsid w:val="003E35A1"/>
    <w:rsid w:val="003E748D"/>
    <w:rsid w:val="003F02AE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43961"/>
    <w:rsid w:val="004444C4"/>
    <w:rsid w:val="00455EE4"/>
    <w:rsid w:val="00456185"/>
    <w:rsid w:val="0046422E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2E6B"/>
    <w:rsid w:val="004A4139"/>
    <w:rsid w:val="004A5B5A"/>
    <w:rsid w:val="004A6922"/>
    <w:rsid w:val="004B0A09"/>
    <w:rsid w:val="004B57A2"/>
    <w:rsid w:val="004C209C"/>
    <w:rsid w:val="004C2A71"/>
    <w:rsid w:val="004C4A5C"/>
    <w:rsid w:val="004C4B8D"/>
    <w:rsid w:val="004C6B02"/>
    <w:rsid w:val="004C77D5"/>
    <w:rsid w:val="004C787F"/>
    <w:rsid w:val="004D0D8B"/>
    <w:rsid w:val="004D13B8"/>
    <w:rsid w:val="004D17D3"/>
    <w:rsid w:val="004D1FB9"/>
    <w:rsid w:val="004D27A3"/>
    <w:rsid w:val="004D575A"/>
    <w:rsid w:val="004E0ABD"/>
    <w:rsid w:val="004E273D"/>
    <w:rsid w:val="004E3925"/>
    <w:rsid w:val="004E6853"/>
    <w:rsid w:val="004E7C69"/>
    <w:rsid w:val="004E7D28"/>
    <w:rsid w:val="004F4C80"/>
    <w:rsid w:val="004F6B49"/>
    <w:rsid w:val="00502176"/>
    <w:rsid w:val="005024E8"/>
    <w:rsid w:val="005077B2"/>
    <w:rsid w:val="00514D9A"/>
    <w:rsid w:val="005226AA"/>
    <w:rsid w:val="0052344D"/>
    <w:rsid w:val="00525EAC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A0875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D4DAE"/>
    <w:rsid w:val="005E1200"/>
    <w:rsid w:val="005E6728"/>
    <w:rsid w:val="005F1539"/>
    <w:rsid w:val="005F395D"/>
    <w:rsid w:val="00600A5D"/>
    <w:rsid w:val="00600BE9"/>
    <w:rsid w:val="00601B3D"/>
    <w:rsid w:val="00602DD4"/>
    <w:rsid w:val="00606B42"/>
    <w:rsid w:val="006108C8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635"/>
    <w:rsid w:val="00687401"/>
    <w:rsid w:val="00690E17"/>
    <w:rsid w:val="00692A1D"/>
    <w:rsid w:val="0069702B"/>
    <w:rsid w:val="006A1AF3"/>
    <w:rsid w:val="006A27B6"/>
    <w:rsid w:val="006A3706"/>
    <w:rsid w:val="006A4EFE"/>
    <w:rsid w:val="006A78E6"/>
    <w:rsid w:val="006B1F2F"/>
    <w:rsid w:val="006C0123"/>
    <w:rsid w:val="006C13BA"/>
    <w:rsid w:val="006C387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051C"/>
    <w:rsid w:val="00702B70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340D"/>
    <w:rsid w:val="0077570E"/>
    <w:rsid w:val="00776480"/>
    <w:rsid w:val="00776DCF"/>
    <w:rsid w:val="00777FA4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4893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19EE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4809"/>
    <w:rsid w:val="008354DF"/>
    <w:rsid w:val="00836EF9"/>
    <w:rsid w:val="00840BE2"/>
    <w:rsid w:val="00842FEB"/>
    <w:rsid w:val="00844786"/>
    <w:rsid w:val="00860A93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97F57"/>
    <w:rsid w:val="008A0AF3"/>
    <w:rsid w:val="008A0C6F"/>
    <w:rsid w:val="008A2A92"/>
    <w:rsid w:val="008A767E"/>
    <w:rsid w:val="008B4FD0"/>
    <w:rsid w:val="008B5A9E"/>
    <w:rsid w:val="008B6E4A"/>
    <w:rsid w:val="008C05CA"/>
    <w:rsid w:val="008C3973"/>
    <w:rsid w:val="008C7FBC"/>
    <w:rsid w:val="008D0810"/>
    <w:rsid w:val="008D1CE7"/>
    <w:rsid w:val="008D799D"/>
    <w:rsid w:val="008E0A6F"/>
    <w:rsid w:val="008E25A7"/>
    <w:rsid w:val="008E2A1D"/>
    <w:rsid w:val="008E2E82"/>
    <w:rsid w:val="008F4D59"/>
    <w:rsid w:val="008F70AD"/>
    <w:rsid w:val="009015DA"/>
    <w:rsid w:val="009033BA"/>
    <w:rsid w:val="0090478C"/>
    <w:rsid w:val="00907574"/>
    <w:rsid w:val="00907BB3"/>
    <w:rsid w:val="00910745"/>
    <w:rsid w:val="009130F9"/>
    <w:rsid w:val="00916AB3"/>
    <w:rsid w:val="00921D1D"/>
    <w:rsid w:val="009234D8"/>
    <w:rsid w:val="009235D1"/>
    <w:rsid w:val="009261D6"/>
    <w:rsid w:val="009343D4"/>
    <w:rsid w:val="00941821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C43"/>
    <w:rsid w:val="009A7E1A"/>
    <w:rsid w:val="009B11D3"/>
    <w:rsid w:val="009B2F66"/>
    <w:rsid w:val="009B372C"/>
    <w:rsid w:val="009B3DE1"/>
    <w:rsid w:val="009C0BBA"/>
    <w:rsid w:val="009C424A"/>
    <w:rsid w:val="009C52D2"/>
    <w:rsid w:val="009E0B19"/>
    <w:rsid w:val="009E2021"/>
    <w:rsid w:val="009E2E5E"/>
    <w:rsid w:val="009E3311"/>
    <w:rsid w:val="009E54EC"/>
    <w:rsid w:val="009E6E9F"/>
    <w:rsid w:val="009F10F0"/>
    <w:rsid w:val="009F2AF2"/>
    <w:rsid w:val="009F3436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161D7"/>
    <w:rsid w:val="00A21F6D"/>
    <w:rsid w:val="00A260B3"/>
    <w:rsid w:val="00A27E2A"/>
    <w:rsid w:val="00A30868"/>
    <w:rsid w:val="00A30CBC"/>
    <w:rsid w:val="00A32452"/>
    <w:rsid w:val="00A327EA"/>
    <w:rsid w:val="00A346B7"/>
    <w:rsid w:val="00A356D5"/>
    <w:rsid w:val="00A36D4B"/>
    <w:rsid w:val="00A43642"/>
    <w:rsid w:val="00A44E9D"/>
    <w:rsid w:val="00A53AAA"/>
    <w:rsid w:val="00A577AC"/>
    <w:rsid w:val="00A63B66"/>
    <w:rsid w:val="00A63D1B"/>
    <w:rsid w:val="00A65BC9"/>
    <w:rsid w:val="00A6735C"/>
    <w:rsid w:val="00A67F7C"/>
    <w:rsid w:val="00A71F6C"/>
    <w:rsid w:val="00A839A1"/>
    <w:rsid w:val="00A86CE8"/>
    <w:rsid w:val="00A87B95"/>
    <w:rsid w:val="00A923A6"/>
    <w:rsid w:val="00A94B9C"/>
    <w:rsid w:val="00A96B4F"/>
    <w:rsid w:val="00A97C46"/>
    <w:rsid w:val="00AA0EF6"/>
    <w:rsid w:val="00AA2360"/>
    <w:rsid w:val="00AA3A8F"/>
    <w:rsid w:val="00AA3AC9"/>
    <w:rsid w:val="00AA6F1A"/>
    <w:rsid w:val="00AA7462"/>
    <w:rsid w:val="00AB2969"/>
    <w:rsid w:val="00AB2E77"/>
    <w:rsid w:val="00AB3E4B"/>
    <w:rsid w:val="00AB474B"/>
    <w:rsid w:val="00AB7E9E"/>
    <w:rsid w:val="00AC2334"/>
    <w:rsid w:val="00AC2DA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491"/>
    <w:rsid w:val="00AD7EBC"/>
    <w:rsid w:val="00AE3861"/>
    <w:rsid w:val="00AE447D"/>
    <w:rsid w:val="00AE4D3F"/>
    <w:rsid w:val="00AE7C14"/>
    <w:rsid w:val="00AF00B2"/>
    <w:rsid w:val="00AF04F2"/>
    <w:rsid w:val="00AF3A9C"/>
    <w:rsid w:val="00AF4312"/>
    <w:rsid w:val="00AF6339"/>
    <w:rsid w:val="00AF6749"/>
    <w:rsid w:val="00AF6B3C"/>
    <w:rsid w:val="00AF6D76"/>
    <w:rsid w:val="00AF7334"/>
    <w:rsid w:val="00B02450"/>
    <w:rsid w:val="00B03E23"/>
    <w:rsid w:val="00B043B3"/>
    <w:rsid w:val="00B0581D"/>
    <w:rsid w:val="00B06601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E33"/>
    <w:rsid w:val="00B961E6"/>
    <w:rsid w:val="00B9690F"/>
    <w:rsid w:val="00B97194"/>
    <w:rsid w:val="00BA198A"/>
    <w:rsid w:val="00BA216D"/>
    <w:rsid w:val="00BA34BA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2118E"/>
    <w:rsid w:val="00C324ED"/>
    <w:rsid w:val="00C3341F"/>
    <w:rsid w:val="00C33D91"/>
    <w:rsid w:val="00C36517"/>
    <w:rsid w:val="00C40794"/>
    <w:rsid w:val="00C41BB1"/>
    <w:rsid w:val="00C46D2B"/>
    <w:rsid w:val="00C54E13"/>
    <w:rsid w:val="00C55587"/>
    <w:rsid w:val="00C56F21"/>
    <w:rsid w:val="00C6015B"/>
    <w:rsid w:val="00C66564"/>
    <w:rsid w:val="00C66F24"/>
    <w:rsid w:val="00C66F5C"/>
    <w:rsid w:val="00C67184"/>
    <w:rsid w:val="00C70810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02D"/>
    <w:rsid w:val="00CA515A"/>
    <w:rsid w:val="00CB0200"/>
    <w:rsid w:val="00CB195B"/>
    <w:rsid w:val="00CB2988"/>
    <w:rsid w:val="00CB4349"/>
    <w:rsid w:val="00CC1EF8"/>
    <w:rsid w:val="00CC3277"/>
    <w:rsid w:val="00CC532E"/>
    <w:rsid w:val="00CC7A17"/>
    <w:rsid w:val="00CC7BDC"/>
    <w:rsid w:val="00CD17EB"/>
    <w:rsid w:val="00CD2B6F"/>
    <w:rsid w:val="00CD606E"/>
    <w:rsid w:val="00CD68B9"/>
    <w:rsid w:val="00CD75BC"/>
    <w:rsid w:val="00CE00C7"/>
    <w:rsid w:val="00CE33E0"/>
    <w:rsid w:val="00CF2878"/>
    <w:rsid w:val="00CF468F"/>
    <w:rsid w:val="00CF5591"/>
    <w:rsid w:val="00D000DE"/>
    <w:rsid w:val="00D001E0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31AA"/>
    <w:rsid w:val="00D557D3"/>
    <w:rsid w:val="00D56284"/>
    <w:rsid w:val="00D6022D"/>
    <w:rsid w:val="00D612D7"/>
    <w:rsid w:val="00D62B63"/>
    <w:rsid w:val="00D6434B"/>
    <w:rsid w:val="00D6595F"/>
    <w:rsid w:val="00D65981"/>
    <w:rsid w:val="00D66528"/>
    <w:rsid w:val="00D67560"/>
    <w:rsid w:val="00D7365F"/>
    <w:rsid w:val="00D73D69"/>
    <w:rsid w:val="00D74033"/>
    <w:rsid w:val="00D74E0D"/>
    <w:rsid w:val="00D76C59"/>
    <w:rsid w:val="00D856E5"/>
    <w:rsid w:val="00D85B2E"/>
    <w:rsid w:val="00D917B6"/>
    <w:rsid w:val="00DA1526"/>
    <w:rsid w:val="00DA2337"/>
    <w:rsid w:val="00DA51C8"/>
    <w:rsid w:val="00DA6189"/>
    <w:rsid w:val="00DA7A2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0A09"/>
    <w:rsid w:val="00DF393A"/>
    <w:rsid w:val="00DF4B67"/>
    <w:rsid w:val="00E019CB"/>
    <w:rsid w:val="00E10C73"/>
    <w:rsid w:val="00E14C70"/>
    <w:rsid w:val="00E17D45"/>
    <w:rsid w:val="00E206A4"/>
    <w:rsid w:val="00E20B9C"/>
    <w:rsid w:val="00E215F6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34B5"/>
    <w:rsid w:val="00E559CB"/>
    <w:rsid w:val="00E56131"/>
    <w:rsid w:val="00E563F7"/>
    <w:rsid w:val="00E6055D"/>
    <w:rsid w:val="00E728A4"/>
    <w:rsid w:val="00E73485"/>
    <w:rsid w:val="00E73C34"/>
    <w:rsid w:val="00E74E63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1CEE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6815"/>
    <w:rsid w:val="00EC75F2"/>
    <w:rsid w:val="00ED195C"/>
    <w:rsid w:val="00ED7F9A"/>
    <w:rsid w:val="00EE457B"/>
    <w:rsid w:val="00EE696C"/>
    <w:rsid w:val="00F03B14"/>
    <w:rsid w:val="00F074FE"/>
    <w:rsid w:val="00F07C93"/>
    <w:rsid w:val="00F10BA3"/>
    <w:rsid w:val="00F12956"/>
    <w:rsid w:val="00F14277"/>
    <w:rsid w:val="00F22067"/>
    <w:rsid w:val="00F22955"/>
    <w:rsid w:val="00F22A70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C31"/>
    <w:rsid w:val="00F5571F"/>
    <w:rsid w:val="00F55FD0"/>
    <w:rsid w:val="00F56837"/>
    <w:rsid w:val="00F6074C"/>
    <w:rsid w:val="00F61022"/>
    <w:rsid w:val="00F61EDC"/>
    <w:rsid w:val="00F622C6"/>
    <w:rsid w:val="00F63A5D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C1C20"/>
    <w:rsid w:val="00FC2ADD"/>
    <w:rsid w:val="00FD19C3"/>
    <w:rsid w:val="00FD2149"/>
    <w:rsid w:val="00FD3BA7"/>
    <w:rsid w:val="00FD69A6"/>
    <w:rsid w:val="00FD73E5"/>
    <w:rsid w:val="00FE26AA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278C-3E7A-4D20-84F6-AB64F31A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郭忻瑩</cp:lastModifiedBy>
  <cp:revision>5</cp:revision>
  <cp:lastPrinted>2021-04-06T07:58:00Z</cp:lastPrinted>
  <dcterms:created xsi:type="dcterms:W3CDTF">2025-05-09T08:38:00Z</dcterms:created>
  <dcterms:modified xsi:type="dcterms:W3CDTF">2025-05-15T09:41:00Z</dcterms:modified>
</cp:coreProperties>
</file>