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FF" w:rsidRDefault="009E61FF" w:rsidP="009E61FF">
      <w:pPr>
        <w:snapToGrid w:val="0"/>
        <w:spacing w:after="120" w:line="400" w:lineRule="exact"/>
        <w:jc w:val="center"/>
        <w:outlineLvl w:val="0"/>
        <w:rPr>
          <w:rFonts w:ascii="新細明體" w:eastAsia="新細明體" w:hAnsi="Arial" w:cs="新細明體"/>
          <w:bCs/>
          <w:color w:val="000000"/>
          <w:spacing w:val="10"/>
          <w:kern w:val="52"/>
          <w:sz w:val="36"/>
          <w:szCs w:val="36"/>
          <w:lang w:val="x-none"/>
        </w:rPr>
      </w:pPr>
      <w:proofErr w:type="spellStart"/>
      <w:r w:rsidRPr="009E61FF">
        <w:rPr>
          <w:rFonts w:ascii="新細明體" w:eastAsia="新細明體" w:hAnsi="Arial" w:cs="新細明體" w:hint="eastAsia"/>
          <w:b/>
          <w:bCs/>
          <w:color w:val="000000"/>
          <w:spacing w:val="10"/>
          <w:kern w:val="52"/>
          <w:sz w:val="36"/>
          <w:szCs w:val="36"/>
          <w:lang w:val="x-none" w:eastAsia="x-none"/>
        </w:rPr>
        <w:t>證券商內部控制制度標準規範</w:t>
      </w:r>
      <w:r w:rsidRPr="009E61FF">
        <w:rPr>
          <w:rFonts w:ascii="新細明體" w:eastAsia="新細明體" w:hAnsi="新細明體" w:cs="新細明體" w:hint="eastAsia"/>
          <w:b/>
          <w:bCs/>
          <w:color w:val="000000"/>
          <w:spacing w:val="10"/>
          <w:kern w:val="52"/>
          <w:sz w:val="36"/>
          <w:szCs w:val="36"/>
          <w:lang w:val="x-none" w:eastAsia="x-none"/>
        </w:rPr>
        <w:t>―</w:t>
      </w:r>
      <w:r w:rsidRPr="009E61FF">
        <w:rPr>
          <w:rFonts w:ascii="新細明體" w:eastAsia="新細明體" w:hAnsi="Arial" w:cs="新細明體" w:hint="eastAsia"/>
          <w:b/>
          <w:bCs/>
          <w:color w:val="000000"/>
          <w:spacing w:val="10"/>
          <w:kern w:val="52"/>
          <w:sz w:val="36"/>
          <w:szCs w:val="36"/>
          <w:lang w:val="x-none" w:eastAsia="x-none"/>
        </w:rPr>
        <w:t>內部控制制度修訂對照表</w:t>
      </w:r>
      <w:proofErr w:type="spellEnd"/>
      <w:r w:rsidRPr="009E61FF">
        <w:rPr>
          <w:rFonts w:ascii="新細明體" w:eastAsia="新細明體" w:hAnsi="Arial" w:cs="新細明體" w:hint="eastAsia"/>
          <w:bCs/>
          <w:color w:val="000000"/>
          <w:spacing w:val="10"/>
          <w:kern w:val="52"/>
          <w:sz w:val="36"/>
          <w:szCs w:val="36"/>
          <w:lang w:val="x-none"/>
        </w:rPr>
        <w:t>(</w:t>
      </w:r>
      <w:r>
        <w:rPr>
          <w:rFonts w:ascii="新細明體" w:eastAsia="新細明體" w:hAnsi="Arial" w:cs="新細明體"/>
          <w:bCs/>
          <w:color w:val="000000"/>
          <w:spacing w:val="10"/>
          <w:kern w:val="52"/>
          <w:sz w:val="36"/>
          <w:szCs w:val="36"/>
          <w:lang w:val="x-none"/>
        </w:rPr>
        <w:t>10</w:t>
      </w:r>
      <w:r w:rsidR="00FA65A7">
        <w:rPr>
          <w:rFonts w:ascii="新細明體" w:eastAsia="新細明體" w:hAnsi="Arial" w:cs="新細明體" w:hint="eastAsia"/>
          <w:bCs/>
          <w:color w:val="000000"/>
          <w:spacing w:val="10"/>
          <w:kern w:val="52"/>
          <w:sz w:val="36"/>
          <w:szCs w:val="36"/>
          <w:lang w:val="x-none"/>
        </w:rPr>
        <w:t>9</w:t>
      </w:r>
      <w:r w:rsidR="00CB5EB5">
        <w:rPr>
          <w:rFonts w:ascii="新細明體" w:eastAsia="新細明體" w:hAnsi="Arial" w:cs="新細明體" w:hint="eastAsia"/>
          <w:bCs/>
          <w:color w:val="000000"/>
          <w:spacing w:val="10"/>
          <w:kern w:val="52"/>
          <w:sz w:val="36"/>
          <w:szCs w:val="36"/>
          <w:lang w:val="x-none"/>
        </w:rPr>
        <w:t>.04.06</w:t>
      </w:r>
      <w:bookmarkStart w:id="0" w:name="_GoBack"/>
      <w:bookmarkEnd w:id="0"/>
      <w:r w:rsidRPr="009E61FF">
        <w:rPr>
          <w:rFonts w:ascii="新細明體" w:eastAsia="新細明體" w:hAnsi="Arial" w:cs="新細明體"/>
          <w:bCs/>
          <w:color w:val="000000"/>
          <w:spacing w:val="10"/>
          <w:kern w:val="52"/>
          <w:sz w:val="36"/>
          <w:szCs w:val="36"/>
          <w:lang w:val="x-none"/>
        </w:rPr>
        <w:t>)</w:t>
      </w:r>
    </w:p>
    <w:tbl>
      <w:tblPr>
        <w:tblStyle w:val="a3"/>
        <w:tblW w:w="14805" w:type="dxa"/>
        <w:tblLook w:val="04A0" w:firstRow="1" w:lastRow="0" w:firstColumn="1" w:lastColumn="0" w:noHBand="0" w:noVBand="1"/>
      </w:tblPr>
      <w:tblGrid>
        <w:gridCol w:w="880"/>
        <w:gridCol w:w="1397"/>
        <w:gridCol w:w="6621"/>
        <w:gridCol w:w="3023"/>
        <w:gridCol w:w="2884"/>
      </w:tblGrid>
      <w:tr w:rsidR="003A6415" w:rsidTr="00E74970">
        <w:tc>
          <w:tcPr>
            <w:tcW w:w="880" w:type="dxa"/>
          </w:tcPr>
          <w:p w:rsidR="003A6415" w:rsidRPr="003A6415" w:rsidRDefault="003A6415" w:rsidP="00963059">
            <w:pPr>
              <w:jc w:val="center"/>
              <w:rPr>
                <w:lang w:val="x-none"/>
              </w:rPr>
            </w:pPr>
            <w:r>
              <w:rPr>
                <w:rFonts w:hint="eastAsia"/>
                <w:lang w:val="x-none"/>
              </w:rPr>
              <w:t>編號</w:t>
            </w:r>
          </w:p>
        </w:tc>
        <w:tc>
          <w:tcPr>
            <w:tcW w:w="1397" w:type="dxa"/>
          </w:tcPr>
          <w:p w:rsidR="003A6415" w:rsidRDefault="003A6415" w:rsidP="00963059">
            <w:pPr>
              <w:jc w:val="center"/>
              <w:rPr>
                <w:lang w:val="x-none"/>
              </w:rPr>
            </w:pPr>
            <w:r>
              <w:rPr>
                <w:rFonts w:hint="eastAsia"/>
                <w:lang w:val="x-none"/>
              </w:rPr>
              <w:t>作業項目</w:t>
            </w:r>
          </w:p>
        </w:tc>
        <w:tc>
          <w:tcPr>
            <w:tcW w:w="6621" w:type="dxa"/>
          </w:tcPr>
          <w:p w:rsidR="003A6415" w:rsidRDefault="003935B7" w:rsidP="00963059">
            <w:pPr>
              <w:jc w:val="center"/>
              <w:rPr>
                <w:lang w:val="x-none"/>
              </w:rPr>
            </w:pPr>
            <w:r>
              <w:rPr>
                <w:rFonts w:hint="eastAsia"/>
                <w:lang w:val="x-none"/>
              </w:rPr>
              <w:t>核定</w:t>
            </w:r>
            <w:r w:rsidR="003A6415">
              <w:rPr>
                <w:rFonts w:hint="eastAsia"/>
                <w:lang w:val="x-none"/>
              </w:rPr>
              <w:t>內容</w:t>
            </w:r>
          </w:p>
        </w:tc>
        <w:tc>
          <w:tcPr>
            <w:tcW w:w="3023" w:type="dxa"/>
          </w:tcPr>
          <w:p w:rsidR="003A6415" w:rsidRDefault="003A6415" w:rsidP="00963059">
            <w:pPr>
              <w:jc w:val="center"/>
              <w:rPr>
                <w:lang w:val="x-none"/>
              </w:rPr>
            </w:pPr>
            <w:r>
              <w:rPr>
                <w:rFonts w:hint="eastAsia"/>
                <w:lang w:val="x-none"/>
              </w:rPr>
              <w:t>修訂前內容</w:t>
            </w:r>
          </w:p>
        </w:tc>
        <w:tc>
          <w:tcPr>
            <w:tcW w:w="2884" w:type="dxa"/>
          </w:tcPr>
          <w:p w:rsidR="003A6415" w:rsidRDefault="003A6415" w:rsidP="00963059">
            <w:pPr>
              <w:jc w:val="center"/>
              <w:rPr>
                <w:lang w:val="x-none"/>
              </w:rPr>
            </w:pPr>
            <w:r>
              <w:rPr>
                <w:rFonts w:hint="eastAsia"/>
                <w:lang w:val="x-none"/>
              </w:rPr>
              <w:t>修訂說明</w:t>
            </w:r>
          </w:p>
        </w:tc>
      </w:tr>
      <w:tr w:rsidR="003A6415" w:rsidTr="00E74970">
        <w:tc>
          <w:tcPr>
            <w:tcW w:w="880" w:type="dxa"/>
          </w:tcPr>
          <w:p w:rsidR="003A6415" w:rsidRPr="005E3EEE" w:rsidRDefault="00123162" w:rsidP="005E3EEE">
            <w:pPr>
              <w:spacing w:line="420" w:lineRule="atLeast"/>
              <w:jc w:val="both"/>
              <w:rPr>
                <w:rFonts w:ascii="新細明體" w:eastAsia="新細明體" w:hAnsi="新細明體" w:cs="Times New Roman"/>
                <w:spacing w:val="20"/>
                <w:szCs w:val="20"/>
              </w:rPr>
            </w:pPr>
            <w:r w:rsidRPr="005E3EEE">
              <w:rPr>
                <w:rFonts w:ascii="新細明體" w:eastAsia="新細明體" w:hAnsi="新細明體" w:cs="Times New Roman"/>
                <w:spacing w:val="20"/>
                <w:szCs w:val="20"/>
              </w:rPr>
              <w:t>C</w:t>
            </w:r>
            <w:r w:rsidR="00EE1F96">
              <w:rPr>
                <w:rFonts w:ascii="新細明體" w:eastAsia="新細明體" w:hAnsi="新細明體" w:cs="Times New Roman" w:hint="eastAsia"/>
                <w:spacing w:val="20"/>
                <w:szCs w:val="20"/>
              </w:rPr>
              <w:t>R</w:t>
            </w:r>
            <w:r w:rsidR="00A820EF">
              <w:rPr>
                <w:rFonts w:ascii="新細明體" w:eastAsia="新細明體" w:hAnsi="新細明體" w:cs="Times New Roman"/>
                <w:spacing w:val="20"/>
                <w:szCs w:val="20"/>
              </w:rPr>
              <w:t>-1</w:t>
            </w:r>
            <w:r w:rsidR="00EE1F96">
              <w:rPr>
                <w:rFonts w:ascii="新細明體" w:eastAsia="新細明體" w:hAnsi="新細明體" w:cs="Times New Roman" w:hint="eastAsia"/>
                <w:spacing w:val="20"/>
                <w:szCs w:val="20"/>
              </w:rPr>
              <w:t>10</w:t>
            </w:r>
            <w:r w:rsidR="00A820EF">
              <w:rPr>
                <w:rFonts w:ascii="新細明體" w:eastAsia="新細明體" w:hAnsi="新細明體" w:cs="Times New Roman" w:hint="eastAsia"/>
                <w:spacing w:val="20"/>
                <w:szCs w:val="20"/>
              </w:rPr>
              <w:t>0</w:t>
            </w:r>
            <w:r w:rsidRPr="005E3EEE">
              <w:rPr>
                <w:rFonts w:ascii="新細明體" w:eastAsia="新細明體" w:hAnsi="新細明體" w:cs="Times New Roman"/>
                <w:spacing w:val="20"/>
                <w:szCs w:val="20"/>
              </w:rPr>
              <w:t>0</w:t>
            </w:r>
          </w:p>
          <w:p w:rsidR="003A6415" w:rsidRPr="005E3EEE" w:rsidRDefault="003A6415" w:rsidP="005E3EEE">
            <w:pPr>
              <w:spacing w:line="420" w:lineRule="atLeast"/>
              <w:jc w:val="both"/>
              <w:rPr>
                <w:rFonts w:ascii="新細明體" w:eastAsia="新細明體" w:hAnsi="新細明體" w:cs="Times New Roman"/>
                <w:spacing w:val="20"/>
                <w:szCs w:val="20"/>
              </w:rPr>
            </w:pPr>
          </w:p>
          <w:p w:rsidR="003A6415" w:rsidRPr="005E3EEE" w:rsidRDefault="003A6415" w:rsidP="005E3EEE">
            <w:pPr>
              <w:spacing w:line="420" w:lineRule="atLeast"/>
              <w:jc w:val="both"/>
              <w:rPr>
                <w:rFonts w:ascii="新細明體" w:eastAsia="新細明體" w:hAnsi="新細明體" w:cs="Times New Roman"/>
                <w:spacing w:val="20"/>
                <w:szCs w:val="20"/>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Default="003A6415" w:rsidP="009E61FF">
            <w:pPr>
              <w:rPr>
                <w:lang w:val="x-none"/>
              </w:rPr>
            </w:pPr>
          </w:p>
          <w:p w:rsidR="003A6415" w:rsidRPr="003A6415" w:rsidRDefault="003A6415" w:rsidP="009E61FF">
            <w:pPr>
              <w:rPr>
                <w:lang w:val="x-none"/>
              </w:rPr>
            </w:pPr>
          </w:p>
        </w:tc>
        <w:tc>
          <w:tcPr>
            <w:tcW w:w="1397" w:type="dxa"/>
          </w:tcPr>
          <w:p w:rsidR="003A6415" w:rsidRDefault="00EE1F96" w:rsidP="009E61FF">
            <w:pPr>
              <w:rPr>
                <w:lang w:val="x-none"/>
              </w:rPr>
            </w:pPr>
            <w:r>
              <w:rPr>
                <w:rFonts w:ascii="新細明體" w:hAnsi="新細明體" w:hint="eastAsia"/>
                <w:spacing w:val="24"/>
              </w:rPr>
              <w:t>權益作業</w:t>
            </w:r>
          </w:p>
        </w:tc>
        <w:tc>
          <w:tcPr>
            <w:tcW w:w="6621" w:type="dxa"/>
          </w:tcPr>
          <w:p w:rsidR="00F76425" w:rsidRDefault="00F76425" w:rsidP="00F76425">
            <w:pPr>
              <w:spacing w:line="420" w:lineRule="atLeast"/>
              <w:rPr>
                <w:rFonts w:ascii="新細明體" w:eastAsia="新細明體" w:hAnsi="新細明體" w:cs="Times New Roman"/>
                <w:color w:val="000000"/>
              </w:rPr>
            </w:pPr>
            <w:r>
              <w:rPr>
                <w:rFonts w:ascii="新細明體" w:hAnsi="新細明體" w:cs="新細明體" w:hint="eastAsia"/>
                <w:color w:val="000000"/>
                <w:spacing w:val="20"/>
              </w:rPr>
              <w:t>作業</w:t>
            </w:r>
            <w:r w:rsidRPr="008B1E3F">
              <w:rPr>
                <w:rFonts w:ascii="新細明體" w:hAnsi="新細明體" w:cs="新細明體" w:hint="eastAsia"/>
                <w:color w:val="000000"/>
                <w:spacing w:val="20"/>
              </w:rPr>
              <w:t>程序及控制重點</w:t>
            </w:r>
            <w:r w:rsidR="00397B8D" w:rsidRPr="00456B35">
              <w:rPr>
                <w:rFonts w:ascii="新細明體" w:eastAsia="新細明體" w:hAnsi="新細明體" w:cs="Times New Roman" w:hint="eastAsia"/>
                <w:color w:val="000000"/>
              </w:rPr>
              <w:t>：</w:t>
            </w:r>
          </w:p>
          <w:p w:rsidR="00185181" w:rsidRPr="008B1E3F" w:rsidRDefault="00185181" w:rsidP="00F76425">
            <w:pPr>
              <w:spacing w:line="420" w:lineRule="atLeast"/>
              <w:rPr>
                <w:rFonts w:ascii="新細明體" w:hAnsi="新細明體" w:cs="新細明體"/>
                <w:color w:val="000000"/>
                <w:spacing w:val="20"/>
              </w:rPr>
            </w:pPr>
            <w:r>
              <w:rPr>
                <w:rFonts w:ascii="新細明體" w:eastAsia="新細明體" w:hAnsi="新細明體" w:cs="Times New Roman" w:hint="eastAsia"/>
                <w:color w:val="000000"/>
              </w:rPr>
              <w:t>(一)</w:t>
            </w:r>
            <w:r w:rsidRPr="0015639C">
              <w:rPr>
                <w:rFonts w:ascii="新細明體" w:eastAsia="新細明體" w:hAnsi="新細明體" w:cs="Times New Roman" w:hint="eastAsia"/>
                <w:color w:val="000000"/>
              </w:rPr>
              <w:t xml:space="preserve"> ~</w:t>
            </w:r>
            <w:r>
              <w:rPr>
                <w:rFonts w:ascii="新細明體" w:eastAsia="新細明體" w:hAnsi="新細明體" w:cs="Times New Roman" w:hint="eastAsia"/>
                <w:color w:val="000000"/>
              </w:rPr>
              <w:t>(二十二)</w:t>
            </w:r>
            <w:r w:rsidRPr="00B85495">
              <w:rPr>
                <w:rFonts w:ascii="新細明體" w:eastAsia="新細明體" w:hAnsi="新細明體" w:cs="Times New Roman" w:hint="eastAsia"/>
                <w:color w:val="000000"/>
              </w:rPr>
              <w:t>略</w:t>
            </w:r>
          </w:p>
          <w:p w:rsidR="00BF179C" w:rsidRPr="00443C93" w:rsidRDefault="00A820EF" w:rsidP="00443C93">
            <w:pPr>
              <w:spacing w:line="360" w:lineRule="exact"/>
              <w:ind w:left="822" w:hanging="822"/>
              <w:jc w:val="both"/>
              <w:rPr>
                <w:rFonts w:ascii="新細明體" w:hAnsi="新細明體"/>
                <w:color w:val="FF0000"/>
                <w:spacing w:val="24"/>
                <w:u w:val="single"/>
              </w:rPr>
            </w:pPr>
            <w:r w:rsidRPr="008B1E3F">
              <w:rPr>
                <w:rFonts w:ascii="新細明體" w:hAnsi="新細明體" w:hint="eastAsia"/>
                <w:color w:val="FF0000"/>
                <w:spacing w:val="24"/>
                <w:u w:val="single"/>
              </w:rPr>
              <w:t>(</w:t>
            </w:r>
            <w:r w:rsidR="00185181">
              <w:rPr>
                <w:rFonts w:ascii="新細明體" w:hAnsi="新細明體" w:hint="eastAsia"/>
                <w:color w:val="FF0000"/>
                <w:spacing w:val="24"/>
                <w:u w:val="single"/>
              </w:rPr>
              <w:t>二</w:t>
            </w:r>
            <w:r w:rsidRPr="008B1E3F">
              <w:rPr>
                <w:rFonts w:ascii="新細明體" w:hAnsi="新細明體" w:hint="eastAsia"/>
                <w:color w:val="FF0000"/>
                <w:spacing w:val="24"/>
                <w:u w:val="single"/>
              </w:rPr>
              <w:t>十</w:t>
            </w:r>
            <w:r w:rsidR="00185181">
              <w:rPr>
                <w:rFonts w:ascii="新細明體" w:hAnsi="新細明體" w:hint="eastAsia"/>
                <w:color w:val="FF0000"/>
                <w:spacing w:val="24"/>
                <w:u w:val="single"/>
              </w:rPr>
              <w:t>三</w:t>
            </w:r>
            <w:r w:rsidRPr="008B1E3F">
              <w:rPr>
                <w:rFonts w:ascii="新細明體" w:hAnsi="新細明體" w:hint="eastAsia"/>
                <w:color w:val="FF0000"/>
                <w:spacing w:val="24"/>
                <w:u w:val="single"/>
              </w:rPr>
              <w:t>)</w:t>
            </w:r>
            <w:r w:rsidR="00185181" w:rsidRPr="00185181">
              <w:rPr>
                <w:rFonts w:ascii="新細明體" w:hAnsi="新細明體" w:hint="eastAsia"/>
                <w:color w:val="FF0000"/>
                <w:spacing w:val="24"/>
                <w:u w:val="single"/>
              </w:rPr>
              <w:t>為落實股東平等原則、保障投資人權益及強化公司治理</w:t>
            </w:r>
            <w:r w:rsidR="004C5021">
              <w:rPr>
                <w:rFonts w:ascii="新細明體" w:hAnsi="新細明體" w:hint="eastAsia"/>
                <w:color w:val="FF0000"/>
                <w:spacing w:val="24"/>
                <w:u w:val="single"/>
              </w:rPr>
              <w:t>，</w:t>
            </w:r>
            <w:r w:rsidR="004C5021" w:rsidRPr="004C5021">
              <w:rPr>
                <w:rFonts w:ascii="新細明體" w:hAnsi="新細明體" w:hint="eastAsia"/>
                <w:color w:val="FF0000"/>
                <w:spacing w:val="24"/>
                <w:u w:val="single"/>
              </w:rPr>
              <w:t>應參照公開發行股票公司相關規範辦理下列事項</w:t>
            </w:r>
            <w:r w:rsidR="001F5B91">
              <w:rPr>
                <w:rFonts w:ascii="新細明體" w:hAnsi="新細明體" w:hint="eastAsia"/>
                <w:color w:val="FF0000"/>
                <w:spacing w:val="24"/>
                <w:u w:val="single"/>
              </w:rPr>
              <w:t>：</w:t>
            </w:r>
            <w:r w:rsidR="00F95974">
              <w:rPr>
                <w:rFonts w:ascii="新細明體" w:hAnsi="新細明體" w:hint="eastAsia"/>
                <w:color w:val="FF0000"/>
                <w:spacing w:val="24"/>
                <w:u w:val="single"/>
              </w:rPr>
              <w:t xml:space="preserve"> </w:t>
            </w:r>
          </w:p>
          <w:p w:rsidR="00BF179C" w:rsidRDefault="003935B7" w:rsidP="000D2BE6">
            <w:pPr>
              <w:pStyle w:val="a8"/>
              <w:numPr>
                <w:ilvl w:val="0"/>
                <w:numId w:val="4"/>
              </w:numPr>
              <w:spacing w:line="440" w:lineRule="exact"/>
              <w:ind w:leftChars="0"/>
              <w:jc w:val="both"/>
              <w:rPr>
                <w:rFonts w:ascii="新細明體" w:hAnsi="新細明體"/>
                <w:color w:val="FF0000"/>
                <w:spacing w:val="24"/>
                <w:u w:val="single"/>
              </w:rPr>
            </w:pPr>
            <w:r w:rsidRPr="003935B7">
              <w:rPr>
                <w:rFonts w:ascii="新細明體" w:hAnsi="新細明體" w:hint="eastAsia"/>
                <w:color w:val="FF0000"/>
                <w:spacing w:val="24"/>
                <w:u w:val="single"/>
              </w:rPr>
              <w:t>為允當評估公司財務業務之管理情形，公司之資本應採行票面金額股制度，不得經股東會決議將已發行之票面金額股轉換為無票面金額股</w:t>
            </w:r>
            <w:r w:rsidR="00BF179C">
              <w:rPr>
                <w:rFonts w:ascii="新細明體" w:hAnsi="新細明體" w:hint="eastAsia"/>
                <w:color w:val="FF0000"/>
                <w:spacing w:val="24"/>
                <w:u w:val="single"/>
              </w:rPr>
              <w:t>。</w:t>
            </w:r>
          </w:p>
          <w:p w:rsidR="00B0477F" w:rsidRDefault="006A40BF" w:rsidP="000D2BE6">
            <w:pPr>
              <w:pStyle w:val="a8"/>
              <w:numPr>
                <w:ilvl w:val="0"/>
                <w:numId w:val="4"/>
              </w:numPr>
              <w:spacing w:line="440" w:lineRule="exact"/>
              <w:ind w:leftChars="0"/>
              <w:jc w:val="both"/>
              <w:rPr>
                <w:rFonts w:ascii="新細明體" w:hAnsi="新細明體"/>
                <w:color w:val="FF0000"/>
                <w:spacing w:val="24"/>
                <w:u w:val="single"/>
              </w:rPr>
            </w:pPr>
            <w:r>
              <w:rPr>
                <w:rFonts w:ascii="新細明體" w:hAnsi="新細明體" w:hint="eastAsia"/>
                <w:color w:val="FF0000"/>
                <w:spacing w:val="24"/>
                <w:u w:val="single"/>
              </w:rPr>
              <w:t>章程中不得訂定</w:t>
            </w:r>
            <w:r w:rsidR="00B0477F">
              <w:rPr>
                <w:rFonts w:ascii="新細明體" w:hAnsi="新細明體" w:hint="eastAsia"/>
                <w:color w:val="FF0000"/>
                <w:spacing w:val="24"/>
                <w:u w:val="single"/>
              </w:rPr>
              <w:t>發行複數表決權特別股</w:t>
            </w:r>
            <w:r>
              <w:rPr>
                <w:rFonts w:ascii="新細明體" w:hAnsi="新細明體" w:hint="eastAsia"/>
                <w:color w:val="FF0000"/>
                <w:spacing w:val="24"/>
                <w:u w:val="single"/>
              </w:rPr>
              <w:t>、對於特定事項具否決權特別股</w:t>
            </w:r>
            <w:r w:rsidR="00E23EEE">
              <w:rPr>
                <w:rFonts w:ascii="新細明體" w:hAnsi="新細明體" w:hint="eastAsia"/>
                <w:color w:val="FF0000"/>
                <w:spacing w:val="24"/>
                <w:u w:val="single"/>
              </w:rPr>
              <w:t>或</w:t>
            </w:r>
            <w:r w:rsidR="00B0477F">
              <w:rPr>
                <w:rFonts w:ascii="新細明體" w:hAnsi="新細明體" w:hint="eastAsia"/>
                <w:color w:val="FF0000"/>
                <w:spacing w:val="24"/>
                <w:u w:val="single"/>
              </w:rPr>
              <w:t>得轉換成複數普通股之特別股</w:t>
            </w:r>
            <w:r>
              <w:rPr>
                <w:rFonts w:ascii="新細明體" w:hAnsi="新細明體" w:hint="eastAsia"/>
                <w:color w:val="FF0000"/>
                <w:spacing w:val="24"/>
                <w:u w:val="single"/>
              </w:rPr>
              <w:t>，亦不得訂定特別股股東被選舉為董事、監察人之禁止或限制，或當選一定名額董事之權利，亦即不適用公司法第157條第1項第4款、第5款及第7款之特別股</w:t>
            </w:r>
            <w:r w:rsidR="00E23EEE" w:rsidRPr="00E23EEE">
              <w:rPr>
                <w:rFonts w:ascii="新細明體" w:hAnsi="新細明體" w:hint="eastAsia"/>
                <w:color w:val="FF0000"/>
                <w:spacing w:val="24"/>
                <w:u w:val="single"/>
              </w:rPr>
              <w:t>及</w:t>
            </w:r>
            <w:r w:rsidR="00015CAC">
              <w:rPr>
                <w:rFonts w:ascii="新細明體" w:hAnsi="新細明體" w:hint="eastAsia"/>
                <w:color w:val="FF0000"/>
                <w:spacing w:val="24"/>
                <w:u w:val="single"/>
              </w:rPr>
              <w:t>第3項第2款得轉換成複數普通股之特別股</w:t>
            </w:r>
            <w:r w:rsidR="00E23EEE" w:rsidRPr="00E23EEE">
              <w:rPr>
                <w:rFonts w:ascii="新細明體" w:hAnsi="新細明體" w:hint="eastAsia"/>
                <w:color w:val="FF0000"/>
                <w:spacing w:val="24"/>
                <w:u w:val="single"/>
              </w:rPr>
              <w:t>規定</w:t>
            </w:r>
            <w:r>
              <w:rPr>
                <w:rFonts w:ascii="新細明體" w:hAnsi="新細明體" w:hint="eastAsia"/>
                <w:color w:val="FF0000"/>
                <w:spacing w:val="24"/>
                <w:u w:val="single"/>
              </w:rPr>
              <w:t>。</w:t>
            </w:r>
          </w:p>
          <w:p w:rsidR="008714B1" w:rsidRDefault="00015CAC" w:rsidP="000D2BE6">
            <w:pPr>
              <w:pStyle w:val="a8"/>
              <w:numPr>
                <w:ilvl w:val="0"/>
                <w:numId w:val="4"/>
              </w:numPr>
              <w:spacing w:line="440" w:lineRule="exact"/>
              <w:ind w:leftChars="0"/>
              <w:jc w:val="both"/>
              <w:rPr>
                <w:rFonts w:ascii="新細明體" w:hAnsi="新細明體"/>
                <w:color w:val="FF0000"/>
                <w:spacing w:val="24"/>
                <w:u w:val="single"/>
              </w:rPr>
            </w:pPr>
            <w:r>
              <w:rPr>
                <w:rFonts w:ascii="新細明體" w:hAnsi="新細明體" w:hint="eastAsia"/>
                <w:color w:val="FF0000"/>
                <w:spacing w:val="24"/>
                <w:u w:val="single"/>
              </w:rPr>
              <w:t>股東會開會應實際集會，</w:t>
            </w:r>
            <w:r w:rsidR="00F92069">
              <w:rPr>
                <w:rFonts w:ascii="新細明體" w:hAnsi="新細明體" w:hint="eastAsia"/>
                <w:color w:val="FF0000"/>
                <w:spacing w:val="24"/>
                <w:u w:val="single"/>
              </w:rPr>
              <w:t>不得於</w:t>
            </w:r>
            <w:r w:rsidR="008714B1">
              <w:rPr>
                <w:rFonts w:ascii="新細明體" w:hAnsi="新細明體" w:hint="eastAsia"/>
                <w:color w:val="FF0000"/>
                <w:spacing w:val="24"/>
                <w:u w:val="single"/>
              </w:rPr>
              <w:t>章程中訂定股東會開會</w:t>
            </w:r>
            <w:r w:rsidR="00F92069">
              <w:rPr>
                <w:rFonts w:ascii="新細明體" w:hAnsi="新細明體" w:hint="eastAsia"/>
                <w:color w:val="FF0000"/>
                <w:spacing w:val="24"/>
                <w:u w:val="single"/>
              </w:rPr>
              <w:t>得</w:t>
            </w:r>
            <w:r w:rsidR="008714B1">
              <w:rPr>
                <w:rFonts w:ascii="新細明體" w:hAnsi="新細明體" w:hint="eastAsia"/>
                <w:color w:val="FF0000"/>
                <w:spacing w:val="24"/>
                <w:u w:val="single"/>
              </w:rPr>
              <w:t>以視訊會議</w:t>
            </w:r>
            <w:r>
              <w:rPr>
                <w:rFonts w:ascii="新細明體" w:hAnsi="新細明體" w:hint="eastAsia"/>
                <w:color w:val="FF0000"/>
                <w:spacing w:val="24"/>
                <w:u w:val="single"/>
              </w:rPr>
              <w:t>或其他</w:t>
            </w:r>
            <w:r w:rsidR="00F92069">
              <w:rPr>
                <w:rFonts w:ascii="新細明體" w:hAnsi="新細明體" w:hint="eastAsia"/>
                <w:color w:val="FF0000"/>
                <w:spacing w:val="24"/>
                <w:u w:val="single"/>
              </w:rPr>
              <w:t>方式</w:t>
            </w:r>
            <w:r w:rsidR="008714B1">
              <w:rPr>
                <w:rFonts w:ascii="新細明體" w:hAnsi="新細明體" w:hint="eastAsia"/>
                <w:color w:val="FF0000"/>
                <w:spacing w:val="24"/>
                <w:u w:val="single"/>
              </w:rPr>
              <w:t>為之。</w:t>
            </w:r>
          </w:p>
          <w:p w:rsidR="00661AFC" w:rsidRDefault="000F564D" w:rsidP="000D2BE6">
            <w:pPr>
              <w:pStyle w:val="a8"/>
              <w:numPr>
                <w:ilvl w:val="0"/>
                <w:numId w:val="4"/>
              </w:numPr>
              <w:spacing w:line="440" w:lineRule="exact"/>
              <w:ind w:leftChars="0"/>
              <w:jc w:val="both"/>
              <w:rPr>
                <w:rFonts w:ascii="新細明體" w:hAnsi="新細明體"/>
                <w:color w:val="FF0000"/>
                <w:spacing w:val="24"/>
                <w:u w:val="single"/>
              </w:rPr>
            </w:pPr>
            <w:r>
              <w:rPr>
                <w:rFonts w:ascii="新細明體" w:hAnsi="新細明體" w:hint="eastAsia"/>
                <w:color w:val="FF0000"/>
                <w:spacing w:val="24"/>
                <w:u w:val="single"/>
              </w:rPr>
              <w:t>股東不得以書面契約約定共同行使股東表決權之方式或成立股東表決權信託，由受託人依書面</w:t>
            </w:r>
            <w:r>
              <w:rPr>
                <w:rFonts w:ascii="新細明體" w:hAnsi="新細明體" w:hint="eastAsia"/>
                <w:color w:val="FF0000"/>
                <w:spacing w:val="24"/>
                <w:u w:val="single"/>
              </w:rPr>
              <w:lastRenderedPageBreak/>
              <w:t>信託契約之約定行使其股東表決權</w:t>
            </w:r>
            <w:r w:rsidR="00BF179C">
              <w:rPr>
                <w:rFonts w:ascii="新細明體" w:hAnsi="新細明體" w:hint="eastAsia"/>
                <w:color w:val="FF0000"/>
                <w:spacing w:val="24"/>
                <w:u w:val="single"/>
              </w:rPr>
              <w:t>。</w:t>
            </w:r>
          </w:p>
          <w:p w:rsidR="00BF179C" w:rsidRPr="00BF179C" w:rsidRDefault="00E23EEE" w:rsidP="00BF179C">
            <w:pPr>
              <w:pStyle w:val="a8"/>
              <w:numPr>
                <w:ilvl w:val="0"/>
                <w:numId w:val="4"/>
              </w:numPr>
              <w:spacing w:line="440" w:lineRule="exact"/>
              <w:ind w:leftChars="0"/>
              <w:jc w:val="both"/>
              <w:rPr>
                <w:rFonts w:ascii="新細明體" w:hAnsi="新細明體"/>
                <w:color w:val="FF0000"/>
                <w:spacing w:val="24"/>
                <w:u w:val="single"/>
              </w:rPr>
            </w:pPr>
            <w:r>
              <w:rPr>
                <w:rFonts w:ascii="新細明體" w:hAnsi="新細明體" w:hint="eastAsia"/>
                <w:color w:val="FF0000"/>
                <w:spacing w:val="24"/>
                <w:u w:val="single"/>
              </w:rPr>
              <w:t>應依公司法第192條第1項規定設置董事會，</w:t>
            </w:r>
            <w:r w:rsidR="00BF179C">
              <w:rPr>
                <w:rFonts w:ascii="新細明體" w:hAnsi="新細明體" w:hint="eastAsia"/>
                <w:color w:val="FF0000"/>
                <w:spacing w:val="24"/>
                <w:u w:val="single"/>
              </w:rPr>
              <w:t>不</w:t>
            </w:r>
            <w:r>
              <w:rPr>
                <w:rFonts w:ascii="新細明體" w:hAnsi="新細明體" w:hint="eastAsia"/>
                <w:color w:val="FF0000"/>
                <w:spacing w:val="24"/>
                <w:u w:val="single"/>
              </w:rPr>
              <w:t>適用公司法第192條第2項有關得依章程規定不設董事會，置董事1人或2人之規定</w:t>
            </w:r>
            <w:r w:rsidR="00BF179C">
              <w:rPr>
                <w:rFonts w:ascii="新細明體" w:hAnsi="新細明體" w:hint="eastAsia"/>
                <w:color w:val="FF0000"/>
                <w:spacing w:val="24"/>
                <w:u w:val="single"/>
              </w:rPr>
              <w:t>。</w:t>
            </w:r>
          </w:p>
          <w:p w:rsidR="004C5021" w:rsidRPr="004C5021" w:rsidRDefault="004C5021" w:rsidP="004C5021">
            <w:pPr>
              <w:pStyle w:val="a8"/>
              <w:numPr>
                <w:ilvl w:val="0"/>
                <w:numId w:val="4"/>
              </w:numPr>
              <w:spacing w:line="440" w:lineRule="exact"/>
              <w:ind w:leftChars="0"/>
              <w:jc w:val="both"/>
              <w:rPr>
                <w:rFonts w:ascii="新細明體" w:hAnsi="新細明體"/>
                <w:color w:val="FF0000"/>
                <w:spacing w:val="24"/>
                <w:u w:val="single"/>
              </w:rPr>
            </w:pPr>
            <w:r>
              <w:rPr>
                <w:rFonts w:ascii="新細明體" w:hAnsi="新細明體" w:hint="eastAsia"/>
                <w:color w:val="FF0000"/>
                <w:spacing w:val="24"/>
                <w:u w:val="single"/>
              </w:rPr>
              <w:t>應依公司法第204條</w:t>
            </w:r>
            <w:r w:rsidR="00E23EEE">
              <w:rPr>
                <w:rFonts w:ascii="新細明體" w:hAnsi="新細明體" w:hint="eastAsia"/>
                <w:color w:val="FF0000"/>
                <w:spacing w:val="24"/>
                <w:u w:val="single"/>
              </w:rPr>
              <w:t>第1項</w:t>
            </w:r>
            <w:r>
              <w:rPr>
                <w:rFonts w:ascii="新細明體" w:hAnsi="新細明體" w:hint="eastAsia"/>
                <w:color w:val="FF0000"/>
                <w:spacing w:val="24"/>
                <w:u w:val="single"/>
              </w:rPr>
              <w:t>但書規定，於章程中訂明董事會之召集應於7日前通知各董事及監察人</w:t>
            </w:r>
            <w:r w:rsidRPr="00F95974">
              <w:rPr>
                <w:rFonts w:ascii="新細明體" w:hAnsi="新細明體" w:hint="eastAsia"/>
                <w:color w:val="FF0000"/>
                <w:spacing w:val="24"/>
                <w:u w:val="single"/>
              </w:rPr>
              <w:t>。</w:t>
            </w:r>
          </w:p>
          <w:p w:rsidR="008714B1" w:rsidRDefault="00E23EEE" w:rsidP="000D2BE6">
            <w:pPr>
              <w:pStyle w:val="a8"/>
              <w:numPr>
                <w:ilvl w:val="0"/>
                <w:numId w:val="4"/>
              </w:numPr>
              <w:spacing w:line="440" w:lineRule="exact"/>
              <w:ind w:leftChars="0"/>
              <w:jc w:val="both"/>
              <w:rPr>
                <w:rFonts w:ascii="新細明體" w:hAnsi="新細明體"/>
                <w:color w:val="FF0000"/>
                <w:spacing w:val="24"/>
                <w:u w:val="single"/>
              </w:rPr>
            </w:pPr>
            <w:r>
              <w:rPr>
                <w:rFonts w:ascii="新細明體" w:hAnsi="新細明體" w:hint="eastAsia"/>
                <w:color w:val="FF0000"/>
                <w:spacing w:val="24"/>
                <w:u w:val="single"/>
              </w:rPr>
              <w:t>董事會開會應實際集會，並應依公司法第205條第1項至第4項規定辦理，</w:t>
            </w:r>
            <w:r w:rsidR="000D2BE6">
              <w:rPr>
                <w:rFonts w:ascii="新細明體" w:hAnsi="新細明體" w:hint="eastAsia"/>
                <w:color w:val="FF0000"/>
                <w:spacing w:val="24"/>
                <w:u w:val="single"/>
              </w:rPr>
              <w:t>不得</w:t>
            </w:r>
            <w:r w:rsidR="008714B1">
              <w:rPr>
                <w:rFonts w:ascii="新細明體" w:hAnsi="新細明體" w:hint="eastAsia"/>
                <w:color w:val="FF0000"/>
                <w:spacing w:val="24"/>
                <w:u w:val="single"/>
              </w:rPr>
              <w:t>於章程中</w:t>
            </w:r>
            <w:r w:rsidR="000D2BE6">
              <w:rPr>
                <w:rFonts w:ascii="新細明體" w:hAnsi="新細明體" w:hint="eastAsia"/>
                <w:color w:val="FF0000"/>
                <w:spacing w:val="24"/>
                <w:u w:val="single"/>
              </w:rPr>
              <w:t>訂定董事會議案</w:t>
            </w:r>
            <w:r w:rsidR="008714B1">
              <w:rPr>
                <w:rFonts w:ascii="新細明體" w:hAnsi="新細明體" w:hint="eastAsia"/>
                <w:color w:val="FF0000"/>
                <w:spacing w:val="24"/>
                <w:u w:val="single"/>
              </w:rPr>
              <w:t>得</w:t>
            </w:r>
            <w:r w:rsidR="000D2BE6">
              <w:rPr>
                <w:rFonts w:ascii="新細明體" w:hAnsi="新細明體" w:hint="eastAsia"/>
                <w:color w:val="FF0000"/>
                <w:spacing w:val="24"/>
                <w:u w:val="single"/>
              </w:rPr>
              <w:t>以書面方式行使表決權，</w:t>
            </w:r>
            <w:r w:rsidR="008714B1">
              <w:rPr>
                <w:rFonts w:ascii="新細明體" w:hAnsi="新細明體" w:hint="eastAsia"/>
                <w:color w:val="FF0000"/>
                <w:spacing w:val="24"/>
                <w:u w:val="single"/>
              </w:rPr>
              <w:t>而不實際集會。</w:t>
            </w:r>
          </w:p>
          <w:p w:rsidR="00131A79" w:rsidRDefault="00CD2C2E" w:rsidP="00A40A47">
            <w:pPr>
              <w:pStyle w:val="a8"/>
              <w:numPr>
                <w:ilvl w:val="0"/>
                <w:numId w:val="4"/>
              </w:numPr>
              <w:spacing w:line="440" w:lineRule="exact"/>
              <w:ind w:leftChars="0"/>
              <w:jc w:val="both"/>
              <w:rPr>
                <w:rFonts w:ascii="新細明體" w:hAnsi="新細明體"/>
                <w:color w:val="FF0000"/>
                <w:spacing w:val="24"/>
                <w:u w:val="single"/>
              </w:rPr>
            </w:pPr>
            <w:r>
              <w:rPr>
                <w:rFonts w:ascii="新細明體" w:hAnsi="新細明體" w:hint="eastAsia"/>
                <w:color w:val="FF0000"/>
                <w:spacing w:val="24"/>
                <w:u w:val="single"/>
              </w:rPr>
              <w:t>公司債總額，應比照</w:t>
            </w:r>
            <w:r w:rsidR="000D2BE6">
              <w:rPr>
                <w:rFonts w:ascii="新細明體" w:hAnsi="新細明體" w:hint="eastAsia"/>
                <w:color w:val="FF0000"/>
                <w:spacing w:val="24"/>
                <w:u w:val="single"/>
              </w:rPr>
              <w:t>公司法第247條第1項</w:t>
            </w:r>
            <w:r>
              <w:rPr>
                <w:rFonts w:ascii="新細明體" w:hAnsi="新細明體" w:hint="eastAsia"/>
                <w:color w:val="FF0000"/>
                <w:spacing w:val="24"/>
                <w:u w:val="single"/>
              </w:rPr>
              <w:t>有關公開發行股票公司</w:t>
            </w:r>
            <w:r w:rsidR="000D2BE6">
              <w:rPr>
                <w:rFonts w:ascii="新細明體" w:hAnsi="新細明體" w:hint="eastAsia"/>
                <w:color w:val="FF0000"/>
                <w:spacing w:val="24"/>
                <w:u w:val="single"/>
              </w:rPr>
              <w:t>規定辦理</w:t>
            </w:r>
            <w:r>
              <w:rPr>
                <w:rFonts w:ascii="新細明體" w:hAnsi="新細明體" w:hint="eastAsia"/>
                <w:color w:val="FF0000"/>
                <w:spacing w:val="24"/>
                <w:u w:val="single"/>
              </w:rPr>
              <w:t>，即不得逾公司現有全部資產減去全部負債後之餘額</w:t>
            </w:r>
            <w:r w:rsidR="000D2BE6">
              <w:rPr>
                <w:rFonts w:ascii="新細明體" w:hAnsi="新細明體" w:hint="eastAsia"/>
                <w:color w:val="FF0000"/>
                <w:spacing w:val="24"/>
                <w:u w:val="single"/>
              </w:rPr>
              <w:t>。</w:t>
            </w:r>
          </w:p>
          <w:p w:rsidR="00495197" w:rsidRDefault="00443C93" w:rsidP="00495197">
            <w:pPr>
              <w:pStyle w:val="a8"/>
              <w:numPr>
                <w:ilvl w:val="0"/>
                <w:numId w:val="4"/>
              </w:numPr>
              <w:spacing w:line="440" w:lineRule="exact"/>
              <w:ind w:leftChars="0"/>
              <w:jc w:val="both"/>
              <w:rPr>
                <w:rFonts w:ascii="新細明體" w:hAnsi="新細明體"/>
                <w:color w:val="FF0000"/>
                <w:spacing w:val="24"/>
                <w:u w:val="single"/>
              </w:rPr>
            </w:pPr>
            <w:r w:rsidRPr="00443C93">
              <w:rPr>
                <w:rFonts w:ascii="新細明體" w:hAnsi="新細明體" w:hint="eastAsia"/>
                <w:color w:val="FF0000"/>
                <w:spacing w:val="24"/>
                <w:u w:val="single"/>
              </w:rPr>
              <w:t>政府或法人股東一人所組織之證券商，不得於公司章程中規定不置監察人。未公開發行股票之證券商至少應設置1名監察人或審計委員會。</w:t>
            </w:r>
          </w:p>
          <w:p w:rsidR="0030368A" w:rsidRDefault="0030368A" w:rsidP="00495197">
            <w:pPr>
              <w:spacing w:line="340" w:lineRule="exact"/>
              <w:rPr>
                <w:rFonts w:ascii="新細明體" w:eastAsia="新細明體" w:hAnsi="新細明體"/>
                <w:spacing w:val="24"/>
              </w:rPr>
            </w:pPr>
          </w:p>
          <w:p w:rsidR="00495197" w:rsidRPr="00C24678" w:rsidRDefault="00495197" w:rsidP="00495197">
            <w:pPr>
              <w:spacing w:line="340" w:lineRule="exact"/>
              <w:rPr>
                <w:rFonts w:ascii="新細明體" w:eastAsia="新細明體" w:hAnsi="新細明體"/>
                <w:spacing w:val="24"/>
              </w:rPr>
            </w:pPr>
            <w:r w:rsidRPr="00C24678">
              <w:rPr>
                <w:rFonts w:ascii="新細明體" w:eastAsia="新細明體" w:hAnsi="新細明體" w:hint="eastAsia"/>
                <w:spacing w:val="24"/>
              </w:rPr>
              <w:t>法令規章</w:t>
            </w:r>
          </w:p>
          <w:p w:rsidR="00495197" w:rsidRPr="00495197" w:rsidRDefault="00495197" w:rsidP="00495197">
            <w:pPr>
              <w:spacing w:line="440" w:lineRule="exact"/>
              <w:jc w:val="both"/>
              <w:rPr>
                <w:rFonts w:ascii="新細明體" w:hAnsi="新細明體"/>
                <w:color w:val="FF0000"/>
                <w:spacing w:val="24"/>
                <w:u w:val="single"/>
              </w:rPr>
            </w:pPr>
            <w:r w:rsidRPr="00ED14CA">
              <w:rPr>
                <w:rFonts w:ascii="新細明體" w:eastAsia="新細明體" w:hAnsi="新細明體" w:hint="eastAsia"/>
                <w:color w:val="FF0000"/>
                <w:spacing w:val="24"/>
                <w:u w:val="single"/>
              </w:rPr>
              <w:t>(二十六)金管會</w:t>
            </w:r>
            <w:r w:rsidRPr="00ED14CA">
              <w:rPr>
                <w:rFonts w:ascii="新細明體" w:eastAsia="新細明體" w:hAnsi="新細明體"/>
                <w:color w:val="FF0000"/>
                <w:spacing w:val="24"/>
                <w:u w:val="single"/>
              </w:rPr>
              <w:t>10</w:t>
            </w:r>
            <w:r>
              <w:rPr>
                <w:rFonts w:ascii="新細明體" w:eastAsia="新細明體" w:hAnsi="新細明體" w:hint="eastAsia"/>
                <w:color w:val="FF0000"/>
                <w:spacing w:val="24"/>
                <w:u w:val="single"/>
              </w:rPr>
              <w:t>9</w:t>
            </w:r>
            <w:r w:rsidRPr="00ED14CA">
              <w:rPr>
                <w:rFonts w:ascii="新細明體" w:eastAsia="新細明體" w:hAnsi="新細明體" w:hint="eastAsia"/>
                <w:color w:val="FF0000"/>
                <w:spacing w:val="24"/>
                <w:u w:val="single"/>
              </w:rPr>
              <w:t>年</w:t>
            </w:r>
            <w:r>
              <w:rPr>
                <w:rFonts w:ascii="新細明體" w:eastAsia="新細明體" w:hAnsi="新細明體" w:hint="eastAsia"/>
                <w:color w:val="FF0000"/>
                <w:spacing w:val="24"/>
                <w:u w:val="single"/>
              </w:rPr>
              <w:t>3</w:t>
            </w:r>
            <w:r w:rsidRPr="00ED14CA">
              <w:rPr>
                <w:rFonts w:ascii="新細明體" w:eastAsia="新細明體" w:hAnsi="新細明體" w:hint="eastAsia"/>
                <w:color w:val="FF0000"/>
                <w:spacing w:val="24"/>
                <w:u w:val="single"/>
              </w:rPr>
              <w:t>月</w:t>
            </w:r>
            <w:r>
              <w:rPr>
                <w:rFonts w:ascii="新細明體" w:eastAsia="新細明體" w:hAnsi="新細明體" w:hint="eastAsia"/>
                <w:color w:val="FF0000"/>
                <w:spacing w:val="24"/>
                <w:u w:val="single"/>
              </w:rPr>
              <w:t>31</w:t>
            </w:r>
            <w:r w:rsidRPr="00ED14CA">
              <w:rPr>
                <w:rFonts w:ascii="新細明體" w:eastAsia="新細明體" w:hAnsi="新細明體" w:hint="eastAsia"/>
                <w:color w:val="FF0000"/>
                <w:spacing w:val="24"/>
                <w:u w:val="single"/>
              </w:rPr>
              <w:t>日金管證券字第</w:t>
            </w:r>
            <w:r w:rsidRPr="00ED14CA">
              <w:rPr>
                <w:rFonts w:ascii="新細明體" w:eastAsia="新細明體" w:hAnsi="新細明體"/>
                <w:color w:val="FF0000"/>
                <w:spacing w:val="24"/>
                <w:u w:val="single"/>
              </w:rPr>
              <w:t>10</w:t>
            </w:r>
            <w:r>
              <w:rPr>
                <w:rFonts w:ascii="新細明體" w:eastAsia="新細明體" w:hAnsi="新細明體" w:hint="eastAsia"/>
                <w:color w:val="FF0000"/>
                <w:spacing w:val="24"/>
                <w:u w:val="single"/>
              </w:rPr>
              <w:t>90330398</w:t>
            </w:r>
            <w:r w:rsidRPr="00ED14CA">
              <w:rPr>
                <w:rFonts w:ascii="新細明體" w:eastAsia="新細明體" w:hAnsi="新細明體" w:hint="eastAsia"/>
                <w:color w:val="FF0000"/>
                <w:spacing w:val="24"/>
                <w:u w:val="single"/>
              </w:rPr>
              <w:t>號</w:t>
            </w:r>
            <w:r>
              <w:rPr>
                <w:rFonts w:ascii="新細明體" w:eastAsia="新細明體" w:hAnsi="新細明體" w:hint="eastAsia"/>
                <w:color w:val="FF0000"/>
                <w:spacing w:val="24"/>
                <w:u w:val="single"/>
              </w:rPr>
              <w:t>函</w:t>
            </w:r>
          </w:p>
        </w:tc>
        <w:tc>
          <w:tcPr>
            <w:tcW w:w="3023" w:type="dxa"/>
          </w:tcPr>
          <w:p w:rsidR="00123162" w:rsidRDefault="00963059" w:rsidP="00963059">
            <w:pPr>
              <w:spacing w:line="420" w:lineRule="atLeast"/>
              <w:rPr>
                <w:rFonts w:ascii="新細明體" w:eastAsia="新細明體" w:hAnsi="新細明體" w:cs="Times New Roman"/>
                <w:color w:val="000000"/>
              </w:rPr>
            </w:pPr>
            <w:r>
              <w:rPr>
                <w:rFonts w:ascii="新細明體" w:hAnsi="新細明體" w:cs="新細明體" w:hint="eastAsia"/>
                <w:color w:val="000000"/>
                <w:spacing w:val="20"/>
              </w:rPr>
              <w:lastRenderedPageBreak/>
              <w:t>作業程序及控制重點</w:t>
            </w:r>
            <w:r w:rsidR="00397B8D" w:rsidRPr="00456B35">
              <w:rPr>
                <w:rFonts w:ascii="新細明體" w:eastAsia="新細明體" w:hAnsi="新細明體" w:cs="Times New Roman" w:hint="eastAsia"/>
                <w:color w:val="000000"/>
              </w:rPr>
              <w:t>：</w:t>
            </w:r>
          </w:p>
          <w:p w:rsidR="00185181" w:rsidRPr="00123162" w:rsidRDefault="00185181" w:rsidP="00963059">
            <w:pPr>
              <w:spacing w:line="420" w:lineRule="atLeast"/>
              <w:rPr>
                <w:lang w:val="x-none"/>
              </w:rPr>
            </w:pPr>
            <w:r>
              <w:rPr>
                <w:rFonts w:ascii="新細明體" w:eastAsia="新細明體" w:hAnsi="新細明體" w:cs="Times New Roman" w:hint="eastAsia"/>
                <w:color w:val="000000"/>
              </w:rPr>
              <w:t>(一)</w:t>
            </w:r>
            <w:r w:rsidRPr="0015639C">
              <w:rPr>
                <w:rFonts w:ascii="新細明體" w:eastAsia="新細明體" w:hAnsi="新細明體" w:cs="Times New Roman" w:hint="eastAsia"/>
                <w:color w:val="000000"/>
              </w:rPr>
              <w:t xml:space="preserve"> ~</w:t>
            </w:r>
            <w:r>
              <w:rPr>
                <w:rFonts w:ascii="新細明體" w:eastAsia="新細明體" w:hAnsi="新細明體" w:cs="Times New Roman" w:hint="eastAsia"/>
                <w:color w:val="000000"/>
              </w:rPr>
              <w:t>(二十二)</w:t>
            </w:r>
            <w:r w:rsidRPr="00B85495">
              <w:rPr>
                <w:rFonts w:ascii="新細明體" w:eastAsia="新細明體" w:hAnsi="新細明體" w:cs="Times New Roman" w:hint="eastAsia"/>
                <w:color w:val="000000"/>
              </w:rPr>
              <w:t>略</w:t>
            </w:r>
          </w:p>
          <w:p w:rsidR="007719B7" w:rsidRDefault="00EB5461" w:rsidP="00941592">
            <w:pPr>
              <w:jc w:val="center"/>
              <w:rPr>
                <w:color w:val="FF0000"/>
              </w:rPr>
            </w:pPr>
            <w:r w:rsidRPr="00587858">
              <w:rPr>
                <w:rFonts w:ascii="新細明體" w:eastAsia="新細明體" w:hAnsi="新細明體" w:cs="新細明體" w:hint="eastAsia"/>
                <w:color w:val="FF0000"/>
              </w:rPr>
              <w:t>(新增)</w:t>
            </w:r>
          </w:p>
          <w:p w:rsidR="00397B8D" w:rsidRDefault="00397B8D" w:rsidP="00941592">
            <w:pPr>
              <w:jc w:val="center"/>
              <w:rPr>
                <w:color w:val="FF0000"/>
              </w:rPr>
            </w:pPr>
          </w:p>
          <w:p w:rsidR="00397B8D" w:rsidRDefault="00397B8D" w:rsidP="00941592">
            <w:pPr>
              <w:jc w:val="center"/>
              <w:rPr>
                <w:color w:val="FF0000"/>
              </w:rPr>
            </w:pPr>
          </w:p>
          <w:p w:rsidR="00397B8D" w:rsidRDefault="00397B8D" w:rsidP="00941592">
            <w:pPr>
              <w:jc w:val="center"/>
              <w:rPr>
                <w:color w:val="FF0000"/>
              </w:rPr>
            </w:pPr>
          </w:p>
          <w:p w:rsidR="00397B8D" w:rsidRDefault="00397B8D" w:rsidP="00941592">
            <w:pPr>
              <w:jc w:val="center"/>
              <w:rPr>
                <w:color w:val="FF0000"/>
              </w:rPr>
            </w:pPr>
          </w:p>
          <w:p w:rsidR="00397B8D" w:rsidRDefault="00397B8D" w:rsidP="00941592">
            <w:pPr>
              <w:jc w:val="center"/>
              <w:rPr>
                <w:color w:val="FF0000"/>
              </w:rPr>
            </w:pPr>
          </w:p>
          <w:p w:rsidR="00397B8D" w:rsidRDefault="00397B8D" w:rsidP="00941592">
            <w:pPr>
              <w:jc w:val="center"/>
              <w:rPr>
                <w:color w:val="FF0000"/>
              </w:rPr>
            </w:pPr>
          </w:p>
          <w:p w:rsidR="00397B8D" w:rsidRDefault="00397B8D" w:rsidP="00941592">
            <w:pPr>
              <w:jc w:val="center"/>
              <w:rPr>
                <w:color w:val="FF0000"/>
              </w:rPr>
            </w:pPr>
          </w:p>
          <w:p w:rsidR="00397B8D" w:rsidRDefault="00397B8D" w:rsidP="00941592">
            <w:pPr>
              <w:jc w:val="center"/>
              <w:rPr>
                <w:color w:val="FF0000"/>
              </w:rPr>
            </w:pPr>
          </w:p>
          <w:p w:rsidR="00397B8D" w:rsidRDefault="00397B8D" w:rsidP="00941592">
            <w:pPr>
              <w:jc w:val="center"/>
              <w:rPr>
                <w:color w:val="FF0000"/>
              </w:rPr>
            </w:pPr>
          </w:p>
          <w:p w:rsidR="00397B8D" w:rsidRPr="001C34D9" w:rsidRDefault="00397B8D" w:rsidP="00941592">
            <w:pPr>
              <w:jc w:val="center"/>
            </w:pPr>
          </w:p>
        </w:tc>
        <w:tc>
          <w:tcPr>
            <w:tcW w:w="2884" w:type="dxa"/>
          </w:tcPr>
          <w:p w:rsidR="007719B7" w:rsidRDefault="007719B7" w:rsidP="007719B7">
            <w:pPr>
              <w:rPr>
                <w:color w:val="FF0000"/>
                <w:u w:val="single"/>
                <w:lang w:val="x-none"/>
              </w:rPr>
            </w:pPr>
          </w:p>
          <w:p w:rsidR="00185181" w:rsidRDefault="00185181" w:rsidP="007719B7">
            <w:pPr>
              <w:rPr>
                <w:color w:val="FF0000"/>
                <w:u w:val="single"/>
                <w:lang w:val="x-none"/>
              </w:rPr>
            </w:pPr>
          </w:p>
          <w:p w:rsidR="00941592" w:rsidRDefault="003F00B2" w:rsidP="000E327D">
            <w:pPr>
              <w:jc w:val="both"/>
              <w:rPr>
                <w:color w:val="FF0000"/>
                <w:u w:val="single"/>
                <w:lang w:val="x-none"/>
              </w:rPr>
            </w:pPr>
            <w:r>
              <w:rPr>
                <w:rFonts w:ascii="新細明體" w:hAnsi="新細明體" w:hint="eastAsia"/>
                <w:color w:val="FF0000"/>
                <w:spacing w:val="24"/>
                <w:u w:val="single"/>
              </w:rPr>
              <w:t>證券商屬高度監理之金融特許事業，</w:t>
            </w:r>
            <w:r w:rsidR="00185181" w:rsidRPr="00185181">
              <w:rPr>
                <w:rFonts w:ascii="新細明體" w:hAnsi="新細明體" w:hint="eastAsia"/>
                <w:color w:val="FF0000"/>
                <w:spacing w:val="24"/>
                <w:u w:val="single"/>
              </w:rPr>
              <w:t>為落實股東平等原則、保障投資人權益及強化公司治理，</w:t>
            </w:r>
            <w:r>
              <w:rPr>
                <w:rFonts w:ascii="新細明體" w:hAnsi="新細明體" w:hint="eastAsia"/>
                <w:color w:val="FF0000"/>
                <w:spacing w:val="24"/>
                <w:u w:val="single"/>
              </w:rPr>
              <w:t>對於公司法1</w:t>
            </w:r>
            <w:r w:rsidR="000E327D">
              <w:rPr>
                <w:rFonts w:ascii="新細明體" w:hAnsi="新細明體" w:hint="eastAsia"/>
                <w:color w:val="FF0000"/>
                <w:spacing w:val="24"/>
                <w:u w:val="single"/>
              </w:rPr>
              <w:t>07年修正放寬非公開發行股票</w:t>
            </w:r>
            <w:r>
              <w:rPr>
                <w:rFonts w:ascii="新細明體" w:hAnsi="新細明體" w:hint="eastAsia"/>
                <w:color w:val="FF0000"/>
                <w:spacing w:val="24"/>
                <w:u w:val="single"/>
              </w:rPr>
              <w:t>公</w:t>
            </w:r>
            <w:r w:rsidR="000E327D">
              <w:rPr>
                <w:rFonts w:ascii="新細明體" w:hAnsi="新細明體" w:hint="eastAsia"/>
                <w:color w:val="FF0000"/>
                <w:spacing w:val="24"/>
                <w:u w:val="single"/>
              </w:rPr>
              <w:t>司或一人股東組織型態公司之相關限制部分（如公司法第128條之1、第156條、第156條之1、第157條、第172條之2、第175條之1、第192條、第204條、第205條及第247條等），證券商不宜比照放寬</w:t>
            </w:r>
            <w:r>
              <w:rPr>
                <w:rFonts w:ascii="新細明體" w:hAnsi="新細明體" w:hint="eastAsia"/>
                <w:color w:val="FF0000"/>
                <w:spacing w:val="24"/>
                <w:u w:val="single"/>
              </w:rPr>
              <w:t>，爰</w:t>
            </w:r>
            <w:r w:rsidR="00185181" w:rsidRPr="00206A90">
              <w:rPr>
                <w:rFonts w:asciiTheme="minorEastAsia" w:hAnsiTheme="minorEastAsia" w:hint="eastAsia"/>
                <w:color w:val="FF0000"/>
                <w:u w:val="single"/>
                <w:lang w:val="x-none"/>
              </w:rPr>
              <w:t>增訂相關控制作業</w:t>
            </w:r>
            <w:r w:rsidR="00185181" w:rsidRPr="00206A90">
              <w:rPr>
                <w:rFonts w:hint="eastAsia"/>
                <w:color w:val="FF0000"/>
                <w:u w:val="single"/>
                <w:lang w:val="x-none"/>
              </w:rPr>
              <w:t>。</w:t>
            </w:r>
            <w:r w:rsidR="000E327D">
              <w:rPr>
                <w:rFonts w:hint="eastAsia"/>
                <w:color w:val="FF0000"/>
                <w:u w:val="single"/>
                <w:lang w:val="x-none"/>
              </w:rPr>
              <w:t>原則上非公開發行股票之證券商應依公司法對公開發行股票公司之規定辦理。</w:t>
            </w: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Default="00AD0569" w:rsidP="000E327D">
            <w:pPr>
              <w:jc w:val="both"/>
              <w:rPr>
                <w:color w:val="FF0000"/>
                <w:u w:val="single"/>
                <w:lang w:val="x-none"/>
              </w:rPr>
            </w:pPr>
          </w:p>
          <w:p w:rsidR="00AD0569" w:rsidRPr="000E327D" w:rsidRDefault="00AD0569" w:rsidP="000E327D">
            <w:pPr>
              <w:jc w:val="both"/>
              <w:rPr>
                <w:color w:val="FF0000"/>
                <w:u w:val="single"/>
                <w:lang w:val="x-none"/>
              </w:rPr>
            </w:pPr>
          </w:p>
        </w:tc>
      </w:tr>
    </w:tbl>
    <w:p w:rsidR="0097587E" w:rsidRPr="009E61FF" w:rsidRDefault="001F7D94" w:rsidP="00495197">
      <w:pPr>
        <w:rPr>
          <w:lang w:val="x-none"/>
        </w:rPr>
      </w:pPr>
    </w:p>
    <w:sectPr w:rsidR="0097587E" w:rsidRPr="009E61FF" w:rsidSect="0030368A">
      <w:footerReference w:type="default" r:id="rId8"/>
      <w:pgSz w:w="16838" w:h="11906" w:orient="landscape"/>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94" w:rsidRDefault="001F7D94" w:rsidP="00770521">
      <w:r>
        <w:separator/>
      </w:r>
    </w:p>
  </w:endnote>
  <w:endnote w:type="continuationSeparator" w:id="0">
    <w:p w:rsidR="001F7D94" w:rsidRDefault="001F7D94" w:rsidP="0077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7421"/>
      <w:docPartObj>
        <w:docPartGallery w:val="Page Numbers (Bottom of Page)"/>
        <w:docPartUnique/>
      </w:docPartObj>
    </w:sdtPr>
    <w:sdtEndPr/>
    <w:sdtContent>
      <w:p w:rsidR="00E45E63" w:rsidRDefault="00E45E63">
        <w:pPr>
          <w:pStyle w:val="a6"/>
          <w:jc w:val="center"/>
        </w:pPr>
        <w:r>
          <w:fldChar w:fldCharType="begin"/>
        </w:r>
        <w:r>
          <w:instrText>PAGE   \* MERGEFORMAT</w:instrText>
        </w:r>
        <w:r>
          <w:fldChar w:fldCharType="separate"/>
        </w:r>
        <w:r w:rsidR="00CB5EB5" w:rsidRPr="00CB5EB5">
          <w:rPr>
            <w:noProof/>
            <w:lang w:val="zh-TW"/>
          </w:rPr>
          <w:t>2</w:t>
        </w:r>
        <w:r>
          <w:fldChar w:fldCharType="end"/>
        </w:r>
      </w:p>
    </w:sdtContent>
  </w:sdt>
  <w:p w:rsidR="00E45E63" w:rsidRDefault="00E45E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94" w:rsidRDefault="001F7D94" w:rsidP="00770521">
      <w:r>
        <w:separator/>
      </w:r>
    </w:p>
  </w:footnote>
  <w:footnote w:type="continuationSeparator" w:id="0">
    <w:p w:rsidR="001F7D94" w:rsidRDefault="001F7D94" w:rsidP="0077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AE5"/>
    <w:multiLevelType w:val="hybridMultilevel"/>
    <w:tmpl w:val="D49A97D6"/>
    <w:lvl w:ilvl="0" w:tplc="AEF80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4C2D79"/>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63A56EF6"/>
    <w:multiLevelType w:val="hybridMultilevel"/>
    <w:tmpl w:val="698ECF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581884"/>
    <w:multiLevelType w:val="hybridMultilevel"/>
    <w:tmpl w:val="A516E264"/>
    <w:lvl w:ilvl="0" w:tplc="FFFFFFFF">
      <w:start w:val="1"/>
      <w:numFmt w:val="decimal"/>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FF"/>
    <w:rsid w:val="00015CAC"/>
    <w:rsid w:val="00076222"/>
    <w:rsid w:val="00077D91"/>
    <w:rsid w:val="00091410"/>
    <w:rsid w:val="00091565"/>
    <w:rsid w:val="000D2BE6"/>
    <w:rsid w:val="000E327D"/>
    <w:rsid w:val="000E6350"/>
    <w:rsid w:val="000F30E7"/>
    <w:rsid w:val="000F564D"/>
    <w:rsid w:val="00123162"/>
    <w:rsid w:val="00131A79"/>
    <w:rsid w:val="00136897"/>
    <w:rsid w:val="001458F4"/>
    <w:rsid w:val="00146509"/>
    <w:rsid w:val="00185181"/>
    <w:rsid w:val="001964DD"/>
    <w:rsid w:val="001974AE"/>
    <w:rsid w:val="001A2A00"/>
    <w:rsid w:val="001C2080"/>
    <w:rsid w:val="001C34D9"/>
    <w:rsid w:val="001C6659"/>
    <w:rsid w:val="001E37D2"/>
    <w:rsid w:val="001F5B91"/>
    <w:rsid w:val="001F7D94"/>
    <w:rsid w:val="00206A90"/>
    <w:rsid w:val="00260180"/>
    <w:rsid w:val="00272B8D"/>
    <w:rsid w:val="00285DE9"/>
    <w:rsid w:val="002A67FB"/>
    <w:rsid w:val="002B0D92"/>
    <w:rsid w:val="002F7B5F"/>
    <w:rsid w:val="0030368A"/>
    <w:rsid w:val="00313DCD"/>
    <w:rsid w:val="00351DB8"/>
    <w:rsid w:val="00364014"/>
    <w:rsid w:val="003935B7"/>
    <w:rsid w:val="00397B8D"/>
    <w:rsid w:val="00397BAF"/>
    <w:rsid w:val="003A6415"/>
    <w:rsid w:val="003B6DAB"/>
    <w:rsid w:val="003F00B2"/>
    <w:rsid w:val="00400FB3"/>
    <w:rsid w:val="00443C93"/>
    <w:rsid w:val="0045461D"/>
    <w:rsid w:val="0049321E"/>
    <w:rsid w:val="00495197"/>
    <w:rsid w:val="004953D6"/>
    <w:rsid w:val="004B4095"/>
    <w:rsid w:val="004C15CA"/>
    <w:rsid w:val="004C5021"/>
    <w:rsid w:val="004F15D4"/>
    <w:rsid w:val="00531D7B"/>
    <w:rsid w:val="00551279"/>
    <w:rsid w:val="0056217F"/>
    <w:rsid w:val="00570C3B"/>
    <w:rsid w:val="005A7A03"/>
    <w:rsid w:val="005E3EEE"/>
    <w:rsid w:val="00600E07"/>
    <w:rsid w:val="00607F79"/>
    <w:rsid w:val="006107F8"/>
    <w:rsid w:val="0063696A"/>
    <w:rsid w:val="00661AFC"/>
    <w:rsid w:val="006A40BF"/>
    <w:rsid w:val="006C042F"/>
    <w:rsid w:val="006C4B4F"/>
    <w:rsid w:val="0076791A"/>
    <w:rsid w:val="00770521"/>
    <w:rsid w:val="007719B7"/>
    <w:rsid w:val="00772439"/>
    <w:rsid w:val="007728F5"/>
    <w:rsid w:val="007B780A"/>
    <w:rsid w:val="007D29B2"/>
    <w:rsid w:val="008063A6"/>
    <w:rsid w:val="008063CE"/>
    <w:rsid w:val="00816552"/>
    <w:rsid w:val="00823B56"/>
    <w:rsid w:val="008315B2"/>
    <w:rsid w:val="008714B1"/>
    <w:rsid w:val="008731D5"/>
    <w:rsid w:val="008811F7"/>
    <w:rsid w:val="008A1EC9"/>
    <w:rsid w:val="008B1E3F"/>
    <w:rsid w:val="008D21F4"/>
    <w:rsid w:val="009023B8"/>
    <w:rsid w:val="009132C6"/>
    <w:rsid w:val="00917561"/>
    <w:rsid w:val="00927B55"/>
    <w:rsid w:val="00941592"/>
    <w:rsid w:val="00963059"/>
    <w:rsid w:val="00971DC8"/>
    <w:rsid w:val="0098500D"/>
    <w:rsid w:val="00986B10"/>
    <w:rsid w:val="009A1651"/>
    <w:rsid w:val="009E1E5D"/>
    <w:rsid w:val="009E61FF"/>
    <w:rsid w:val="00A05FD8"/>
    <w:rsid w:val="00A12E41"/>
    <w:rsid w:val="00A40A47"/>
    <w:rsid w:val="00A60E7F"/>
    <w:rsid w:val="00A820EF"/>
    <w:rsid w:val="00A94CD9"/>
    <w:rsid w:val="00AB3CC2"/>
    <w:rsid w:val="00AD0569"/>
    <w:rsid w:val="00B0477F"/>
    <w:rsid w:val="00B04DEE"/>
    <w:rsid w:val="00B23FBA"/>
    <w:rsid w:val="00B36D54"/>
    <w:rsid w:val="00B36D79"/>
    <w:rsid w:val="00BF179C"/>
    <w:rsid w:val="00C26952"/>
    <w:rsid w:val="00C61D61"/>
    <w:rsid w:val="00CB5EB5"/>
    <w:rsid w:val="00CD2C2E"/>
    <w:rsid w:val="00CD5F76"/>
    <w:rsid w:val="00D16105"/>
    <w:rsid w:val="00D4195D"/>
    <w:rsid w:val="00DA6D02"/>
    <w:rsid w:val="00DC02EE"/>
    <w:rsid w:val="00E03CB2"/>
    <w:rsid w:val="00E2249E"/>
    <w:rsid w:val="00E22767"/>
    <w:rsid w:val="00E23EEE"/>
    <w:rsid w:val="00E45E63"/>
    <w:rsid w:val="00E74970"/>
    <w:rsid w:val="00E85DE1"/>
    <w:rsid w:val="00EA7976"/>
    <w:rsid w:val="00EB5461"/>
    <w:rsid w:val="00EE1F96"/>
    <w:rsid w:val="00EF46B6"/>
    <w:rsid w:val="00F04C43"/>
    <w:rsid w:val="00F1411A"/>
    <w:rsid w:val="00F76425"/>
    <w:rsid w:val="00F84A82"/>
    <w:rsid w:val="00F92069"/>
    <w:rsid w:val="00F95974"/>
    <w:rsid w:val="00FA65A7"/>
    <w:rsid w:val="00FD3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62041"/>
  <w15:docId w15:val="{A8EFD5CF-DA01-419C-B029-F68ADCA9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521"/>
    <w:pPr>
      <w:tabs>
        <w:tab w:val="center" w:pos="4153"/>
        <w:tab w:val="right" w:pos="8306"/>
      </w:tabs>
      <w:snapToGrid w:val="0"/>
    </w:pPr>
    <w:rPr>
      <w:sz w:val="20"/>
      <w:szCs w:val="20"/>
    </w:rPr>
  </w:style>
  <w:style w:type="character" w:customStyle="1" w:styleId="a5">
    <w:name w:val="頁首 字元"/>
    <w:basedOn w:val="a0"/>
    <w:link w:val="a4"/>
    <w:uiPriority w:val="99"/>
    <w:rsid w:val="00770521"/>
    <w:rPr>
      <w:sz w:val="20"/>
      <w:szCs w:val="20"/>
    </w:rPr>
  </w:style>
  <w:style w:type="paragraph" w:styleId="a6">
    <w:name w:val="footer"/>
    <w:basedOn w:val="a"/>
    <w:link w:val="a7"/>
    <w:uiPriority w:val="99"/>
    <w:unhideWhenUsed/>
    <w:rsid w:val="00770521"/>
    <w:pPr>
      <w:tabs>
        <w:tab w:val="center" w:pos="4153"/>
        <w:tab w:val="right" w:pos="8306"/>
      </w:tabs>
      <w:snapToGrid w:val="0"/>
    </w:pPr>
    <w:rPr>
      <w:sz w:val="20"/>
      <w:szCs w:val="20"/>
    </w:rPr>
  </w:style>
  <w:style w:type="character" w:customStyle="1" w:styleId="a7">
    <w:name w:val="頁尾 字元"/>
    <w:basedOn w:val="a0"/>
    <w:link w:val="a6"/>
    <w:uiPriority w:val="99"/>
    <w:rsid w:val="00770521"/>
    <w:rPr>
      <w:sz w:val="20"/>
      <w:szCs w:val="20"/>
    </w:rPr>
  </w:style>
  <w:style w:type="paragraph" w:styleId="a8">
    <w:name w:val="List Paragraph"/>
    <w:basedOn w:val="a"/>
    <w:uiPriority w:val="34"/>
    <w:qFormat/>
    <w:rsid w:val="00941592"/>
    <w:pPr>
      <w:ind w:leftChars="200" w:left="480"/>
    </w:pPr>
  </w:style>
  <w:style w:type="paragraph" w:styleId="a9">
    <w:name w:val="Balloon Text"/>
    <w:basedOn w:val="a"/>
    <w:link w:val="aa"/>
    <w:uiPriority w:val="99"/>
    <w:semiHidden/>
    <w:unhideWhenUsed/>
    <w:rsid w:val="005621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217F"/>
    <w:rPr>
      <w:rFonts w:asciiTheme="majorHAnsi" w:eastAsiaTheme="majorEastAsia" w:hAnsiTheme="majorHAnsi" w:cstheme="majorBidi"/>
      <w:sz w:val="18"/>
      <w:szCs w:val="18"/>
    </w:rPr>
  </w:style>
  <w:style w:type="character" w:customStyle="1" w:styleId="w51">
    <w:name w:val="w51"/>
    <w:rsid w:val="00185181"/>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24932">
      <w:bodyDiv w:val="1"/>
      <w:marLeft w:val="0"/>
      <w:marRight w:val="0"/>
      <w:marTop w:val="0"/>
      <w:marBottom w:val="0"/>
      <w:divBdr>
        <w:top w:val="none" w:sz="0" w:space="0" w:color="auto"/>
        <w:left w:val="none" w:sz="0" w:space="0" w:color="auto"/>
        <w:bottom w:val="none" w:sz="0" w:space="0" w:color="auto"/>
        <w:right w:val="none" w:sz="0" w:space="0" w:color="auto"/>
      </w:divBdr>
    </w:div>
    <w:div w:id="18117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CBD1-E429-4648-AF68-96821E34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162</Words>
  <Characters>924</Characters>
  <Application>Microsoft Office Word</Application>
  <DocSecurity>0</DocSecurity>
  <Lines>7</Lines>
  <Paragraphs>2</Paragraphs>
  <ScaleCrop>false</ScaleCrop>
  <Company>Hewlett-Packard Company</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陳旭怡</dc:creator>
  <cp:lastModifiedBy>張西銘</cp:lastModifiedBy>
  <cp:revision>9</cp:revision>
  <cp:lastPrinted>2020-03-11T01:42:00Z</cp:lastPrinted>
  <dcterms:created xsi:type="dcterms:W3CDTF">2020-04-01T06:17:00Z</dcterms:created>
  <dcterms:modified xsi:type="dcterms:W3CDTF">2020-04-07T07:44:00Z</dcterms:modified>
</cp:coreProperties>
</file>