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631C9A10"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w:t>
      </w:r>
      <w:r w:rsidR="00D93714" w:rsidRPr="00D93714">
        <w:rPr>
          <w:rFonts w:ascii="新細明體" w:eastAsia="新細明體" w:hAnsi="新細明體" w:cs="新細明體" w:hint="eastAsia"/>
          <w:color w:val="000000"/>
        </w:rPr>
        <w:t>內部稽核實施細則</w:t>
      </w:r>
      <w:r w:rsidRPr="00F6439B">
        <w:rPr>
          <w:rFonts w:ascii="新細明體" w:eastAsia="新細明體" w:hAnsi="新細明體" w:cs="新細明體" w:hint="eastAsia"/>
          <w:color w:val="000000"/>
        </w:rPr>
        <w:t>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AA-12120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買賣決策執行之稽核</w:t>
            </w:r>
          </w:p>
          <w:p w14:paraId="6D83B209" w14:textId="77777777" w:rsidR="003B3105" w:rsidRPr="00F6439B" w:rsidRDefault="003B3105" w:rsidP="001E533B">
            <w:pPr>
              <w:rPr>
                <w:rFonts w:ascii="新細明體" w:eastAsia="新細明體" w:hAnsi="新細明體"/>
              </w:rPr>
            </w:pPr>
            <w:r>
              <w:rPr>
                <w:rFonts w:ascii="新細明體" w:eastAsia="新細明體" w:hAnsi="新細明體" w:hint="eastAsia"/>
              </w:rPr>
              <w:t>目的：</w:t>
            </w:r>
          </w:p>
          <w:p w14:paraId="7051F023" w14:textId="77777777" w:rsidR="003B3105" w:rsidRPr="00F6439B" w:rsidRDefault="003B3105" w:rsidP="001E533B">
            <w:pPr>
              <w:rPr>
                <w:rFonts w:ascii="新細明體" w:eastAsia="新細明體" w:hAnsi="新細明體"/>
              </w:rPr>
            </w:pPr>
            <w:r>
              <w:rPr>
                <w:rFonts w:ascii="新細明體" w:eastAsia="新細明體" w:hAnsi="新細明體" w:hint="eastAsia"/>
              </w:rPr>
              <w:t>確定上述作業是否符合規定辦理</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不定期（每半年至少查核乙次）</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不定期（每半年至少查核乙次）</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配合內部控制制度CA-12120修正。</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(一)金融機構兼營者，其以自有資金與信託資金在同一日內作同一有價證券之相反自行買賣，是否依銀行法第一百零八條規定辦理，並報經主管機關備查。</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(一)金融機構兼營者，其以自有資金與信託資金在同一日內作同一有價證券之相反自行買賣，是否依銀行法第一百零八條規定辦理，並報經主管機關備查。</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4A2217D" w14:textId="77777777">
        <w:tc>
          <w:tcPr>
            <w:tcW w:w="1384" w:type="dxa"/>
            <w:vMerge/>
            <w:tcBorders>
              <w:left w:val="single" w:sz="12" w:space="0" w:color="auto"/>
            </w:tcBorders>
          </w:tcPr>
          <w:p w14:paraId="12766C13" w14:textId="77777777" w:rsidR="003B3105" w:rsidRDefault="003B3105" w:rsidP="001E533B">
            <w:pPr>
              <w:rPr>
                <w:rFonts w:ascii="新細明體" w:eastAsia="新細明體" w:hAnsi="新細明體"/>
              </w:rPr>
            </w:pPr>
          </w:p>
        </w:tc>
        <w:tc>
          <w:tcPr>
            <w:tcW w:w="1276" w:type="dxa"/>
            <w:vMerge/>
          </w:tcPr>
          <w:p w14:paraId="641CC408" w14:textId="77777777" w:rsidR="003B3105" w:rsidRDefault="003B3105" w:rsidP="001E533B">
            <w:pPr>
              <w:rPr>
                <w:rFonts w:ascii="新細明體" w:eastAsia="新細明體" w:hAnsi="新細明體"/>
              </w:rPr>
            </w:pPr>
          </w:p>
        </w:tc>
        <w:tc>
          <w:tcPr>
            <w:tcW w:w="5386" w:type="dxa"/>
            <w:tcBorders>
              <w:top w:val="nil"/>
              <w:bottom w:val="nil"/>
            </w:tcBorders>
          </w:tcPr>
          <w:p w14:paraId="3E994A6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(二)公司兼營承銷業務時，自營部門於承銷期間是否未取得包銷或代銷之有價證券。</w:t>
            </w:r>
          </w:p>
        </w:tc>
        <w:tc>
          <w:tcPr>
            <w:tcW w:w="5387" w:type="dxa"/>
            <w:tcBorders>
              <w:top w:val="nil"/>
              <w:bottom w:val="nil"/>
            </w:tcBorders>
          </w:tcPr>
          <w:p w14:paraId="19C8806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(二)公司兼營承銷業務時，自營部門於承銷期間是否未取得包銷或代銷之有價證券。</w:t>
            </w:r>
          </w:p>
        </w:tc>
        <w:tc>
          <w:tcPr>
            <w:tcW w:w="2023" w:type="dxa"/>
            <w:vMerge/>
            <w:tcBorders>
              <w:right w:val="single" w:sz="12" w:space="0" w:color="auto"/>
            </w:tcBorders>
          </w:tcPr>
          <w:p w14:paraId="3BF1C1B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D9B6344" w14:textId="77777777">
        <w:tc>
          <w:tcPr>
            <w:tcW w:w="1384" w:type="dxa"/>
            <w:vMerge/>
            <w:tcBorders>
              <w:left w:val="single" w:sz="12" w:space="0" w:color="auto"/>
            </w:tcBorders>
          </w:tcPr>
          <w:p w14:paraId="1AEB8A3C" w14:textId="77777777" w:rsidR="003B3105" w:rsidRDefault="003B3105" w:rsidP="001E533B">
            <w:pPr>
              <w:rPr>
                <w:rFonts w:ascii="新細明體" w:eastAsia="新細明體" w:hAnsi="新細明體"/>
              </w:rPr>
            </w:pPr>
          </w:p>
        </w:tc>
        <w:tc>
          <w:tcPr>
            <w:tcW w:w="1276" w:type="dxa"/>
            <w:vMerge/>
          </w:tcPr>
          <w:p w14:paraId="5922E0C2" w14:textId="77777777" w:rsidR="003B3105" w:rsidRDefault="003B3105" w:rsidP="001E533B">
            <w:pPr>
              <w:rPr>
                <w:rFonts w:ascii="新細明體" w:eastAsia="新細明體" w:hAnsi="新細明體"/>
              </w:rPr>
            </w:pPr>
          </w:p>
        </w:tc>
        <w:tc>
          <w:tcPr>
            <w:tcW w:w="5386" w:type="dxa"/>
            <w:tcBorders>
              <w:top w:val="nil"/>
              <w:bottom w:val="nil"/>
            </w:tcBorders>
          </w:tcPr>
          <w:p w14:paraId="2A155ED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(三)除為公司股份之認股人或公司債之應募人外，自營部門是否僅在集中市場自行買賣上市證券，且除經主管機關許可者外，是否未委託證券經紀商代為買賣。</w:t>
            </w:r>
          </w:p>
        </w:tc>
        <w:tc>
          <w:tcPr>
            <w:tcW w:w="5387" w:type="dxa"/>
            <w:tcBorders>
              <w:top w:val="nil"/>
              <w:bottom w:val="nil"/>
            </w:tcBorders>
          </w:tcPr>
          <w:p w14:paraId="10E3912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(三)除為公司股份之認股人或公司債之應募人外，自營部門是否僅在集中市場自行買賣上市證券，且除經主管機關許可者外，是否未委託證券經紀商代為買賣。</w:t>
            </w:r>
          </w:p>
        </w:tc>
        <w:tc>
          <w:tcPr>
            <w:tcW w:w="2023" w:type="dxa"/>
            <w:vMerge/>
            <w:tcBorders>
              <w:right w:val="single" w:sz="12" w:space="0" w:color="auto"/>
            </w:tcBorders>
          </w:tcPr>
          <w:p w14:paraId="0544707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621F9CF" w14:textId="77777777">
        <w:tc>
          <w:tcPr>
            <w:tcW w:w="1384" w:type="dxa"/>
            <w:vMerge/>
            <w:tcBorders>
              <w:left w:val="single" w:sz="12" w:space="0" w:color="auto"/>
            </w:tcBorders>
          </w:tcPr>
          <w:p w14:paraId="3D3BFFF8" w14:textId="77777777" w:rsidR="003B3105" w:rsidRDefault="003B3105" w:rsidP="001E533B">
            <w:pPr>
              <w:rPr>
                <w:rFonts w:ascii="新細明體" w:eastAsia="新細明體" w:hAnsi="新細明體"/>
              </w:rPr>
            </w:pPr>
          </w:p>
        </w:tc>
        <w:tc>
          <w:tcPr>
            <w:tcW w:w="1276" w:type="dxa"/>
            <w:vMerge/>
          </w:tcPr>
          <w:p w14:paraId="41D7A5E2" w14:textId="77777777" w:rsidR="003B3105" w:rsidRDefault="003B3105" w:rsidP="001E533B">
            <w:pPr>
              <w:rPr>
                <w:rFonts w:ascii="新細明體" w:eastAsia="新細明體" w:hAnsi="新細明體"/>
              </w:rPr>
            </w:pPr>
          </w:p>
        </w:tc>
        <w:tc>
          <w:tcPr>
            <w:tcW w:w="5386" w:type="dxa"/>
            <w:tcBorders>
              <w:top w:val="nil"/>
              <w:bottom w:val="nil"/>
            </w:tcBorders>
          </w:tcPr>
          <w:p w14:paraId="0903B24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(四)除經主管機關核准之轉投資事業外，取得它公司股份股權之行使是否基於公司之最大利益，不得直接或間接參與該發行公司經營或有不當之安排情事。</w:t>
            </w:r>
          </w:p>
        </w:tc>
        <w:tc>
          <w:tcPr>
            <w:tcW w:w="5387" w:type="dxa"/>
            <w:tcBorders>
              <w:top w:val="nil"/>
              <w:bottom w:val="nil"/>
            </w:tcBorders>
          </w:tcPr>
          <w:p w14:paraId="6DDC470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(四)除經主管機關核准之轉投資事業外，取得它公司股份股權之行使是否基於公司之最大利益，不得直接或間接參與該發行公司經營或有不當之安排情事。</w:t>
            </w:r>
          </w:p>
        </w:tc>
        <w:tc>
          <w:tcPr>
            <w:tcW w:w="2023" w:type="dxa"/>
            <w:vMerge/>
            <w:tcBorders>
              <w:right w:val="single" w:sz="12" w:space="0" w:color="auto"/>
            </w:tcBorders>
          </w:tcPr>
          <w:p w14:paraId="369ED36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9D12208" w14:textId="77777777">
        <w:tc>
          <w:tcPr>
            <w:tcW w:w="1384" w:type="dxa"/>
            <w:vMerge/>
            <w:tcBorders>
              <w:left w:val="single" w:sz="12" w:space="0" w:color="auto"/>
            </w:tcBorders>
          </w:tcPr>
          <w:p w14:paraId="60791B51" w14:textId="77777777" w:rsidR="003B3105" w:rsidRDefault="003B3105" w:rsidP="001E533B">
            <w:pPr>
              <w:rPr>
                <w:rFonts w:ascii="新細明體" w:eastAsia="新細明體" w:hAnsi="新細明體"/>
              </w:rPr>
            </w:pPr>
          </w:p>
        </w:tc>
        <w:tc>
          <w:tcPr>
            <w:tcW w:w="1276" w:type="dxa"/>
            <w:vMerge/>
          </w:tcPr>
          <w:p w14:paraId="2119D735" w14:textId="77777777" w:rsidR="003B3105" w:rsidRDefault="003B3105" w:rsidP="001E533B">
            <w:pPr>
              <w:rPr>
                <w:rFonts w:ascii="新細明體" w:eastAsia="新細明體" w:hAnsi="新細明體"/>
              </w:rPr>
            </w:pPr>
          </w:p>
        </w:tc>
        <w:tc>
          <w:tcPr>
            <w:tcW w:w="5386" w:type="dxa"/>
            <w:tcBorders>
              <w:top w:val="nil"/>
              <w:bottom w:val="nil"/>
            </w:tcBorders>
          </w:tcPr>
          <w:p w14:paraId="7761CB7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(五)公司依據「證券交易法」第15條第 2款規定購買之投資標的、金額及作業程序，是否依主管機關11</w:t>
            </w:r>
            <w:r>
              <w:rPr>
                <w:rFonts w:ascii="新細明體" w:eastAsia="新細明體" w:hAnsi="新細明體" w:cs="新細明體" w:hint="eastAsia"/>
                <w:b/>
                <w:color w:val="FF0000"/>
                <w:u w:val="single"/>
              </w:rPr>
              <w:t>4</w:t>
            </w:r>
            <w:r>
              <w:rPr>
                <w:rFonts w:ascii="新細明體" w:eastAsia="新細明體" w:hAnsi="新細明體" w:cs="新細明體" w:hint="eastAsia"/>
              </w:rPr>
              <w:t>年</w:t>
            </w:r>
            <w:r>
              <w:rPr>
                <w:rFonts w:ascii="新細明體" w:eastAsia="新細明體" w:hAnsi="新細明體" w:cs="新細明體" w:hint="eastAsia"/>
                <w:b/>
                <w:color w:val="FF0000"/>
                <w:u w:val="single"/>
              </w:rPr>
              <w:t>4</w:t>
            </w:r>
            <w:r>
              <w:rPr>
                <w:rFonts w:ascii="新細明體" w:eastAsia="新細明體" w:hAnsi="新細明體" w:cs="新細明體" w:hint="eastAsia"/>
              </w:rPr>
              <w:t>月2</w:t>
            </w:r>
            <w:r>
              <w:rPr>
                <w:rFonts w:ascii="新細明體" w:eastAsia="新細明體" w:hAnsi="新細明體" w:cs="新細明體" w:hint="eastAsia"/>
                <w:b/>
                <w:color w:val="FF0000"/>
                <w:u w:val="single"/>
              </w:rPr>
              <w:t>3</w:t>
            </w:r>
            <w:r>
              <w:rPr>
                <w:rFonts w:ascii="新細明體" w:eastAsia="新細明體" w:hAnsi="新細明體" w:cs="新細明體" w:hint="eastAsia"/>
              </w:rPr>
              <w:t>日金管證券字第11</w:t>
            </w:r>
            <w:r>
              <w:rPr>
                <w:rFonts w:ascii="新細明體" w:eastAsia="新細明體" w:hAnsi="新細明體" w:cs="新細明體" w:hint="eastAsia"/>
                <w:b/>
                <w:color w:val="FF0000"/>
                <w:u w:val="single"/>
              </w:rPr>
              <w:t>4</w:t>
            </w:r>
            <w:r>
              <w:rPr>
                <w:rFonts w:ascii="新細明體" w:eastAsia="新細明體" w:hAnsi="新細明體" w:cs="新細明體" w:hint="eastAsia"/>
              </w:rPr>
              <w:t>03</w:t>
            </w:r>
            <w:r>
              <w:rPr>
                <w:rFonts w:ascii="新細明體" w:eastAsia="新細明體" w:hAnsi="新細明體" w:cs="新細明體" w:hint="eastAsia"/>
                <w:b/>
                <w:color w:val="FF0000"/>
                <w:u w:val="single"/>
              </w:rPr>
              <w:t>814</w:t>
            </w:r>
            <w:r>
              <w:rPr>
                <w:rFonts w:ascii="新細明體" w:eastAsia="新細明體" w:hAnsi="新細明體" w:cs="新細明體" w:hint="eastAsia"/>
              </w:rPr>
              <w:t>81號令及</w:t>
            </w:r>
            <w:r>
              <w:rPr>
                <w:rFonts w:ascii="新細明體" w:eastAsia="新細明體" w:hAnsi="新細明體" w:cs="新細明體" w:hint="eastAsia"/>
                <w:b/>
                <w:color w:val="FF0000"/>
                <w:u w:val="single"/>
              </w:rPr>
              <w:t>11</w:t>
            </w:r>
            <w:r>
              <w:rPr>
                <w:rFonts w:ascii="新細明體" w:eastAsia="新細明體" w:hAnsi="新細明體" w:cs="新細明體" w:hint="eastAsia"/>
              </w:rPr>
              <w:t>2年</w:t>
            </w:r>
            <w:r>
              <w:rPr>
                <w:rFonts w:ascii="新細明體" w:eastAsia="新細明體" w:hAnsi="新細明體" w:cs="新細明體" w:hint="eastAsia"/>
                <w:b/>
                <w:color w:val="FF0000"/>
                <w:u w:val="single"/>
              </w:rPr>
              <w:t>10</w:t>
            </w:r>
            <w:r>
              <w:rPr>
                <w:rFonts w:ascii="新細明體" w:eastAsia="新細明體" w:hAnsi="新細明體" w:cs="新細明體" w:hint="eastAsia"/>
              </w:rPr>
              <w:t>月</w:t>
            </w:r>
            <w:r>
              <w:rPr>
                <w:rFonts w:ascii="新細明體" w:eastAsia="新細明體" w:hAnsi="新細明體" w:cs="新細明體" w:hint="eastAsia"/>
                <w:b/>
                <w:color w:val="FF0000"/>
                <w:u w:val="single"/>
              </w:rPr>
              <w:t>1</w:t>
            </w:r>
            <w:r>
              <w:rPr>
                <w:rFonts w:ascii="新細明體" w:eastAsia="新細明體" w:hAnsi="新細明體" w:cs="新細明體" w:hint="eastAsia"/>
              </w:rPr>
              <w:t>7日</w:t>
            </w:r>
            <w:r>
              <w:rPr>
                <w:rFonts w:ascii="新細明體" w:eastAsia="新細明體" w:hAnsi="新細明體" w:cs="新細明體" w:hint="eastAsia"/>
                <w:b/>
                <w:color w:val="FF0000"/>
                <w:u w:val="single"/>
              </w:rPr>
              <w:t>金管</w:t>
            </w:r>
            <w:r>
              <w:rPr>
                <w:rFonts w:ascii="新細明體" w:eastAsia="新細明體" w:hAnsi="新細明體" w:cs="新細明體" w:hint="eastAsia"/>
              </w:rPr>
              <w:t>證</w:t>
            </w:r>
            <w:r>
              <w:rPr>
                <w:rFonts w:ascii="新細明體" w:eastAsia="新細明體" w:hAnsi="新細明體" w:cs="新細明體" w:hint="eastAsia"/>
                <w:b/>
                <w:color w:val="FF0000"/>
                <w:u w:val="single"/>
              </w:rPr>
              <w:t>券</w:t>
            </w:r>
            <w:r>
              <w:rPr>
                <w:rFonts w:ascii="新細明體" w:eastAsia="新細明體" w:hAnsi="新細明體" w:cs="新細明體" w:hint="eastAsia"/>
              </w:rPr>
              <w:t>字第</w:t>
            </w:r>
            <w:r>
              <w:rPr>
                <w:rFonts w:ascii="新細明體" w:eastAsia="新細明體" w:hAnsi="新細明體" w:cs="新細明體" w:hint="eastAsia"/>
                <w:b/>
                <w:color w:val="FF0000"/>
                <w:u w:val="single"/>
              </w:rPr>
              <w:t>11</w:t>
            </w:r>
            <w:r>
              <w:rPr>
                <w:rFonts w:ascii="新細明體" w:eastAsia="新細明體" w:hAnsi="新細明體" w:cs="新細明體" w:hint="eastAsia"/>
              </w:rPr>
              <w:t>20</w:t>
            </w:r>
            <w:r>
              <w:rPr>
                <w:rFonts w:ascii="新細明體" w:eastAsia="新細明體" w:hAnsi="新細明體" w:cs="新細明體" w:hint="eastAsia"/>
                <w:b/>
                <w:color w:val="FF0000"/>
                <w:u w:val="single"/>
              </w:rPr>
              <w:t>38</w:t>
            </w:r>
            <w:r>
              <w:rPr>
                <w:rFonts w:ascii="新細明體" w:eastAsia="新細明體" w:hAnsi="新細明體" w:cs="新細明體" w:hint="eastAsia"/>
              </w:rPr>
              <w:t>4</w:t>
            </w:r>
            <w:r>
              <w:rPr>
                <w:rFonts w:ascii="新細明體" w:eastAsia="新細明體" w:hAnsi="新細明體" w:cs="新細明體" w:hint="eastAsia"/>
                <w:b/>
                <w:color w:val="FF0000"/>
                <w:u w:val="single"/>
              </w:rPr>
              <w:t>356</w:t>
            </w:r>
            <w:r>
              <w:rPr>
                <w:rFonts w:ascii="新細明體" w:eastAsia="新細明體" w:hAnsi="新細明體" w:cs="新細明體" w:hint="eastAsia"/>
              </w:rPr>
              <w:t>號</w:t>
            </w:r>
            <w:r>
              <w:rPr>
                <w:rFonts w:ascii="新細明體" w:eastAsia="新細明體" w:hAnsi="新細明體" w:cs="新細明體" w:hint="eastAsia"/>
                <w:b/>
                <w:color w:val="FF0000"/>
                <w:u w:val="single"/>
              </w:rPr>
              <w:t>令</w:t>
            </w:r>
            <w:r>
              <w:rPr>
                <w:rFonts w:ascii="新細明體" w:eastAsia="新細明體" w:hAnsi="新細明體" w:cs="新細明體" w:hint="eastAsia"/>
              </w:rPr>
              <w:t>規定辦理。</w:t>
            </w:r>
          </w:p>
        </w:tc>
        <w:tc>
          <w:tcPr>
            <w:tcW w:w="5387" w:type="dxa"/>
            <w:tcBorders>
              <w:top w:val="nil"/>
              <w:bottom w:val="nil"/>
            </w:tcBorders>
          </w:tcPr>
          <w:p w14:paraId="7DC8864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(五)公司依據「證券交易法」第15條第 2款規定購買之投資標的、金額及作業程序，是否依主管機關11</w:t>
            </w:r>
            <w:r>
              <w:rPr>
                <w:rFonts w:ascii="新細明體" w:eastAsia="新細明體" w:hAnsi="新細明體" w:cs="新細明體" w:hint="eastAsia"/>
                <w:b/>
                <w:color w:val="FF0000"/>
              </w:rPr>
              <w:t>1</w:t>
            </w:r>
            <w:r>
              <w:rPr>
                <w:rFonts w:ascii="新細明體" w:eastAsia="新細明體" w:hAnsi="新細明體" w:cs="新細明體" w:hint="eastAsia"/>
              </w:rPr>
              <w:t>年</w:t>
            </w:r>
            <w:r>
              <w:rPr>
                <w:rFonts w:ascii="新細明體" w:eastAsia="新細明體" w:hAnsi="新細明體" w:cs="新細明體" w:hint="eastAsia"/>
                <w:b/>
                <w:color w:val="FF0000"/>
              </w:rPr>
              <w:t>3</w:t>
            </w:r>
            <w:r>
              <w:rPr>
                <w:rFonts w:ascii="新細明體" w:eastAsia="新細明體" w:hAnsi="新細明體" w:cs="新細明體" w:hint="eastAsia"/>
              </w:rPr>
              <w:t>月2</w:t>
            </w:r>
            <w:r>
              <w:rPr>
                <w:rFonts w:ascii="新細明體" w:eastAsia="新細明體" w:hAnsi="新細明體" w:cs="新細明體" w:hint="eastAsia"/>
                <w:b/>
                <w:color w:val="FF0000"/>
              </w:rPr>
              <w:t>1</w:t>
            </w:r>
            <w:r>
              <w:rPr>
                <w:rFonts w:ascii="新細明體" w:eastAsia="新細明體" w:hAnsi="新細明體" w:cs="新細明體" w:hint="eastAsia"/>
              </w:rPr>
              <w:t>日金管證券字第11</w:t>
            </w:r>
            <w:r>
              <w:rPr>
                <w:rFonts w:ascii="新細明體" w:eastAsia="新細明體" w:hAnsi="新細明體" w:cs="新細明體" w:hint="eastAsia"/>
                <w:b/>
                <w:color w:val="FF0000"/>
              </w:rPr>
              <w:t>1</w:t>
            </w:r>
            <w:r>
              <w:rPr>
                <w:rFonts w:ascii="新細明體" w:eastAsia="新細明體" w:hAnsi="新細明體" w:cs="新細明體" w:hint="eastAsia"/>
              </w:rPr>
              <w:t>0381</w:t>
            </w:r>
            <w:r>
              <w:rPr>
                <w:rFonts w:ascii="新細明體" w:eastAsia="新細明體" w:hAnsi="新細明體" w:cs="新細明體" w:hint="eastAsia"/>
                <w:b/>
                <w:color w:val="FF0000"/>
              </w:rPr>
              <w:t>062</w:t>
            </w:r>
            <w:r>
              <w:rPr>
                <w:rFonts w:ascii="新細明體" w:eastAsia="新細明體" w:hAnsi="新細明體" w:cs="新細明體" w:hint="eastAsia"/>
              </w:rPr>
              <w:t>號令及</w:t>
            </w:r>
            <w:r>
              <w:rPr>
                <w:rFonts w:ascii="新細明體" w:eastAsia="新細明體" w:hAnsi="新細明體" w:cs="新細明體" w:hint="eastAsia"/>
                <w:b/>
                <w:color w:val="FF0000"/>
              </w:rPr>
              <w:t>9</w:t>
            </w:r>
            <w:r>
              <w:rPr>
                <w:rFonts w:ascii="新細明體" w:eastAsia="新細明體" w:hAnsi="新細明體" w:cs="新細明體" w:hint="eastAsia"/>
              </w:rPr>
              <w:t>2年</w:t>
            </w:r>
            <w:r>
              <w:rPr>
                <w:rFonts w:ascii="新細明體" w:eastAsia="新細明體" w:hAnsi="新細明體" w:cs="新細明體" w:hint="eastAsia"/>
                <w:b/>
                <w:color w:val="FF0000"/>
              </w:rPr>
              <w:t>3</w:t>
            </w:r>
            <w:r>
              <w:rPr>
                <w:rFonts w:ascii="新細明體" w:eastAsia="新細明體" w:hAnsi="新細明體" w:cs="新細明體" w:hint="eastAsia"/>
              </w:rPr>
              <w:t>月</w:t>
            </w:r>
            <w:r>
              <w:rPr>
                <w:rFonts w:ascii="新細明體" w:eastAsia="新細明體" w:hAnsi="新細明體" w:cs="新細明體" w:hint="eastAsia"/>
                <w:b/>
                <w:color w:val="FF0000"/>
              </w:rPr>
              <w:t>2</w:t>
            </w:r>
            <w:r>
              <w:rPr>
                <w:rFonts w:ascii="新細明體" w:eastAsia="新細明體" w:hAnsi="新細明體" w:cs="新細明體" w:hint="eastAsia"/>
              </w:rPr>
              <w:t>7日</w:t>
            </w:r>
            <w:r>
              <w:rPr>
                <w:rFonts w:ascii="新細明體" w:eastAsia="新細明體" w:hAnsi="新細明體" w:cs="新細明體" w:hint="eastAsia"/>
                <w:b/>
                <w:color w:val="FF0000"/>
              </w:rPr>
              <w:t>台財</w:t>
            </w:r>
            <w:r>
              <w:rPr>
                <w:rFonts w:ascii="新細明體" w:eastAsia="新細明體" w:hAnsi="新細明體" w:cs="新細明體" w:hint="eastAsia"/>
              </w:rPr>
              <w:t>證</w:t>
            </w:r>
            <w:r>
              <w:rPr>
                <w:rFonts w:ascii="新細明體" w:eastAsia="新細明體" w:hAnsi="新細明體" w:cs="新細明體" w:hint="eastAsia"/>
                <w:b/>
                <w:color w:val="FF0000"/>
              </w:rPr>
              <w:t>二</w:t>
            </w:r>
            <w:r>
              <w:rPr>
                <w:rFonts w:ascii="新細明體" w:eastAsia="新細明體" w:hAnsi="新細明體" w:cs="新細明體" w:hint="eastAsia"/>
              </w:rPr>
              <w:t>字第</w:t>
            </w:r>
            <w:r>
              <w:rPr>
                <w:rFonts w:ascii="新細明體" w:eastAsia="新細明體" w:hAnsi="新細明體" w:cs="新細明體" w:hint="eastAsia"/>
                <w:b/>
                <w:color w:val="FF0000"/>
              </w:rPr>
              <w:t>09</w:t>
            </w:r>
            <w:r>
              <w:rPr>
                <w:rFonts w:ascii="新細明體" w:eastAsia="新細明體" w:hAnsi="新細明體" w:cs="新細明體" w:hint="eastAsia"/>
              </w:rPr>
              <w:t>20</w:t>
            </w:r>
            <w:r>
              <w:rPr>
                <w:rFonts w:ascii="新細明體" w:eastAsia="新細明體" w:hAnsi="新細明體" w:cs="新細明體" w:hint="eastAsia"/>
                <w:b/>
                <w:color w:val="FF0000"/>
              </w:rPr>
              <w:t>100</w:t>
            </w:r>
            <w:r>
              <w:rPr>
                <w:rFonts w:ascii="新細明體" w:eastAsia="新細明體" w:hAnsi="新細明體" w:cs="新細明體" w:hint="eastAsia"/>
              </w:rPr>
              <w:t>4</w:t>
            </w:r>
            <w:r>
              <w:rPr>
                <w:rFonts w:ascii="新細明體" w:eastAsia="新細明體" w:hAnsi="新細明體" w:cs="新細明體" w:hint="eastAsia"/>
                <w:b/>
                <w:color w:val="FF0000"/>
              </w:rPr>
              <w:t>79</w:t>
            </w:r>
            <w:r>
              <w:rPr>
                <w:rFonts w:ascii="新細明體" w:eastAsia="新細明體" w:hAnsi="新細明體" w:cs="新細明體" w:hint="eastAsia"/>
              </w:rPr>
              <w:t>號</w:t>
            </w:r>
            <w:r>
              <w:rPr>
                <w:rFonts w:ascii="新細明體" w:eastAsia="新細明體" w:hAnsi="新細明體" w:cs="新細明體" w:hint="eastAsia"/>
                <w:b/>
                <w:color w:val="FF0000"/>
              </w:rPr>
              <w:t>函</w:t>
            </w:r>
            <w:r>
              <w:rPr>
                <w:rFonts w:ascii="新細明體" w:eastAsia="新細明體" w:hAnsi="新細明體" w:cs="新細明體" w:hint="eastAsia"/>
              </w:rPr>
              <w:t>規定辦理。</w:t>
            </w:r>
          </w:p>
        </w:tc>
        <w:tc>
          <w:tcPr>
            <w:tcW w:w="2023" w:type="dxa"/>
            <w:vMerge/>
            <w:tcBorders>
              <w:right w:val="single" w:sz="12" w:space="0" w:color="auto"/>
            </w:tcBorders>
          </w:tcPr>
          <w:p w14:paraId="10D5169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429" w:hangingChars="165" w:hanging="429"/>
              <w:rPr>
                <w:rFonts w:ascii="新細明體" w:eastAsia="新細明體" w:hAnsi="新細明體" w:cs="新細明體"/>
              </w:rPr>
            </w:pPr>
            <w:r>
              <w:rPr>
                <w:rFonts w:ascii="新細明體" w:eastAsia="新細明體" w:hAnsi="新細明體" w:cs="新細明體" w:hint="eastAsia"/>
              </w:rPr>
              <w:t>(六)於公開招募期間購買受託機構依不動產證券化條例所發行之上市（櫃）受益證券，是否依主管機關規定辦理。</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(六)於公開招募期間購買受託機構依不動產證券化條例所發行之上市（櫃）受益證券，是否依主管機關規定辦理。</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16C7968A"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82CF1" w14:textId="77777777" w:rsidR="00AF2ED3" w:rsidRDefault="00AF2ED3" w:rsidP="00E87601">
      <w:pPr>
        <w:spacing w:line="240" w:lineRule="auto"/>
      </w:pPr>
      <w:r>
        <w:separator/>
      </w:r>
    </w:p>
  </w:endnote>
  <w:endnote w:type="continuationSeparator" w:id="0">
    <w:p w14:paraId="26EE78A0" w14:textId="77777777" w:rsidR="00AF2ED3" w:rsidRDefault="00AF2ED3"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D1C23" w14:textId="77777777" w:rsidR="00AF2ED3" w:rsidRDefault="00AF2ED3" w:rsidP="00E87601">
      <w:pPr>
        <w:spacing w:line="240" w:lineRule="auto"/>
      </w:pPr>
      <w:r>
        <w:separator/>
      </w:r>
    </w:p>
  </w:footnote>
  <w:footnote w:type="continuationSeparator" w:id="0">
    <w:p w14:paraId="75AC4B89" w14:textId="77777777" w:rsidR="00AF2ED3" w:rsidRDefault="00AF2ED3"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716CE"/>
    <w:rsid w:val="0057303B"/>
    <w:rsid w:val="00587858"/>
    <w:rsid w:val="00590586"/>
    <w:rsid w:val="005A67E0"/>
    <w:rsid w:val="005B5700"/>
    <w:rsid w:val="005D293B"/>
    <w:rsid w:val="005E48B0"/>
    <w:rsid w:val="005E77C1"/>
    <w:rsid w:val="0061624E"/>
    <w:rsid w:val="00622D10"/>
    <w:rsid w:val="00651DC4"/>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7E1E63"/>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943E4"/>
    <w:rsid w:val="00AD1920"/>
    <w:rsid w:val="00AD7183"/>
    <w:rsid w:val="00AF2ED3"/>
    <w:rsid w:val="00B04679"/>
    <w:rsid w:val="00B24B03"/>
    <w:rsid w:val="00B80849"/>
    <w:rsid w:val="00B85495"/>
    <w:rsid w:val="00BA3B85"/>
    <w:rsid w:val="00BD0555"/>
    <w:rsid w:val="00BD0E46"/>
    <w:rsid w:val="00BE1F83"/>
    <w:rsid w:val="00BF247F"/>
    <w:rsid w:val="00C26683"/>
    <w:rsid w:val="00C26AA2"/>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147</Words>
  <Characters>843</Characters>
  <Application>Microsoft Office Word</Application>
  <DocSecurity>0</DocSecurity>
  <Lines>7</Lines>
  <Paragraphs>1</Paragraphs>
  <ScaleCrop>false</ScaleCrop>
  <Company>Hewlett-Packard Company</Company>
  <LinksUpToDate>false</LinksUpToDate>
  <CharactersWithSpaces>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15</cp:revision>
  <cp:lastPrinted>2004-03-09T19:20:00Z</cp:lastPrinted>
  <dcterms:created xsi:type="dcterms:W3CDTF">2025-04-18T10:47:00Z</dcterms:created>
  <dcterms:modified xsi:type="dcterms:W3CDTF">2026-05-19T02:53:00Z</dcterms:modified>
</cp:coreProperties>
</file>