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4C13DCD4"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AA-18100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防制洗錢作業(含國際證券業務)之稽核</w:t>
            </w:r>
          </w:p>
          <w:p w14:paraId="02430EA4"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6195485F"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配合內部控制制度CA-18100修正。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(一)風險辨識與控管措施</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(一)風險辨識與控管措施</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CD9A57" w14:textId="77777777">
        <w:tc>
          <w:tcPr>
            <w:tcW w:w="1384" w:type="dxa"/>
            <w:vMerge/>
            <w:tcBorders>
              <w:left w:val="single" w:sz="12" w:space="0" w:color="auto"/>
            </w:tcBorders>
          </w:tcPr>
          <w:p w14:paraId="37065774" w14:textId="77777777" w:rsidR="003B3105" w:rsidRDefault="003B3105" w:rsidP="001E533B">
            <w:pPr>
              <w:rPr>
                <w:rFonts w:ascii="新細明體" w:eastAsia="新細明體" w:hAnsi="新細明體"/>
              </w:rPr>
            </w:pPr>
          </w:p>
        </w:tc>
        <w:tc>
          <w:tcPr>
            <w:tcW w:w="1276" w:type="dxa"/>
            <w:vMerge/>
          </w:tcPr>
          <w:p w14:paraId="0955E00D" w14:textId="77777777" w:rsidR="003B3105" w:rsidRDefault="003B3105" w:rsidP="001E533B">
            <w:pPr>
              <w:rPr>
                <w:rFonts w:ascii="新細明體" w:eastAsia="新細明體" w:hAnsi="新細明體"/>
              </w:rPr>
            </w:pPr>
          </w:p>
        </w:tc>
        <w:tc>
          <w:tcPr>
            <w:tcW w:w="5386" w:type="dxa"/>
            <w:tcBorders>
              <w:top w:val="nil"/>
              <w:bottom w:val="nil"/>
            </w:tcBorders>
          </w:tcPr>
          <w:p w14:paraId="3E80FD35" w14:textId="4172AFCE"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1.公司是否依業務性質及規模、產品與服務複雜程度、</w:t>
            </w:r>
            <w:r w:rsidR="00801A0E">
              <w:rPr>
                <w:rFonts w:ascii="新細明體" w:eastAsia="新細明體" w:hAnsi="新細明體" w:cs="新細明體" w:hint="eastAsia"/>
              </w:rPr>
              <w:t>分支機構</w:t>
            </w:r>
            <w:r w:rsidRPr="00801A0E">
              <w:rPr>
                <w:rFonts w:ascii="新細明體" w:eastAsia="新細明體" w:hAnsi="新細明體" w:cs="新細明體" w:hint="eastAsia"/>
                <w:b/>
                <w:color w:val="FF0000"/>
                <w:u w:val="single"/>
              </w:rPr>
              <w:t>及簡易分支機構</w:t>
            </w:r>
            <w:r>
              <w:rPr>
                <w:rFonts w:ascii="新細明體" w:eastAsia="新細明體" w:hAnsi="新細明體" w:cs="新細明體" w:hint="eastAsia"/>
              </w:rPr>
              <w:t>提供之服務範圍、客戶組成等相關因素，以識別、評估其洗錢及資恐風險，並至少訂定地域、客戶、產品及服務、交易或支付管道等具體風險評估項目。</w:t>
            </w:r>
          </w:p>
        </w:tc>
        <w:tc>
          <w:tcPr>
            <w:tcW w:w="5387" w:type="dxa"/>
            <w:tcBorders>
              <w:top w:val="nil"/>
              <w:bottom w:val="nil"/>
            </w:tcBorders>
          </w:tcPr>
          <w:p w14:paraId="757EB3B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是否依業務性質及規模、產品與服務複雜程度、分支機構提供之服務範圍、客戶組成等相關因素，以識別、評估其洗錢及資恐風險，並至少訂定地域、客戶、產品及服務、交易或支付管道等具體風險評估項目。</w:t>
            </w:r>
          </w:p>
        </w:tc>
        <w:tc>
          <w:tcPr>
            <w:tcW w:w="2023" w:type="dxa"/>
            <w:vMerge/>
            <w:tcBorders>
              <w:right w:val="single" w:sz="12" w:space="0" w:color="auto"/>
            </w:tcBorders>
          </w:tcPr>
          <w:p w14:paraId="18C16F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4A8AAF" w14:textId="77777777">
        <w:tc>
          <w:tcPr>
            <w:tcW w:w="1384" w:type="dxa"/>
            <w:vMerge/>
            <w:tcBorders>
              <w:left w:val="single" w:sz="12" w:space="0" w:color="auto"/>
            </w:tcBorders>
          </w:tcPr>
          <w:p w14:paraId="1DA6CEEE" w14:textId="77777777" w:rsidR="003B3105" w:rsidRDefault="003B3105" w:rsidP="001E533B">
            <w:pPr>
              <w:rPr>
                <w:rFonts w:ascii="新細明體" w:eastAsia="新細明體" w:hAnsi="新細明體"/>
              </w:rPr>
            </w:pPr>
          </w:p>
        </w:tc>
        <w:tc>
          <w:tcPr>
            <w:tcW w:w="1276" w:type="dxa"/>
            <w:vMerge/>
          </w:tcPr>
          <w:p w14:paraId="235D3357" w14:textId="77777777" w:rsidR="003B3105" w:rsidRDefault="003B3105" w:rsidP="001E533B">
            <w:pPr>
              <w:rPr>
                <w:rFonts w:ascii="新細明體" w:eastAsia="新細明體" w:hAnsi="新細明體"/>
              </w:rPr>
            </w:pPr>
          </w:p>
        </w:tc>
        <w:tc>
          <w:tcPr>
            <w:tcW w:w="5386" w:type="dxa"/>
            <w:tcBorders>
              <w:top w:val="nil"/>
              <w:bottom w:val="nil"/>
            </w:tcBorders>
          </w:tcPr>
          <w:p w14:paraId="498750E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2.確認客戶身分</w:t>
            </w:r>
          </w:p>
        </w:tc>
        <w:tc>
          <w:tcPr>
            <w:tcW w:w="5387" w:type="dxa"/>
            <w:tcBorders>
              <w:top w:val="nil"/>
              <w:bottom w:val="nil"/>
            </w:tcBorders>
          </w:tcPr>
          <w:p w14:paraId="673735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2.確認客戶身分</w:t>
            </w:r>
          </w:p>
        </w:tc>
        <w:tc>
          <w:tcPr>
            <w:tcW w:w="2023" w:type="dxa"/>
            <w:vMerge/>
            <w:tcBorders>
              <w:right w:val="single" w:sz="12" w:space="0" w:color="auto"/>
            </w:tcBorders>
          </w:tcPr>
          <w:p w14:paraId="4C003D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0FA03B" w14:textId="77777777">
        <w:tc>
          <w:tcPr>
            <w:tcW w:w="1384" w:type="dxa"/>
            <w:vMerge/>
            <w:tcBorders>
              <w:left w:val="single" w:sz="12" w:space="0" w:color="auto"/>
            </w:tcBorders>
          </w:tcPr>
          <w:p w14:paraId="06B732F2" w14:textId="77777777" w:rsidR="003B3105" w:rsidRDefault="003B3105" w:rsidP="001E533B">
            <w:pPr>
              <w:rPr>
                <w:rFonts w:ascii="新細明體" w:eastAsia="新細明體" w:hAnsi="新細明體"/>
              </w:rPr>
            </w:pPr>
          </w:p>
        </w:tc>
        <w:tc>
          <w:tcPr>
            <w:tcW w:w="1276" w:type="dxa"/>
            <w:vMerge/>
          </w:tcPr>
          <w:p w14:paraId="3D2A1973" w14:textId="77777777" w:rsidR="003B3105" w:rsidRDefault="003B3105" w:rsidP="001E533B">
            <w:pPr>
              <w:rPr>
                <w:rFonts w:ascii="新細明體" w:eastAsia="新細明體" w:hAnsi="新細明體"/>
              </w:rPr>
            </w:pPr>
          </w:p>
        </w:tc>
        <w:tc>
          <w:tcPr>
            <w:tcW w:w="5386" w:type="dxa"/>
            <w:tcBorders>
              <w:top w:val="nil"/>
              <w:bottom w:val="nil"/>
            </w:tcBorders>
          </w:tcPr>
          <w:p w14:paraId="131F18B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(1)於客戶疑似使用人頭、虛設行號、查證代理人之事實及身分資料有困難等異常情形，客戶無法提出合理說明等情形者，是否婉拒建立業務關係或交易。</w:t>
            </w:r>
          </w:p>
        </w:tc>
        <w:tc>
          <w:tcPr>
            <w:tcW w:w="5387" w:type="dxa"/>
            <w:tcBorders>
              <w:top w:val="nil"/>
              <w:bottom w:val="nil"/>
            </w:tcBorders>
          </w:tcPr>
          <w:p w14:paraId="2B03BFF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(1)於客戶疑似使用人頭、虛設行號、查證代理人之事實及身分資料有困難等異常情形，客戶無法提出合理說明等情形者，是否婉拒建立業務關係或交易。</w:t>
            </w:r>
          </w:p>
        </w:tc>
        <w:tc>
          <w:tcPr>
            <w:tcW w:w="2023" w:type="dxa"/>
            <w:vMerge/>
            <w:tcBorders>
              <w:right w:val="single" w:sz="12" w:space="0" w:color="auto"/>
            </w:tcBorders>
          </w:tcPr>
          <w:p w14:paraId="49E8CD0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C0C2F9" w14:textId="77777777">
        <w:tc>
          <w:tcPr>
            <w:tcW w:w="1384" w:type="dxa"/>
            <w:vMerge/>
            <w:tcBorders>
              <w:left w:val="single" w:sz="12" w:space="0" w:color="auto"/>
            </w:tcBorders>
          </w:tcPr>
          <w:p w14:paraId="09829A81" w14:textId="77777777" w:rsidR="003B3105" w:rsidRDefault="003B3105" w:rsidP="001E533B">
            <w:pPr>
              <w:rPr>
                <w:rFonts w:ascii="新細明體" w:eastAsia="新細明體" w:hAnsi="新細明體"/>
              </w:rPr>
            </w:pPr>
          </w:p>
        </w:tc>
        <w:tc>
          <w:tcPr>
            <w:tcW w:w="1276" w:type="dxa"/>
            <w:vMerge/>
          </w:tcPr>
          <w:p w14:paraId="726DFAA3" w14:textId="77777777" w:rsidR="003B3105" w:rsidRDefault="003B3105" w:rsidP="001E533B">
            <w:pPr>
              <w:rPr>
                <w:rFonts w:ascii="新細明體" w:eastAsia="新細明體" w:hAnsi="新細明體"/>
              </w:rPr>
            </w:pPr>
          </w:p>
        </w:tc>
        <w:tc>
          <w:tcPr>
            <w:tcW w:w="5386" w:type="dxa"/>
            <w:tcBorders>
              <w:top w:val="nil"/>
              <w:bottom w:val="nil"/>
            </w:tcBorders>
          </w:tcPr>
          <w:p w14:paraId="003543C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(2)是否於適當時機、採取適當措施確認客戶身分，且運用適當之風險管理機制確認客戶及其實質受益人、高階管理人員身分。</w:t>
            </w:r>
          </w:p>
        </w:tc>
        <w:tc>
          <w:tcPr>
            <w:tcW w:w="5387" w:type="dxa"/>
            <w:tcBorders>
              <w:top w:val="nil"/>
              <w:bottom w:val="nil"/>
            </w:tcBorders>
          </w:tcPr>
          <w:p w14:paraId="16751A1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(2)是否於適當時機、採取適當措施確認客戶身分，且運用適當之風險管理機制確認客戶及其實質受益人、高階管理人員身分。</w:t>
            </w:r>
          </w:p>
        </w:tc>
        <w:tc>
          <w:tcPr>
            <w:tcW w:w="2023" w:type="dxa"/>
            <w:vMerge/>
            <w:tcBorders>
              <w:right w:val="single" w:sz="12" w:space="0" w:color="auto"/>
            </w:tcBorders>
          </w:tcPr>
          <w:p w14:paraId="257753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B1F324" w14:textId="77777777">
        <w:tc>
          <w:tcPr>
            <w:tcW w:w="1384" w:type="dxa"/>
            <w:vMerge/>
            <w:tcBorders>
              <w:left w:val="single" w:sz="12" w:space="0" w:color="auto"/>
            </w:tcBorders>
          </w:tcPr>
          <w:p w14:paraId="1704B3E2" w14:textId="77777777" w:rsidR="003B3105" w:rsidRDefault="003B3105" w:rsidP="001E533B">
            <w:pPr>
              <w:rPr>
                <w:rFonts w:ascii="新細明體" w:eastAsia="新細明體" w:hAnsi="新細明體"/>
              </w:rPr>
            </w:pPr>
          </w:p>
        </w:tc>
        <w:tc>
          <w:tcPr>
            <w:tcW w:w="1276" w:type="dxa"/>
            <w:vMerge/>
          </w:tcPr>
          <w:p w14:paraId="2A75AE75" w14:textId="77777777" w:rsidR="003B3105" w:rsidRDefault="003B3105" w:rsidP="001E533B">
            <w:pPr>
              <w:rPr>
                <w:rFonts w:ascii="新細明體" w:eastAsia="新細明體" w:hAnsi="新細明體"/>
              </w:rPr>
            </w:pPr>
          </w:p>
        </w:tc>
        <w:tc>
          <w:tcPr>
            <w:tcW w:w="5386" w:type="dxa"/>
            <w:tcBorders>
              <w:top w:val="nil"/>
              <w:bottom w:val="nil"/>
            </w:tcBorders>
          </w:tcPr>
          <w:p w14:paraId="7FB291A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(3)於完成確認客戶身分前，是否未與客戶建立業務關係或進行臨時性交易。但符合相關情形者，不在此限。</w:t>
            </w:r>
          </w:p>
        </w:tc>
        <w:tc>
          <w:tcPr>
            <w:tcW w:w="5387" w:type="dxa"/>
            <w:tcBorders>
              <w:top w:val="nil"/>
              <w:bottom w:val="nil"/>
            </w:tcBorders>
          </w:tcPr>
          <w:p w14:paraId="008B652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(3)於完成確認客戶身分前，是否未與客戶建立業務關係或進行臨時性交易。但符合相關情形者，不在此限。</w:t>
            </w:r>
          </w:p>
        </w:tc>
        <w:tc>
          <w:tcPr>
            <w:tcW w:w="2023" w:type="dxa"/>
            <w:vMerge/>
            <w:tcBorders>
              <w:right w:val="single" w:sz="12" w:space="0" w:color="auto"/>
            </w:tcBorders>
          </w:tcPr>
          <w:p w14:paraId="7EB451C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FF37BD" w14:textId="77777777">
        <w:tc>
          <w:tcPr>
            <w:tcW w:w="1384" w:type="dxa"/>
            <w:vMerge/>
            <w:tcBorders>
              <w:left w:val="single" w:sz="12" w:space="0" w:color="auto"/>
            </w:tcBorders>
          </w:tcPr>
          <w:p w14:paraId="53C9AC21" w14:textId="77777777" w:rsidR="003B3105" w:rsidRDefault="003B3105" w:rsidP="001E533B">
            <w:pPr>
              <w:rPr>
                <w:rFonts w:ascii="新細明體" w:eastAsia="新細明體" w:hAnsi="新細明體"/>
              </w:rPr>
            </w:pPr>
          </w:p>
        </w:tc>
        <w:tc>
          <w:tcPr>
            <w:tcW w:w="1276" w:type="dxa"/>
            <w:vMerge/>
          </w:tcPr>
          <w:p w14:paraId="7ADD5815" w14:textId="77777777" w:rsidR="003B3105" w:rsidRDefault="003B3105" w:rsidP="001E533B">
            <w:pPr>
              <w:rPr>
                <w:rFonts w:ascii="新細明體" w:eastAsia="新細明體" w:hAnsi="新細明體"/>
              </w:rPr>
            </w:pPr>
          </w:p>
        </w:tc>
        <w:tc>
          <w:tcPr>
            <w:tcW w:w="5386" w:type="dxa"/>
            <w:tcBorders>
              <w:top w:val="nil"/>
              <w:bottom w:val="nil"/>
            </w:tcBorders>
          </w:tcPr>
          <w:p w14:paraId="188925A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(4)是否針對辨識為高風險或具特定高風險因子之客戶加強客戶審查措施，且在建立或新增業務往來關係前，依公司內部風險考量，所訂核准層級之高階管理人員同意。</w:t>
            </w:r>
          </w:p>
        </w:tc>
        <w:tc>
          <w:tcPr>
            <w:tcW w:w="5387" w:type="dxa"/>
            <w:tcBorders>
              <w:top w:val="nil"/>
              <w:bottom w:val="nil"/>
            </w:tcBorders>
          </w:tcPr>
          <w:p w14:paraId="607538A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(4)是否針對辨識為高風險或具特定高風險因子之客戶加強客戶審查措施，且在建立或新增業務往來關係前，依公司內部風險考量，所訂核准層級之高階管理人員同意。</w:t>
            </w:r>
          </w:p>
        </w:tc>
        <w:tc>
          <w:tcPr>
            <w:tcW w:w="2023" w:type="dxa"/>
            <w:vMerge/>
            <w:tcBorders>
              <w:right w:val="single" w:sz="12" w:space="0" w:color="auto"/>
            </w:tcBorders>
          </w:tcPr>
          <w:p w14:paraId="0C0C1E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5A34CA" w14:textId="77777777">
        <w:tc>
          <w:tcPr>
            <w:tcW w:w="1384" w:type="dxa"/>
            <w:vMerge/>
            <w:tcBorders>
              <w:left w:val="single" w:sz="12" w:space="0" w:color="auto"/>
            </w:tcBorders>
          </w:tcPr>
          <w:p w14:paraId="250A2B2C" w14:textId="77777777" w:rsidR="003B3105" w:rsidRDefault="003B3105" w:rsidP="001E533B">
            <w:pPr>
              <w:rPr>
                <w:rFonts w:ascii="新細明體" w:eastAsia="新細明體" w:hAnsi="新細明體"/>
              </w:rPr>
            </w:pPr>
          </w:p>
        </w:tc>
        <w:tc>
          <w:tcPr>
            <w:tcW w:w="1276" w:type="dxa"/>
            <w:vMerge/>
          </w:tcPr>
          <w:p w14:paraId="122704D7" w14:textId="77777777" w:rsidR="003B3105" w:rsidRDefault="003B3105" w:rsidP="001E533B">
            <w:pPr>
              <w:rPr>
                <w:rFonts w:ascii="新細明體" w:eastAsia="新細明體" w:hAnsi="新細明體"/>
              </w:rPr>
            </w:pPr>
          </w:p>
        </w:tc>
        <w:tc>
          <w:tcPr>
            <w:tcW w:w="5386" w:type="dxa"/>
            <w:tcBorders>
              <w:top w:val="nil"/>
              <w:bottom w:val="nil"/>
            </w:tcBorders>
          </w:tcPr>
          <w:p w14:paraId="7DF1550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(5)是否將內政部警政署「洗錢防制帳戶裁</w:t>
            </w:r>
            <w:r>
              <w:rPr>
                <w:rFonts w:ascii="新細明體" w:eastAsia="新細明體" w:hAnsi="新細明體" w:cs="新細明體" w:hint="eastAsia"/>
              </w:rPr>
              <w:lastRenderedPageBreak/>
              <w:t>處告誡系統」之告誡戶視為高風險客戶，進行加強確認客戶身分。</w:t>
            </w:r>
          </w:p>
        </w:tc>
        <w:tc>
          <w:tcPr>
            <w:tcW w:w="5387" w:type="dxa"/>
            <w:tcBorders>
              <w:top w:val="nil"/>
              <w:bottom w:val="nil"/>
            </w:tcBorders>
          </w:tcPr>
          <w:p w14:paraId="2E575B0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(5)是否將內政部警政署「洗錢防制帳戶裁</w:t>
            </w:r>
            <w:r>
              <w:rPr>
                <w:rFonts w:ascii="新細明體" w:eastAsia="新細明體" w:hAnsi="新細明體" w:cs="新細明體" w:hint="eastAsia"/>
              </w:rPr>
              <w:lastRenderedPageBreak/>
              <w:t>處告誡系統」之告誡戶視為高風險客戶，進行加強確認客戶身分。</w:t>
            </w:r>
          </w:p>
        </w:tc>
        <w:tc>
          <w:tcPr>
            <w:tcW w:w="2023" w:type="dxa"/>
            <w:vMerge/>
            <w:tcBorders>
              <w:right w:val="single" w:sz="12" w:space="0" w:color="auto"/>
            </w:tcBorders>
          </w:tcPr>
          <w:p w14:paraId="684C475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E18653" w14:textId="77777777">
        <w:tc>
          <w:tcPr>
            <w:tcW w:w="1384" w:type="dxa"/>
            <w:vMerge/>
            <w:tcBorders>
              <w:left w:val="single" w:sz="12" w:space="0" w:color="auto"/>
            </w:tcBorders>
          </w:tcPr>
          <w:p w14:paraId="0CA81535" w14:textId="77777777" w:rsidR="003B3105" w:rsidRDefault="003B3105" w:rsidP="001E533B">
            <w:pPr>
              <w:rPr>
                <w:rFonts w:ascii="新細明體" w:eastAsia="新細明體" w:hAnsi="新細明體"/>
              </w:rPr>
            </w:pPr>
          </w:p>
        </w:tc>
        <w:tc>
          <w:tcPr>
            <w:tcW w:w="1276" w:type="dxa"/>
            <w:vMerge/>
          </w:tcPr>
          <w:p w14:paraId="27425458" w14:textId="77777777" w:rsidR="003B3105" w:rsidRDefault="003B3105" w:rsidP="001E533B">
            <w:pPr>
              <w:rPr>
                <w:rFonts w:ascii="新細明體" w:eastAsia="新細明體" w:hAnsi="新細明體"/>
              </w:rPr>
            </w:pPr>
          </w:p>
        </w:tc>
        <w:tc>
          <w:tcPr>
            <w:tcW w:w="5386" w:type="dxa"/>
            <w:tcBorders>
              <w:top w:val="nil"/>
              <w:bottom w:val="nil"/>
            </w:tcBorders>
          </w:tcPr>
          <w:p w14:paraId="36AA6F6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(二)疑似洗錢或資恐交易態樣之辨別</w:t>
            </w:r>
          </w:p>
        </w:tc>
        <w:tc>
          <w:tcPr>
            <w:tcW w:w="5387" w:type="dxa"/>
            <w:tcBorders>
              <w:top w:val="nil"/>
              <w:bottom w:val="nil"/>
            </w:tcBorders>
          </w:tcPr>
          <w:p w14:paraId="4380046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(二)疑似洗錢或資恐交易態樣之辨別</w:t>
            </w:r>
          </w:p>
        </w:tc>
        <w:tc>
          <w:tcPr>
            <w:tcW w:w="2023" w:type="dxa"/>
            <w:vMerge/>
            <w:tcBorders>
              <w:right w:val="single" w:sz="12" w:space="0" w:color="auto"/>
            </w:tcBorders>
          </w:tcPr>
          <w:p w14:paraId="2134C7C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C337D6" w14:textId="77777777">
        <w:tc>
          <w:tcPr>
            <w:tcW w:w="1384" w:type="dxa"/>
            <w:vMerge/>
            <w:tcBorders>
              <w:left w:val="single" w:sz="12" w:space="0" w:color="auto"/>
            </w:tcBorders>
          </w:tcPr>
          <w:p w14:paraId="66EACDE1" w14:textId="77777777" w:rsidR="003B3105" w:rsidRDefault="003B3105" w:rsidP="001E533B">
            <w:pPr>
              <w:rPr>
                <w:rFonts w:ascii="新細明體" w:eastAsia="新細明體" w:hAnsi="新細明體"/>
              </w:rPr>
            </w:pPr>
          </w:p>
        </w:tc>
        <w:tc>
          <w:tcPr>
            <w:tcW w:w="1276" w:type="dxa"/>
            <w:vMerge/>
          </w:tcPr>
          <w:p w14:paraId="58E925A0" w14:textId="77777777" w:rsidR="003B3105" w:rsidRDefault="003B3105" w:rsidP="001E533B">
            <w:pPr>
              <w:rPr>
                <w:rFonts w:ascii="新細明體" w:eastAsia="新細明體" w:hAnsi="新細明體"/>
              </w:rPr>
            </w:pPr>
          </w:p>
        </w:tc>
        <w:tc>
          <w:tcPr>
            <w:tcW w:w="5386" w:type="dxa"/>
            <w:tcBorders>
              <w:top w:val="nil"/>
              <w:bottom w:val="nil"/>
            </w:tcBorders>
          </w:tcPr>
          <w:p w14:paraId="03555E38"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是否依公司本身資產規模、地域分布、業務特點、客群性質及交易特徵，並參照內部之洗錢及資恐風險評估或日常資訊等，就券商公會訂定之疑似洗錢或資恐交易態樣中選擇或自行發展契合本身之態樣。</w:t>
            </w:r>
          </w:p>
        </w:tc>
        <w:tc>
          <w:tcPr>
            <w:tcW w:w="5387" w:type="dxa"/>
            <w:tcBorders>
              <w:top w:val="nil"/>
              <w:bottom w:val="nil"/>
            </w:tcBorders>
          </w:tcPr>
          <w:p w14:paraId="7D0C3DD1"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是否依公司本身資產規模、地域分布、業務特點、客群性質及交易特徵，並參照內部之洗錢及資恐風險評估或日常資訊等，就券商公會訂定之疑似洗錢或資恐交易態樣中選擇或自行發展契合本身之態樣。</w:t>
            </w:r>
          </w:p>
        </w:tc>
        <w:tc>
          <w:tcPr>
            <w:tcW w:w="2023" w:type="dxa"/>
            <w:vMerge/>
            <w:tcBorders>
              <w:right w:val="single" w:sz="12" w:space="0" w:color="auto"/>
            </w:tcBorders>
          </w:tcPr>
          <w:p w14:paraId="59AC72F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E2E4F0" w14:textId="77777777">
        <w:tc>
          <w:tcPr>
            <w:tcW w:w="1384" w:type="dxa"/>
            <w:vMerge/>
            <w:tcBorders>
              <w:left w:val="single" w:sz="12" w:space="0" w:color="auto"/>
            </w:tcBorders>
          </w:tcPr>
          <w:p w14:paraId="2741D8DF" w14:textId="77777777" w:rsidR="003B3105" w:rsidRDefault="003B3105" w:rsidP="001E533B">
            <w:pPr>
              <w:rPr>
                <w:rFonts w:ascii="新細明體" w:eastAsia="新細明體" w:hAnsi="新細明體"/>
              </w:rPr>
            </w:pPr>
          </w:p>
        </w:tc>
        <w:tc>
          <w:tcPr>
            <w:tcW w:w="1276" w:type="dxa"/>
            <w:vMerge/>
          </w:tcPr>
          <w:p w14:paraId="2429AB78" w14:textId="77777777" w:rsidR="003B3105" w:rsidRDefault="003B3105" w:rsidP="001E533B">
            <w:pPr>
              <w:rPr>
                <w:rFonts w:ascii="新細明體" w:eastAsia="新細明體" w:hAnsi="新細明體"/>
              </w:rPr>
            </w:pPr>
          </w:p>
        </w:tc>
        <w:tc>
          <w:tcPr>
            <w:tcW w:w="5386" w:type="dxa"/>
            <w:tcBorders>
              <w:top w:val="nil"/>
              <w:bottom w:val="nil"/>
            </w:tcBorders>
          </w:tcPr>
          <w:p w14:paraId="6DA3E6D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(三)持續審查與監控</w:t>
            </w:r>
          </w:p>
        </w:tc>
        <w:tc>
          <w:tcPr>
            <w:tcW w:w="5387" w:type="dxa"/>
            <w:tcBorders>
              <w:top w:val="nil"/>
              <w:bottom w:val="nil"/>
            </w:tcBorders>
          </w:tcPr>
          <w:p w14:paraId="43DCCF6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(三)持續審查與監控</w:t>
            </w:r>
          </w:p>
        </w:tc>
        <w:tc>
          <w:tcPr>
            <w:tcW w:w="2023" w:type="dxa"/>
            <w:vMerge/>
            <w:tcBorders>
              <w:right w:val="single" w:sz="12" w:space="0" w:color="auto"/>
            </w:tcBorders>
          </w:tcPr>
          <w:p w14:paraId="090D8CE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421BA3" w14:textId="77777777">
        <w:tc>
          <w:tcPr>
            <w:tcW w:w="1384" w:type="dxa"/>
            <w:vMerge/>
            <w:tcBorders>
              <w:left w:val="single" w:sz="12" w:space="0" w:color="auto"/>
            </w:tcBorders>
          </w:tcPr>
          <w:p w14:paraId="0675AA6D" w14:textId="77777777" w:rsidR="003B3105" w:rsidRDefault="003B3105" w:rsidP="001E533B">
            <w:pPr>
              <w:rPr>
                <w:rFonts w:ascii="新細明體" w:eastAsia="新細明體" w:hAnsi="新細明體"/>
              </w:rPr>
            </w:pPr>
          </w:p>
        </w:tc>
        <w:tc>
          <w:tcPr>
            <w:tcW w:w="1276" w:type="dxa"/>
            <w:vMerge/>
          </w:tcPr>
          <w:p w14:paraId="6B17C5E7" w14:textId="77777777" w:rsidR="003B3105" w:rsidRDefault="003B3105" w:rsidP="001E533B">
            <w:pPr>
              <w:rPr>
                <w:rFonts w:ascii="新細明體" w:eastAsia="新細明體" w:hAnsi="新細明體"/>
              </w:rPr>
            </w:pPr>
          </w:p>
        </w:tc>
        <w:tc>
          <w:tcPr>
            <w:tcW w:w="5386" w:type="dxa"/>
            <w:tcBorders>
              <w:top w:val="nil"/>
              <w:bottom w:val="nil"/>
            </w:tcBorders>
          </w:tcPr>
          <w:p w14:paraId="0A10128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1.對於已確定風險等級之既有客戶，是否依客戶重要性及風險程度，對現有客戶身分資料進行審查，並在適當時間對已存在之往來關係進行審查及適時調整風險等級。</w:t>
            </w:r>
          </w:p>
        </w:tc>
        <w:tc>
          <w:tcPr>
            <w:tcW w:w="5387" w:type="dxa"/>
            <w:tcBorders>
              <w:top w:val="nil"/>
              <w:bottom w:val="nil"/>
            </w:tcBorders>
          </w:tcPr>
          <w:p w14:paraId="25A27B6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1.對於已確定風險等級之既有客戶，是否依客戶重要性及風險程度，對現有客戶身分資料進行審查，並在適當時間對已存在之往來關係進行審查及適時調整風險等級。</w:t>
            </w:r>
          </w:p>
        </w:tc>
        <w:tc>
          <w:tcPr>
            <w:tcW w:w="2023" w:type="dxa"/>
            <w:vMerge/>
            <w:tcBorders>
              <w:right w:val="single" w:sz="12" w:space="0" w:color="auto"/>
            </w:tcBorders>
          </w:tcPr>
          <w:p w14:paraId="65654C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C50985" w14:textId="77777777">
        <w:tc>
          <w:tcPr>
            <w:tcW w:w="1384" w:type="dxa"/>
            <w:vMerge/>
            <w:tcBorders>
              <w:left w:val="single" w:sz="12" w:space="0" w:color="auto"/>
            </w:tcBorders>
          </w:tcPr>
          <w:p w14:paraId="552B3140" w14:textId="77777777" w:rsidR="003B3105" w:rsidRDefault="003B3105" w:rsidP="001E533B">
            <w:pPr>
              <w:rPr>
                <w:rFonts w:ascii="新細明體" w:eastAsia="新細明體" w:hAnsi="新細明體"/>
              </w:rPr>
            </w:pPr>
          </w:p>
        </w:tc>
        <w:tc>
          <w:tcPr>
            <w:tcW w:w="1276" w:type="dxa"/>
            <w:vMerge/>
          </w:tcPr>
          <w:p w14:paraId="750D59F6" w14:textId="77777777" w:rsidR="003B3105" w:rsidRDefault="003B3105" w:rsidP="001E533B">
            <w:pPr>
              <w:rPr>
                <w:rFonts w:ascii="新細明體" w:eastAsia="新細明體" w:hAnsi="新細明體"/>
              </w:rPr>
            </w:pPr>
          </w:p>
        </w:tc>
        <w:tc>
          <w:tcPr>
            <w:tcW w:w="5386" w:type="dxa"/>
            <w:tcBorders>
              <w:top w:val="nil"/>
              <w:bottom w:val="nil"/>
            </w:tcBorders>
          </w:tcPr>
          <w:p w14:paraId="1C4119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2.是否定期檢視其辨識客戶及實質受益人身分所取得之資訊是否足夠，並確保該等資訊之更新。</w:t>
            </w:r>
          </w:p>
        </w:tc>
        <w:tc>
          <w:tcPr>
            <w:tcW w:w="5387" w:type="dxa"/>
            <w:tcBorders>
              <w:top w:val="nil"/>
              <w:bottom w:val="nil"/>
            </w:tcBorders>
          </w:tcPr>
          <w:p w14:paraId="088C276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2.是否定期檢視其辨識客戶及實質受益人身分所取得之資訊是否足夠，並確保該等資訊之更新。</w:t>
            </w:r>
          </w:p>
        </w:tc>
        <w:tc>
          <w:tcPr>
            <w:tcW w:w="2023" w:type="dxa"/>
            <w:vMerge/>
            <w:tcBorders>
              <w:right w:val="single" w:sz="12" w:space="0" w:color="auto"/>
            </w:tcBorders>
          </w:tcPr>
          <w:p w14:paraId="03D0B53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00B926" w14:textId="77777777">
        <w:tc>
          <w:tcPr>
            <w:tcW w:w="1384" w:type="dxa"/>
            <w:vMerge/>
            <w:tcBorders>
              <w:left w:val="single" w:sz="12" w:space="0" w:color="auto"/>
            </w:tcBorders>
          </w:tcPr>
          <w:p w14:paraId="3A0B2DE6" w14:textId="77777777" w:rsidR="003B3105" w:rsidRDefault="003B3105" w:rsidP="001E533B">
            <w:pPr>
              <w:rPr>
                <w:rFonts w:ascii="新細明體" w:eastAsia="新細明體" w:hAnsi="新細明體"/>
              </w:rPr>
            </w:pPr>
          </w:p>
        </w:tc>
        <w:tc>
          <w:tcPr>
            <w:tcW w:w="1276" w:type="dxa"/>
            <w:vMerge/>
          </w:tcPr>
          <w:p w14:paraId="59ECB0B0" w14:textId="77777777" w:rsidR="003B3105" w:rsidRDefault="003B3105" w:rsidP="001E533B">
            <w:pPr>
              <w:rPr>
                <w:rFonts w:ascii="新細明體" w:eastAsia="新細明體" w:hAnsi="新細明體"/>
              </w:rPr>
            </w:pPr>
          </w:p>
        </w:tc>
        <w:tc>
          <w:tcPr>
            <w:tcW w:w="5386" w:type="dxa"/>
            <w:tcBorders>
              <w:top w:val="nil"/>
              <w:bottom w:val="nil"/>
            </w:tcBorders>
          </w:tcPr>
          <w:p w14:paraId="68432B7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3.就辨識為高風險之客戶，是否至少每年檢視一次，就具特定高風險因子之客戶應增加進行客戶之審查頻率。</w:t>
            </w:r>
          </w:p>
        </w:tc>
        <w:tc>
          <w:tcPr>
            <w:tcW w:w="5387" w:type="dxa"/>
            <w:tcBorders>
              <w:top w:val="nil"/>
              <w:bottom w:val="nil"/>
            </w:tcBorders>
          </w:tcPr>
          <w:p w14:paraId="73E8A5F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3.就辨識為高風險之客戶，是否至少每年檢視一次，就具特定高風險因子之客戶應增加進行客戶之審查頻率。</w:t>
            </w:r>
          </w:p>
        </w:tc>
        <w:tc>
          <w:tcPr>
            <w:tcW w:w="2023" w:type="dxa"/>
            <w:vMerge/>
            <w:tcBorders>
              <w:right w:val="single" w:sz="12" w:space="0" w:color="auto"/>
            </w:tcBorders>
          </w:tcPr>
          <w:p w14:paraId="3F34C89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4441C8" w14:textId="77777777">
        <w:tc>
          <w:tcPr>
            <w:tcW w:w="1384" w:type="dxa"/>
            <w:vMerge/>
            <w:tcBorders>
              <w:left w:val="single" w:sz="12" w:space="0" w:color="auto"/>
            </w:tcBorders>
          </w:tcPr>
          <w:p w14:paraId="21CBD4A7" w14:textId="77777777" w:rsidR="003B3105" w:rsidRDefault="003B3105" w:rsidP="001E533B">
            <w:pPr>
              <w:rPr>
                <w:rFonts w:ascii="新細明體" w:eastAsia="新細明體" w:hAnsi="新細明體"/>
              </w:rPr>
            </w:pPr>
          </w:p>
        </w:tc>
        <w:tc>
          <w:tcPr>
            <w:tcW w:w="1276" w:type="dxa"/>
            <w:vMerge/>
          </w:tcPr>
          <w:p w14:paraId="23A9C916" w14:textId="77777777" w:rsidR="003B3105" w:rsidRDefault="003B3105" w:rsidP="001E533B">
            <w:pPr>
              <w:rPr>
                <w:rFonts w:ascii="新細明體" w:eastAsia="新細明體" w:hAnsi="新細明體"/>
              </w:rPr>
            </w:pPr>
          </w:p>
        </w:tc>
        <w:tc>
          <w:tcPr>
            <w:tcW w:w="5386" w:type="dxa"/>
            <w:tcBorders>
              <w:top w:val="nil"/>
              <w:bottom w:val="nil"/>
            </w:tcBorders>
          </w:tcPr>
          <w:p w14:paraId="4394103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是否以風險基礎方法，建立帳戶及交易監控政策與程序(應至少包括完整之監控型態、參數設定、金額門檻、預警案件與監控案件之執行程序、監控案件之檢視程序及申報標準)，並利用資訊系統，輔助發現疑似洗錢或資恐交易。</w:t>
            </w:r>
          </w:p>
        </w:tc>
        <w:tc>
          <w:tcPr>
            <w:tcW w:w="5387" w:type="dxa"/>
            <w:tcBorders>
              <w:top w:val="nil"/>
              <w:bottom w:val="nil"/>
            </w:tcBorders>
          </w:tcPr>
          <w:p w14:paraId="223F8CF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是否以風險基礎方法，建立帳戶及交易監控政策與程序(應至少包括完整之監控型態、參數設定、金額門檻、預警案件與監控案件之執行程序、監控案件之檢視程序及申報標準)，並利用資訊系統，輔助發現疑似洗錢或資恐交易。</w:t>
            </w:r>
          </w:p>
        </w:tc>
        <w:tc>
          <w:tcPr>
            <w:tcW w:w="2023" w:type="dxa"/>
            <w:vMerge/>
            <w:tcBorders>
              <w:right w:val="single" w:sz="12" w:space="0" w:color="auto"/>
            </w:tcBorders>
          </w:tcPr>
          <w:p w14:paraId="7B0F97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666CD1" w14:textId="77777777">
        <w:tc>
          <w:tcPr>
            <w:tcW w:w="1384" w:type="dxa"/>
            <w:vMerge/>
            <w:tcBorders>
              <w:left w:val="single" w:sz="12" w:space="0" w:color="auto"/>
            </w:tcBorders>
          </w:tcPr>
          <w:p w14:paraId="759C51AC" w14:textId="77777777" w:rsidR="003B3105" w:rsidRDefault="003B3105" w:rsidP="001E533B">
            <w:pPr>
              <w:rPr>
                <w:rFonts w:ascii="新細明體" w:eastAsia="新細明體" w:hAnsi="新細明體"/>
              </w:rPr>
            </w:pPr>
          </w:p>
        </w:tc>
        <w:tc>
          <w:tcPr>
            <w:tcW w:w="1276" w:type="dxa"/>
            <w:vMerge/>
          </w:tcPr>
          <w:p w14:paraId="08F62049" w14:textId="77777777" w:rsidR="003B3105" w:rsidRDefault="003B3105" w:rsidP="001E533B">
            <w:pPr>
              <w:rPr>
                <w:rFonts w:ascii="新細明體" w:eastAsia="新細明體" w:hAnsi="新細明體"/>
              </w:rPr>
            </w:pPr>
          </w:p>
        </w:tc>
        <w:tc>
          <w:tcPr>
            <w:tcW w:w="5386" w:type="dxa"/>
            <w:tcBorders>
              <w:top w:val="nil"/>
              <w:bottom w:val="nil"/>
            </w:tcBorders>
          </w:tcPr>
          <w:p w14:paraId="65413A1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5.是否針對高風險客戶與具特定高風險因</w:t>
            </w:r>
            <w:r>
              <w:rPr>
                <w:rFonts w:ascii="新細明體" w:eastAsia="新細明體" w:hAnsi="新細明體" w:cs="新細明體" w:hint="eastAsia"/>
              </w:rPr>
              <w:lastRenderedPageBreak/>
              <w:t>子之客戶之業務往來關係採取強化之持續監督。</w:t>
            </w:r>
          </w:p>
        </w:tc>
        <w:tc>
          <w:tcPr>
            <w:tcW w:w="5387" w:type="dxa"/>
            <w:tcBorders>
              <w:top w:val="nil"/>
              <w:bottom w:val="nil"/>
            </w:tcBorders>
          </w:tcPr>
          <w:p w14:paraId="125EF0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5.是否針對高風險客戶與具特定高風險因</w:t>
            </w:r>
            <w:r>
              <w:rPr>
                <w:rFonts w:ascii="新細明體" w:eastAsia="新細明體" w:hAnsi="新細明體" w:cs="新細明體" w:hint="eastAsia"/>
              </w:rPr>
              <w:lastRenderedPageBreak/>
              <w:t>子之客戶之業務往來關係採取強化之持續監督。</w:t>
            </w:r>
          </w:p>
        </w:tc>
        <w:tc>
          <w:tcPr>
            <w:tcW w:w="2023" w:type="dxa"/>
            <w:vMerge/>
            <w:tcBorders>
              <w:right w:val="single" w:sz="12" w:space="0" w:color="auto"/>
            </w:tcBorders>
          </w:tcPr>
          <w:p w14:paraId="5F3899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3B8183" w14:textId="77777777">
        <w:tc>
          <w:tcPr>
            <w:tcW w:w="1384" w:type="dxa"/>
            <w:vMerge/>
            <w:tcBorders>
              <w:left w:val="single" w:sz="12" w:space="0" w:color="auto"/>
            </w:tcBorders>
          </w:tcPr>
          <w:p w14:paraId="09695E2D" w14:textId="77777777" w:rsidR="003B3105" w:rsidRDefault="003B3105" w:rsidP="001E533B">
            <w:pPr>
              <w:rPr>
                <w:rFonts w:ascii="新細明體" w:eastAsia="新細明體" w:hAnsi="新細明體"/>
              </w:rPr>
            </w:pPr>
          </w:p>
        </w:tc>
        <w:tc>
          <w:tcPr>
            <w:tcW w:w="1276" w:type="dxa"/>
            <w:vMerge/>
          </w:tcPr>
          <w:p w14:paraId="2A4EAC6E" w14:textId="77777777" w:rsidR="003B3105" w:rsidRDefault="003B3105" w:rsidP="001E533B">
            <w:pPr>
              <w:rPr>
                <w:rFonts w:ascii="新細明體" w:eastAsia="新細明體" w:hAnsi="新細明體"/>
              </w:rPr>
            </w:pPr>
          </w:p>
        </w:tc>
        <w:tc>
          <w:tcPr>
            <w:tcW w:w="5386" w:type="dxa"/>
            <w:tcBorders>
              <w:top w:val="nil"/>
              <w:bottom w:val="nil"/>
            </w:tcBorders>
          </w:tcPr>
          <w:p w14:paraId="2739C7C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(四)疑似洗錢或資恐交易之申報</w:t>
            </w:r>
          </w:p>
        </w:tc>
        <w:tc>
          <w:tcPr>
            <w:tcW w:w="5387" w:type="dxa"/>
            <w:tcBorders>
              <w:top w:val="nil"/>
              <w:bottom w:val="nil"/>
            </w:tcBorders>
          </w:tcPr>
          <w:p w14:paraId="6EB1487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(四)疑似洗錢或資恐交易之申報</w:t>
            </w:r>
          </w:p>
        </w:tc>
        <w:tc>
          <w:tcPr>
            <w:tcW w:w="2023" w:type="dxa"/>
            <w:vMerge/>
            <w:tcBorders>
              <w:right w:val="single" w:sz="12" w:space="0" w:color="auto"/>
            </w:tcBorders>
          </w:tcPr>
          <w:p w14:paraId="2236327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851618" w14:textId="77777777">
        <w:tc>
          <w:tcPr>
            <w:tcW w:w="1384" w:type="dxa"/>
            <w:vMerge/>
            <w:tcBorders>
              <w:left w:val="single" w:sz="12" w:space="0" w:color="auto"/>
            </w:tcBorders>
          </w:tcPr>
          <w:p w14:paraId="49E4367C" w14:textId="77777777" w:rsidR="003B3105" w:rsidRDefault="003B3105" w:rsidP="001E533B">
            <w:pPr>
              <w:rPr>
                <w:rFonts w:ascii="新細明體" w:eastAsia="新細明體" w:hAnsi="新細明體"/>
              </w:rPr>
            </w:pPr>
          </w:p>
        </w:tc>
        <w:tc>
          <w:tcPr>
            <w:tcW w:w="1276" w:type="dxa"/>
            <w:vMerge/>
          </w:tcPr>
          <w:p w14:paraId="530B2037" w14:textId="77777777" w:rsidR="003B3105" w:rsidRDefault="003B3105" w:rsidP="001E533B">
            <w:pPr>
              <w:rPr>
                <w:rFonts w:ascii="新細明體" w:eastAsia="新細明體" w:hAnsi="新細明體"/>
              </w:rPr>
            </w:pPr>
          </w:p>
        </w:tc>
        <w:tc>
          <w:tcPr>
            <w:tcW w:w="5386" w:type="dxa"/>
            <w:tcBorders>
              <w:top w:val="nil"/>
              <w:bottom w:val="nil"/>
            </w:tcBorders>
          </w:tcPr>
          <w:p w14:paraId="6CDFD0C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1.對於發現異常交易，各單位承辦人員是否即陳報督導主管。</w:t>
            </w:r>
          </w:p>
        </w:tc>
        <w:tc>
          <w:tcPr>
            <w:tcW w:w="5387" w:type="dxa"/>
            <w:tcBorders>
              <w:top w:val="nil"/>
              <w:bottom w:val="nil"/>
            </w:tcBorders>
          </w:tcPr>
          <w:p w14:paraId="6158F9E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1.對於發現異常交易，各單位承辦人員是否即陳報督導主管。</w:t>
            </w:r>
          </w:p>
        </w:tc>
        <w:tc>
          <w:tcPr>
            <w:tcW w:w="2023" w:type="dxa"/>
            <w:vMerge/>
            <w:tcBorders>
              <w:right w:val="single" w:sz="12" w:space="0" w:color="auto"/>
            </w:tcBorders>
          </w:tcPr>
          <w:p w14:paraId="2D77A8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FE6D74" w14:textId="77777777">
        <w:tc>
          <w:tcPr>
            <w:tcW w:w="1384" w:type="dxa"/>
            <w:vMerge/>
            <w:tcBorders>
              <w:left w:val="single" w:sz="12" w:space="0" w:color="auto"/>
            </w:tcBorders>
          </w:tcPr>
          <w:p w14:paraId="26AD6EE9" w14:textId="77777777" w:rsidR="003B3105" w:rsidRDefault="003B3105" w:rsidP="001E533B">
            <w:pPr>
              <w:rPr>
                <w:rFonts w:ascii="新細明體" w:eastAsia="新細明體" w:hAnsi="新細明體"/>
              </w:rPr>
            </w:pPr>
          </w:p>
        </w:tc>
        <w:tc>
          <w:tcPr>
            <w:tcW w:w="1276" w:type="dxa"/>
            <w:vMerge/>
          </w:tcPr>
          <w:p w14:paraId="6684B277" w14:textId="77777777" w:rsidR="003B3105" w:rsidRDefault="003B3105" w:rsidP="001E533B">
            <w:pPr>
              <w:rPr>
                <w:rFonts w:ascii="新細明體" w:eastAsia="新細明體" w:hAnsi="新細明體"/>
              </w:rPr>
            </w:pPr>
          </w:p>
        </w:tc>
        <w:tc>
          <w:tcPr>
            <w:tcW w:w="5386" w:type="dxa"/>
            <w:tcBorders>
              <w:top w:val="nil"/>
              <w:bottom w:val="nil"/>
            </w:tcBorders>
          </w:tcPr>
          <w:p w14:paraId="0BBF668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2.申報書是否經單位主管核定並轉送專責主管核定後，即向法務部調查局申報，核定後之申報期限是否未逾二個營業日。</w:t>
            </w:r>
          </w:p>
        </w:tc>
        <w:tc>
          <w:tcPr>
            <w:tcW w:w="5387" w:type="dxa"/>
            <w:tcBorders>
              <w:top w:val="nil"/>
              <w:bottom w:val="nil"/>
            </w:tcBorders>
          </w:tcPr>
          <w:p w14:paraId="48CE41E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2.申報書是否經單位主管核定並轉送專責主管核定後，即向法務部調查局申報，核定後之申報期限是否未逾二個營業日。</w:t>
            </w:r>
          </w:p>
        </w:tc>
        <w:tc>
          <w:tcPr>
            <w:tcW w:w="2023" w:type="dxa"/>
            <w:vMerge/>
            <w:tcBorders>
              <w:right w:val="single" w:sz="12" w:space="0" w:color="auto"/>
            </w:tcBorders>
          </w:tcPr>
          <w:p w14:paraId="2BC43A5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414809" w14:textId="77777777">
        <w:tc>
          <w:tcPr>
            <w:tcW w:w="1384" w:type="dxa"/>
            <w:vMerge/>
            <w:tcBorders>
              <w:left w:val="single" w:sz="12" w:space="0" w:color="auto"/>
            </w:tcBorders>
          </w:tcPr>
          <w:p w14:paraId="38B9B2D0" w14:textId="77777777" w:rsidR="003B3105" w:rsidRDefault="003B3105" w:rsidP="001E533B">
            <w:pPr>
              <w:rPr>
                <w:rFonts w:ascii="新細明體" w:eastAsia="新細明體" w:hAnsi="新細明體"/>
              </w:rPr>
            </w:pPr>
          </w:p>
        </w:tc>
        <w:tc>
          <w:tcPr>
            <w:tcW w:w="1276" w:type="dxa"/>
            <w:vMerge/>
          </w:tcPr>
          <w:p w14:paraId="470DADD4" w14:textId="77777777" w:rsidR="003B3105" w:rsidRDefault="003B3105" w:rsidP="001E533B">
            <w:pPr>
              <w:rPr>
                <w:rFonts w:ascii="新細明體" w:eastAsia="新細明體" w:hAnsi="新細明體"/>
              </w:rPr>
            </w:pPr>
          </w:p>
        </w:tc>
        <w:tc>
          <w:tcPr>
            <w:tcW w:w="5386" w:type="dxa"/>
            <w:tcBorders>
              <w:top w:val="nil"/>
              <w:bottom w:val="nil"/>
            </w:tcBorders>
          </w:tcPr>
          <w:p w14:paraId="72D276C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3.對屬明顯重大緊急之疑似洗錢或資恐交易之申報，是否立即以傳真或其它可行方式儘速向法務部調查局申報，並立即補辦書面資料。</w:t>
            </w:r>
          </w:p>
        </w:tc>
        <w:tc>
          <w:tcPr>
            <w:tcW w:w="5387" w:type="dxa"/>
            <w:tcBorders>
              <w:top w:val="nil"/>
              <w:bottom w:val="nil"/>
            </w:tcBorders>
          </w:tcPr>
          <w:p w14:paraId="0F24A00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3.對屬明顯重大緊急之疑似洗錢或資恐交易之申報，是否立即以傳真或其它可行方式儘速向法務部調查局申報，並立即補辦書面資料。</w:t>
            </w:r>
          </w:p>
        </w:tc>
        <w:tc>
          <w:tcPr>
            <w:tcW w:w="2023" w:type="dxa"/>
            <w:vMerge/>
            <w:tcBorders>
              <w:right w:val="single" w:sz="12" w:space="0" w:color="auto"/>
            </w:tcBorders>
          </w:tcPr>
          <w:p w14:paraId="0B1C8C5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B673B3" w14:textId="77777777">
        <w:tc>
          <w:tcPr>
            <w:tcW w:w="1384" w:type="dxa"/>
            <w:vMerge/>
            <w:tcBorders>
              <w:left w:val="single" w:sz="12" w:space="0" w:color="auto"/>
            </w:tcBorders>
          </w:tcPr>
          <w:p w14:paraId="20757E54" w14:textId="77777777" w:rsidR="003B3105" w:rsidRDefault="003B3105" w:rsidP="001E533B">
            <w:pPr>
              <w:rPr>
                <w:rFonts w:ascii="新細明體" w:eastAsia="新細明體" w:hAnsi="新細明體"/>
              </w:rPr>
            </w:pPr>
          </w:p>
        </w:tc>
        <w:tc>
          <w:tcPr>
            <w:tcW w:w="1276" w:type="dxa"/>
            <w:vMerge/>
          </w:tcPr>
          <w:p w14:paraId="567C160F" w14:textId="77777777" w:rsidR="003B3105" w:rsidRDefault="003B3105" w:rsidP="001E533B">
            <w:pPr>
              <w:rPr>
                <w:rFonts w:ascii="新細明體" w:eastAsia="新細明體" w:hAnsi="新細明體"/>
              </w:rPr>
            </w:pPr>
          </w:p>
        </w:tc>
        <w:tc>
          <w:tcPr>
            <w:tcW w:w="5386" w:type="dxa"/>
            <w:tcBorders>
              <w:top w:val="nil"/>
              <w:bottom w:val="nil"/>
            </w:tcBorders>
          </w:tcPr>
          <w:p w14:paraId="71672A7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(五)達一定金額以上之通貨交易</w:t>
            </w:r>
          </w:p>
        </w:tc>
        <w:tc>
          <w:tcPr>
            <w:tcW w:w="5387" w:type="dxa"/>
            <w:tcBorders>
              <w:top w:val="nil"/>
              <w:bottom w:val="nil"/>
            </w:tcBorders>
          </w:tcPr>
          <w:p w14:paraId="1DD5227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(五)達一定金額以上之通貨交易</w:t>
            </w:r>
          </w:p>
        </w:tc>
        <w:tc>
          <w:tcPr>
            <w:tcW w:w="2023" w:type="dxa"/>
            <w:vMerge/>
            <w:tcBorders>
              <w:right w:val="single" w:sz="12" w:space="0" w:color="auto"/>
            </w:tcBorders>
          </w:tcPr>
          <w:p w14:paraId="14975C2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99" w:left="257"/>
              <w:rPr>
                <w:rFonts w:ascii="新細明體" w:eastAsia="新細明體" w:hAnsi="新細明體" w:cs="新細明體"/>
              </w:rPr>
            </w:pPr>
            <w:r>
              <w:rPr>
                <w:rFonts w:ascii="新細明體" w:eastAsia="新細明體" w:hAnsi="新細明體" w:cs="新細明體" w:hint="eastAsia"/>
              </w:rPr>
              <w:t>於辦理相關業務如有發生一定金額以上之通貨交易(係指新臺幣五十萬元(含等值外幣)以上之單筆現金收或付(在會計處理上，凡以現金收支傳票記帳者皆屬之)或換鈔交易)時，是否確認客戶身分並留存相關紀錄憑證，是否於交易完成後五個營業日內向法務部調查局申報。</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Chars="99" w:left="257"/>
              <w:rPr>
                <w:rFonts w:ascii="新細明體" w:eastAsia="新細明體" w:hAnsi="新細明體" w:cs="新細明體"/>
              </w:rPr>
            </w:pPr>
            <w:r>
              <w:rPr>
                <w:rFonts w:ascii="新細明體" w:eastAsia="新細明體" w:hAnsi="新細明體" w:cs="新細明體" w:hint="eastAsia"/>
              </w:rPr>
              <w:t>於辦理相關業務如有發生一定金額以上之通貨交易(係指新臺幣五十萬元(含等值外幣)以上之單筆現金收或付(在會計處理上，凡以現金收支傳票記帳者皆屬之)或換鈔交易)時，是否確認客戶身分並留存相關紀錄憑證，是否於交易完成後五個營業日內向法務部調查局申報。</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86BF2" w14:textId="77777777" w:rsidR="007D759F" w:rsidRDefault="007D759F" w:rsidP="00E87601">
      <w:pPr>
        <w:spacing w:line="240" w:lineRule="auto"/>
      </w:pPr>
      <w:r>
        <w:separator/>
      </w:r>
    </w:p>
  </w:endnote>
  <w:endnote w:type="continuationSeparator" w:id="0">
    <w:p w14:paraId="502A7B72" w14:textId="77777777" w:rsidR="007D759F" w:rsidRDefault="007D759F"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2BE01" w14:textId="77777777" w:rsidR="007D759F" w:rsidRDefault="007D759F" w:rsidP="00E87601">
      <w:pPr>
        <w:spacing w:line="240" w:lineRule="auto"/>
      </w:pPr>
      <w:r>
        <w:separator/>
      </w:r>
    </w:p>
  </w:footnote>
  <w:footnote w:type="continuationSeparator" w:id="0">
    <w:p w14:paraId="4F7F7CBE" w14:textId="77777777" w:rsidR="007D759F" w:rsidRDefault="007D759F"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48C2"/>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647CB"/>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3596B"/>
    <w:rsid w:val="00651DC4"/>
    <w:rsid w:val="00667311"/>
    <w:rsid w:val="006703A0"/>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D759F"/>
    <w:rsid w:val="007E1E63"/>
    <w:rsid w:val="00801A0E"/>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381</Words>
  <Characters>2177</Characters>
  <Application>Microsoft Office Word</Application>
  <DocSecurity>0</DocSecurity>
  <Lines>18</Lines>
  <Paragraphs>5</Paragraphs>
  <ScaleCrop>false</ScaleCrop>
  <Company>Hewlett-Packard Company</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16</cp:revision>
  <cp:lastPrinted>2004-03-09T19:20:00Z</cp:lastPrinted>
  <dcterms:created xsi:type="dcterms:W3CDTF">2025-04-18T10:47:00Z</dcterms:created>
  <dcterms:modified xsi:type="dcterms:W3CDTF">2026-05-19T02:54:00Z</dcterms:modified>
</cp:coreProperties>
</file>