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4853"/>
        <w:gridCol w:w="4854"/>
      </w:tblGrid>
      <w:tr w:rsidR="00206453" w14:paraId="6D3CFD9E" w14:textId="77777777" w:rsidTr="00206453">
        <w:tc>
          <w:tcPr>
            <w:tcW w:w="4853" w:type="dxa"/>
          </w:tcPr>
          <w:p w14:paraId="37910859" w14:textId="77777777" w:rsidR="00206453" w:rsidRDefault="00206453" w:rsidP="00A3347B">
            <w:pPr>
              <w:spacing w:line="300" w:lineRule="auto"/>
              <w:jc w:val="center"/>
              <w:rPr>
                <w:rFonts w:ascii="新細明體" w:hAnsi="新細明體"/>
                <w:color w:val="000000" w:themeColor="text1"/>
                <w:spacing w:val="24"/>
              </w:rPr>
            </w:pPr>
          </w:p>
        </w:tc>
        <w:tc>
          <w:tcPr>
            <w:tcW w:w="4853" w:type="dxa"/>
          </w:tcPr>
          <w:p w14:paraId="51FA128D" w14:textId="77777777" w:rsidR="00206453" w:rsidRDefault="00206453" w:rsidP="00A3347B">
            <w:pPr>
              <w:spacing w:line="300" w:lineRule="auto"/>
              <w:jc w:val="center"/>
              <w:rPr>
                <w:rFonts w:ascii="新細明體" w:hAnsi="新細明體"/>
                <w:color w:val="000000" w:themeColor="text1"/>
                <w:spacing w:val="24"/>
              </w:rPr>
            </w:pPr>
            <w:r w:rsidRPr="00367148">
              <w:rPr>
                <w:rFonts w:hint="eastAsia"/>
                <w:color w:val="000000" w:themeColor="text1"/>
                <w:spacing w:val="24"/>
                <w:u w:val="single"/>
              </w:rPr>
              <w:t xml:space="preserve">　　　　　　</w:t>
            </w:r>
            <w:bookmarkStart w:id="0" w:name="Std_Type2"/>
            <w:r w:rsidRPr="00367148">
              <w:rPr>
                <w:rFonts w:hint="eastAsia"/>
                <w:color w:val="000000" w:themeColor="text1"/>
                <w:spacing w:val="24"/>
                <w:u w:val="single"/>
              </w:rPr>
              <w:t>證券</w:t>
            </w:r>
            <w:bookmarkEnd w:id="0"/>
            <w:r w:rsidRPr="00367148">
              <w:rPr>
                <w:rFonts w:hint="eastAsia"/>
                <w:color w:val="000000" w:themeColor="text1"/>
                <w:spacing w:val="24"/>
                <w:u w:val="single"/>
              </w:rPr>
              <w:t>股份有限公司</w:t>
            </w:r>
          </w:p>
        </w:tc>
        <w:tc>
          <w:tcPr>
            <w:tcW w:w="4854" w:type="dxa"/>
          </w:tcPr>
          <w:p w14:paraId="01A68B5C" w14:textId="77777777" w:rsidR="00206453" w:rsidRDefault="00206453" w:rsidP="00A3347B">
            <w:pPr>
              <w:spacing w:line="300" w:lineRule="auto"/>
              <w:jc w:val="center"/>
              <w:rPr>
                <w:rFonts w:ascii="新細明體" w:hAnsi="新細明體"/>
                <w:color w:val="000000" w:themeColor="text1"/>
                <w:spacing w:val="24"/>
              </w:rPr>
            </w:pPr>
          </w:p>
        </w:tc>
      </w:tr>
      <w:tr w:rsidR="00206453" w14:paraId="354CF629" w14:textId="77777777" w:rsidTr="00206453">
        <w:tc>
          <w:tcPr>
            <w:tcW w:w="4853" w:type="dxa"/>
          </w:tcPr>
          <w:p w14:paraId="57DA9541" w14:textId="77777777" w:rsidR="00206453" w:rsidRDefault="00206453" w:rsidP="00A3347B">
            <w:pPr>
              <w:spacing w:line="300" w:lineRule="auto"/>
              <w:jc w:val="center"/>
              <w:rPr>
                <w:rFonts w:ascii="新細明體" w:hAnsi="新細明體"/>
                <w:color w:val="000000" w:themeColor="text1"/>
                <w:spacing w:val="24"/>
              </w:rPr>
            </w:pPr>
          </w:p>
        </w:tc>
        <w:tc>
          <w:tcPr>
            <w:tcW w:w="4853" w:type="dxa"/>
          </w:tcPr>
          <w:p w14:paraId="779CB18E" w14:textId="77777777" w:rsidR="00206453" w:rsidRPr="00206453" w:rsidRDefault="00206453" w:rsidP="00206453">
            <w:pPr>
              <w:spacing w:line="400" w:lineRule="exact"/>
              <w:jc w:val="center"/>
              <w:rPr>
                <w:rFonts w:ascii="新細明體" w:hAnsi="新細明體"/>
                <w:color w:val="000000" w:themeColor="text1"/>
                <w:spacing w:val="24"/>
                <w:u w:val="single"/>
              </w:rPr>
            </w:pPr>
            <w:r>
              <w:rPr>
                <w:rFonts w:ascii="新細明體" w:hAnsi="新細明體" w:hint="eastAsia"/>
                <w:color w:val="000000" w:themeColor="text1"/>
              </w:rPr>
              <w:t xml:space="preserve">業務及收入循環：其他 </w:t>
            </w:r>
          </w:p>
        </w:tc>
        <w:tc>
          <w:tcPr>
            <w:tcW w:w="4854" w:type="dxa"/>
          </w:tcPr>
          <w:p w14:paraId="515497B6" w14:textId="77777777" w:rsidR="00206453" w:rsidRDefault="00206453" w:rsidP="00A3347B">
            <w:pPr>
              <w:spacing w:line="300" w:lineRule="auto"/>
              <w:jc w:val="center"/>
              <w:rPr>
                <w:rFonts w:ascii="新細明體" w:hAnsi="新細明體"/>
                <w:color w:val="000000" w:themeColor="text1"/>
                <w:spacing w:val="24"/>
              </w:rPr>
            </w:pPr>
          </w:p>
        </w:tc>
      </w:tr>
      <w:tr w:rsidR="00206453" w14:paraId="460FEC1A" w14:textId="77777777" w:rsidTr="00206453">
        <w:tc>
          <w:tcPr>
            <w:tcW w:w="4853" w:type="dxa"/>
          </w:tcPr>
          <w:p w14:paraId="648C62F3" w14:textId="77777777" w:rsidR="00206453" w:rsidRDefault="00206453" w:rsidP="00206453">
            <w:pPr>
              <w:spacing w:line="300" w:lineRule="auto"/>
              <w:rPr>
                <w:rFonts w:ascii="新細明體" w:hAnsi="新細明體"/>
                <w:color w:val="000000" w:themeColor="text1"/>
                <w:spacing w:val="24"/>
              </w:rPr>
            </w:pPr>
            <w:r>
              <w:rPr>
                <w:rFonts w:ascii="新細明體" w:hAnsi="新細明體" w:hint="eastAsia"/>
                <w:color w:val="000000" w:themeColor="text1"/>
                <w:spacing w:val="24"/>
              </w:rPr>
              <w:t>作業週期：（每月至少查核乙次）</w:t>
            </w:r>
          </w:p>
        </w:tc>
        <w:tc>
          <w:tcPr>
            <w:tcW w:w="4853" w:type="dxa"/>
          </w:tcPr>
          <w:p w14:paraId="78BCFF3B" w14:textId="77777777" w:rsidR="00206453" w:rsidRDefault="00206453" w:rsidP="00A3347B">
            <w:pPr>
              <w:spacing w:line="300" w:lineRule="auto"/>
              <w:jc w:val="center"/>
              <w:rPr>
                <w:rFonts w:ascii="新細明體" w:hAnsi="新細明體"/>
                <w:color w:val="000000" w:themeColor="text1"/>
                <w:spacing w:val="24"/>
              </w:rPr>
            </w:pPr>
            <w:r w:rsidRPr="00367148">
              <w:rPr>
                <w:rFonts w:hint="eastAsia"/>
                <w:color w:val="000000" w:themeColor="text1"/>
                <w:spacing w:val="60"/>
                <w:u w:val="single"/>
              </w:rPr>
              <w:t>防制洗錢作業</w:t>
            </w:r>
            <w:r w:rsidRPr="00367148">
              <w:rPr>
                <w:rFonts w:hint="eastAsia"/>
                <w:color w:val="000000" w:themeColor="text1"/>
                <w:spacing w:val="60"/>
                <w:u w:val="single"/>
              </w:rPr>
              <w:t>(</w:t>
            </w:r>
            <w:r w:rsidRPr="00367148">
              <w:rPr>
                <w:rFonts w:hint="eastAsia"/>
                <w:color w:val="000000" w:themeColor="text1"/>
                <w:spacing w:val="60"/>
                <w:u w:val="single"/>
              </w:rPr>
              <w:t>含國際證券業務</w:t>
            </w:r>
            <w:r w:rsidRPr="00367148">
              <w:rPr>
                <w:rFonts w:hint="eastAsia"/>
                <w:color w:val="000000" w:themeColor="text1"/>
                <w:spacing w:val="60"/>
                <w:u w:val="single"/>
              </w:rPr>
              <w:t>)</w:t>
            </w:r>
            <w:r w:rsidRPr="00367148">
              <w:rPr>
                <w:rFonts w:hint="eastAsia"/>
                <w:color w:val="000000" w:themeColor="text1"/>
                <w:spacing w:val="60"/>
                <w:u w:val="single"/>
              </w:rPr>
              <w:t>查核明細表</w:t>
            </w:r>
          </w:p>
        </w:tc>
        <w:tc>
          <w:tcPr>
            <w:tcW w:w="4854" w:type="dxa"/>
          </w:tcPr>
          <w:p w14:paraId="05987D6A" w14:textId="77777777" w:rsidR="00206453" w:rsidRDefault="00206453" w:rsidP="00A3347B">
            <w:pPr>
              <w:spacing w:line="300" w:lineRule="auto"/>
              <w:jc w:val="center"/>
              <w:rPr>
                <w:rFonts w:ascii="新細明體" w:hAnsi="新細明體"/>
                <w:color w:val="000000" w:themeColor="text1"/>
                <w:spacing w:val="24"/>
              </w:rPr>
            </w:pPr>
          </w:p>
        </w:tc>
      </w:tr>
    </w:tbl>
    <w:tbl>
      <w:tblPr>
        <w:tblW w:w="1505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85"/>
        <w:gridCol w:w="9383"/>
        <w:gridCol w:w="851"/>
        <w:gridCol w:w="850"/>
        <w:gridCol w:w="709"/>
        <w:gridCol w:w="1276"/>
      </w:tblGrid>
      <w:tr w:rsidR="00367148" w:rsidRPr="00367148" w14:paraId="265AD823" w14:textId="77777777" w:rsidTr="00B77A59">
        <w:trPr>
          <w:cantSplit/>
          <w:trHeight w:hRule="exact" w:val="522"/>
          <w:tblHeader/>
        </w:trPr>
        <w:tc>
          <w:tcPr>
            <w:tcW w:w="1985" w:type="dxa"/>
            <w:vMerge w:val="restart"/>
            <w:tcBorders>
              <w:top w:val="single" w:sz="12" w:space="0" w:color="auto"/>
              <w:left w:val="single" w:sz="12" w:space="0" w:color="auto"/>
            </w:tcBorders>
            <w:vAlign w:val="center"/>
          </w:tcPr>
          <w:p w14:paraId="6BE17BCE" w14:textId="77777777" w:rsidR="00A1667A" w:rsidRPr="00367148" w:rsidRDefault="00A1667A" w:rsidP="00647C22">
            <w:pPr>
              <w:spacing w:line="320" w:lineRule="atLeast"/>
              <w:jc w:val="center"/>
              <w:rPr>
                <w:rFonts w:ascii="新細明體" w:hAnsi="新細明體"/>
                <w:color w:val="000000" w:themeColor="text1"/>
              </w:rPr>
            </w:pPr>
            <w:r w:rsidRPr="00367148">
              <w:rPr>
                <w:rFonts w:ascii="新細明體" w:hAnsi="新細明體" w:hint="eastAsia"/>
                <w:color w:val="000000" w:themeColor="text1"/>
              </w:rPr>
              <w:t>項</w:t>
            </w:r>
            <w:r w:rsidRPr="00367148">
              <w:rPr>
                <w:rFonts w:ascii="新細明體" w:hAnsi="新細明體"/>
                <w:color w:val="000000" w:themeColor="text1"/>
              </w:rPr>
              <w:t xml:space="preserve">     </w:t>
            </w:r>
            <w:r w:rsidRPr="00367148">
              <w:rPr>
                <w:rFonts w:ascii="新細明體" w:hAnsi="新細明體" w:hint="eastAsia"/>
                <w:color w:val="000000" w:themeColor="text1"/>
              </w:rPr>
              <w:t>目</w:t>
            </w:r>
          </w:p>
        </w:tc>
        <w:tc>
          <w:tcPr>
            <w:tcW w:w="9383" w:type="dxa"/>
            <w:vMerge w:val="restart"/>
            <w:tcBorders>
              <w:top w:val="single" w:sz="12" w:space="0" w:color="auto"/>
            </w:tcBorders>
            <w:vAlign w:val="center"/>
          </w:tcPr>
          <w:p w14:paraId="44579049" w14:textId="77777777" w:rsidR="00A1667A" w:rsidRPr="00367148" w:rsidRDefault="00A1667A" w:rsidP="00647C22">
            <w:pPr>
              <w:spacing w:line="320" w:lineRule="atLeast"/>
              <w:jc w:val="center"/>
              <w:rPr>
                <w:rFonts w:ascii="新細明體" w:hAnsi="新細明體"/>
                <w:color w:val="000000" w:themeColor="text1"/>
              </w:rPr>
            </w:pPr>
            <w:r w:rsidRPr="00367148">
              <w:rPr>
                <w:rFonts w:ascii="新細明體" w:hAnsi="新細明體" w:hint="eastAsia"/>
                <w:color w:val="000000" w:themeColor="text1"/>
              </w:rPr>
              <w:t>查</w:t>
            </w:r>
            <w:r w:rsidRPr="00367148">
              <w:rPr>
                <w:rFonts w:ascii="新細明體" w:hAnsi="新細明體"/>
                <w:color w:val="000000" w:themeColor="text1"/>
              </w:rPr>
              <w:t xml:space="preserve">          </w:t>
            </w:r>
            <w:r w:rsidRPr="00367148">
              <w:rPr>
                <w:rFonts w:ascii="新細明體" w:hAnsi="新細明體" w:hint="eastAsia"/>
                <w:color w:val="000000" w:themeColor="text1"/>
              </w:rPr>
              <w:t>核</w:t>
            </w:r>
            <w:r w:rsidRPr="00367148">
              <w:rPr>
                <w:rFonts w:ascii="新細明體" w:hAnsi="新細明體"/>
                <w:color w:val="000000" w:themeColor="text1"/>
              </w:rPr>
              <w:t xml:space="preserve">          </w:t>
            </w:r>
            <w:r w:rsidRPr="00367148">
              <w:rPr>
                <w:rFonts w:ascii="新細明體" w:hAnsi="新細明體" w:hint="eastAsia"/>
                <w:color w:val="000000" w:themeColor="text1"/>
              </w:rPr>
              <w:t>程</w:t>
            </w:r>
            <w:r w:rsidRPr="00367148">
              <w:rPr>
                <w:rFonts w:ascii="新細明體" w:hAnsi="新細明體"/>
                <w:color w:val="000000" w:themeColor="text1"/>
              </w:rPr>
              <w:t xml:space="preserve">          </w:t>
            </w:r>
            <w:r w:rsidRPr="00367148">
              <w:rPr>
                <w:rFonts w:ascii="新細明體" w:hAnsi="新細明體" w:hint="eastAsia"/>
                <w:color w:val="000000" w:themeColor="text1"/>
              </w:rPr>
              <w:t>序</w:t>
            </w:r>
          </w:p>
        </w:tc>
        <w:tc>
          <w:tcPr>
            <w:tcW w:w="2410" w:type="dxa"/>
            <w:gridSpan w:val="3"/>
            <w:tcBorders>
              <w:top w:val="single" w:sz="12" w:space="0" w:color="auto"/>
            </w:tcBorders>
            <w:vAlign w:val="center"/>
          </w:tcPr>
          <w:p w14:paraId="6E47237F" w14:textId="77777777" w:rsidR="00A1667A" w:rsidRPr="00367148" w:rsidRDefault="00A1667A" w:rsidP="008600C2">
            <w:pPr>
              <w:spacing w:line="280" w:lineRule="exact"/>
              <w:jc w:val="center"/>
              <w:rPr>
                <w:rFonts w:ascii="新細明體" w:hAnsi="新細明體"/>
                <w:color w:val="000000" w:themeColor="text1"/>
                <w:spacing w:val="60"/>
                <w:sz w:val="18"/>
                <w:szCs w:val="18"/>
              </w:rPr>
            </w:pPr>
            <w:r w:rsidRPr="00367148">
              <w:rPr>
                <w:rFonts w:ascii="新細明體" w:hAnsi="新細明體" w:hint="eastAsia"/>
                <w:color w:val="000000" w:themeColor="text1"/>
                <w:spacing w:val="60"/>
                <w:sz w:val="18"/>
                <w:szCs w:val="18"/>
              </w:rPr>
              <w:t>查核結果</w:t>
            </w:r>
          </w:p>
        </w:tc>
        <w:tc>
          <w:tcPr>
            <w:tcW w:w="1276" w:type="dxa"/>
            <w:vMerge w:val="restart"/>
            <w:tcBorders>
              <w:top w:val="single" w:sz="12" w:space="0" w:color="auto"/>
              <w:right w:val="single" w:sz="12" w:space="0" w:color="auto"/>
            </w:tcBorders>
            <w:vAlign w:val="center"/>
          </w:tcPr>
          <w:p w14:paraId="3A29BD51" w14:textId="77777777" w:rsidR="007A0E65" w:rsidRPr="00367148" w:rsidRDefault="00A1667A" w:rsidP="005E3DFF">
            <w:pPr>
              <w:spacing w:line="320" w:lineRule="atLeast"/>
              <w:jc w:val="center"/>
              <w:rPr>
                <w:rFonts w:ascii="新細明體" w:hAnsi="新細明體"/>
                <w:color w:val="000000" w:themeColor="text1"/>
                <w:spacing w:val="60"/>
              </w:rPr>
            </w:pPr>
            <w:r w:rsidRPr="00367148">
              <w:rPr>
                <w:rFonts w:ascii="新細明體" w:hAnsi="新細明體" w:hint="eastAsia"/>
                <w:color w:val="000000" w:themeColor="text1"/>
                <w:spacing w:val="60"/>
              </w:rPr>
              <w:t>底稿</w:t>
            </w:r>
          </w:p>
          <w:p w14:paraId="6E50A1C4" w14:textId="77777777" w:rsidR="00A1667A" w:rsidRPr="00367148" w:rsidRDefault="00A1667A" w:rsidP="005E3DFF">
            <w:pPr>
              <w:spacing w:line="320" w:lineRule="atLeast"/>
              <w:jc w:val="center"/>
              <w:rPr>
                <w:rFonts w:ascii="新細明體" w:hAnsi="新細明體"/>
                <w:color w:val="000000" w:themeColor="text1"/>
              </w:rPr>
            </w:pPr>
            <w:r w:rsidRPr="00367148">
              <w:rPr>
                <w:rFonts w:ascii="新細明體" w:hAnsi="新細明體" w:hint="eastAsia"/>
                <w:color w:val="000000" w:themeColor="text1"/>
                <w:spacing w:val="60"/>
              </w:rPr>
              <w:t>索引</w:t>
            </w:r>
          </w:p>
        </w:tc>
      </w:tr>
      <w:tr w:rsidR="00367148" w:rsidRPr="00367148" w14:paraId="2860A9D5" w14:textId="77777777" w:rsidTr="00B77A59">
        <w:trPr>
          <w:cantSplit/>
          <w:trHeight w:hRule="exact" w:val="402"/>
          <w:tblHeader/>
        </w:trPr>
        <w:tc>
          <w:tcPr>
            <w:tcW w:w="1985" w:type="dxa"/>
            <w:vMerge/>
            <w:tcBorders>
              <w:left w:val="single" w:sz="12" w:space="0" w:color="auto"/>
            </w:tcBorders>
          </w:tcPr>
          <w:p w14:paraId="06227AFA" w14:textId="77777777" w:rsidR="00A1667A" w:rsidRPr="00367148" w:rsidRDefault="00A1667A" w:rsidP="00647C22">
            <w:pPr>
              <w:rPr>
                <w:rFonts w:ascii="新細明體" w:hAnsi="新細明體"/>
                <w:color w:val="000000" w:themeColor="text1"/>
              </w:rPr>
            </w:pPr>
          </w:p>
        </w:tc>
        <w:tc>
          <w:tcPr>
            <w:tcW w:w="9383" w:type="dxa"/>
            <w:vMerge/>
          </w:tcPr>
          <w:p w14:paraId="73D48E80" w14:textId="77777777" w:rsidR="00A1667A" w:rsidRPr="00367148" w:rsidRDefault="00A1667A" w:rsidP="00647C22">
            <w:pPr>
              <w:rPr>
                <w:rFonts w:ascii="新細明體" w:hAnsi="新細明體"/>
                <w:color w:val="000000" w:themeColor="text1"/>
              </w:rPr>
            </w:pPr>
          </w:p>
        </w:tc>
        <w:tc>
          <w:tcPr>
            <w:tcW w:w="851" w:type="dxa"/>
          </w:tcPr>
          <w:p w14:paraId="3C6BC1DB"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是</w:t>
            </w:r>
          </w:p>
        </w:tc>
        <w:tc>
          <w:tcPr>
            <w:tcW w:w="850" w:type="dxa"/>
          </w:tcPr>
          <w:p w14:paraId="0CF8C40E"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否</w:t>
            </w:r>
          </w:p>
        </w:tc>
        <w:tc>
          <w:tcPr>
            <w:tcW w:w="709" w:type="dxa"/>
          </w:tcPr>
          <w:p w14:paraId="3E860A3A"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不適用</w:t>
            </w:r>
          </w:p>
        </w:tc>
        <w:tc>
          <w:tcPr>
            <w:tcW w:w="1276" w:type="dxa"/>
            <w:vMerge/>
            <w:tcBorders>
              <w:right w:val="single" w:sz="12" w:space="0" w:color="auto"/>
            </w:tcBorders>
          </w:tcPr>
          <w:p w14:paraId="3743354D" w14:textId="77777777" w:rsidR="00A1667A" w:rsidRPr="00367148" w:rsidRDefault="00A1667A" w:rsidP="00647C22">
            <w:pPr>
              <w:rPr>
                <w:rFonts w:ascii="新細明體" w:hAnsi="新細明體"/>
                <w:color w:val="000000" w:themeColor="text1"/>
              </w:rPr>
            </w:pPr>
          </w:p>
        </w:tc>
      </w:tr>
      <w:tr w:rsidR="00367148" w:rsidRPr="00367148" w14:paraId="15013234" w14:textId="77777777" w:rsidTr="00260A68">
        <w:trPr>
          <w:trHeight w:val="489"/>
        </w:trPr>
        <w:tc>
          <w:tcPr>
            <w:tcW w:w="1985" w:type="dxa"/>
            <w:tcBorders>
              <w:left w:val="single" w:sz="12" w:space="0" w:color="auto"/>
            </w:tcBorders>
          </w:tcPr>
          <w:p w14:paraId="1F602892" w14:textId="77777777" w:rsidR="00A1667A" w:rsidRPr="00367148" w:rsidRDefault="00B77A59" w:rsidP="00A76D09">
            <w:pPr>
              <w:spacing w:line="420" w:lineRule="exact"/>
              <w:jc w:val="both"/>
              <w:rPr>
                <w:rFonts w:ascii="新細明體" w:hAnsi="新細明體"/>
                <w:color w:val="000000" w:themeColor="text1"/>
              </w:rPr>
            </w:pPr>
            <w:r>
              <w:rPr>
                <w:rFonts w:ascii="新細明體" w:hAnsi="新細明體" w:hint="eastAsia"/>
                <w:color w:val="000000" w:themeColor="text1"/>
                <w:spacing w:val="12"/>
              </w:rPr>
              <w:t>(FA-18100-M)</w:t>
            </w:r>
          </w:p>
          <w:p w14:paraId="47013ADC" w14:textId="77777777" w:rsidR="00A1667A" w:rsidRPr="00367148" w:rsidRDefault="00B77A59" w:rsidP="00A76D09">
            <w:pPr>
              <w:spacing w:line="420" w:lineRule="exact"/>
              <w:jc w:val="both"/>
              <w:rPr>
                <w:rFonts w:ascii="新細明體" w:hAnsi="新細明體"/>
                <w:color w:val="000000" w:themeColor="text1"/>
              </w:rPr>
            </w:pPr>
            <w:r>
              <w:rPr>
                <w:rFonts w:ascii="新細明體" w:hAnsi="新細明體" w:hint="eastAsia"/>
                <w:color w:val="000000" w:themeColor="text1"/>
                <w:spacing w:val="12"/>
              </w:rPr>
              <w:t>防制洗錢作業(含國際證券業務)</w:t>
            </w:r>
          </w:p>
        </w:tc>
        <w:tc>
          <w:tcPr>
            <w:tcW w:w="9383" w:type="dxa"/>
          </w:tcPr>
          <w:p w14:paraId="153BF140" w14:textId="77777777" w:rsidR="00EB639D" w:rsidRDefault="00000000">
            <w:pPr>
              <w:ind w:left="449" w:hangingChars="187" w:hanging="449"/>
            </w:pPr>
            <w:r>
              <w:t>一、風險辨識與控管措施</w:t>
            </w:r>
          </w:p>
          <w:p w14:paraId="37A2EA3C" w14:textId="77777777" w:rsidR="00EB639D" w:rsidRDefault="00000000">
            <w:pPr>
              <w:ind w:leftChars="99" w:left="639" w:hangingChars="167" w:hanging="401"/>
            </w:pPr>
            <w:r>
              <w:t>(</w:t>
            </w:r>
            <w:r>
              <w:t>一</w:t>
            </w:r>
            <w:r>
              <w:t>)</w:t>
            </w:r>
            <w:r>
              <w:t>公司是否依業務性質及規模、產品與服務複雜程度、</w:t>
            </w:r>
            <w:r w:rsidRPr="00A2318F">
              <w:t>分支機構</w:t>
            </w:r>
            <w:r>
              <w:rPr>
                <w:color w:val="FF0000"/>
                <w:u w:val="single"/>
              </w:rPr>
              <w:t>及簡易</w:t>
            </w:r>
            <w:r w:rsidRPr="00A2318F">
              <w:rPr>
                <w:color w:val="FF0000"/>
                <w:u w:val="single"/>
              </w:rPr>
              <w:t>分支機構</w:t>
            </w:r>
            <w:r>
              <w:t>提供之服務範圍、客戶組成等相關因素，以識別、評估其洗錢及資恐風險，並至少訂定地域、客戶、產品及服務、交易或支付管道等具體風險評估項目。</w:t>
            </w:r>
          </w:p>
          <w:p w14:paraId="0000CC4E" w14:textId="77777777" w:rsidR="00EB639D" w:rsidRDefault="00000000">
            <w:pPr>
              <w:ind w:leftChars="99" w:left="639" w:hangingChars="167" w:hanging="401"/>
            </w:pPr>
            <w:r>
              <w:t>(</w:t>
            </w:r>
            <w:r>
              <w:t>二</w:t>
            </w:r>
            <w:r>
              <w:t>)</w:t>
            </w:r>
            <w:r>
              <w:t>確認客戶身分</w:t>
            </w:r>
          </w:p>
          <w:p w14:paraId="39AA6AE8" w14:textId="77777777" w:rsidR="00EB639D" w:rsidRDefault="00000000">
            <w:pPr>
              <w:ind w:leftChars="280" w:left="948" w:hangingChars="115" w:hanging="276"/>
            </w:pPr>
            <w:r>
              <w:t>1.</w:t>
            </w:r>
            <w:r>
              <w:t>於客戶疑似使用人頭、虛設行號、查證代理人之事實及身分資料有困難等異常情形，客戶無法提出合理說明等情形者，是否婉拒建立業務關係或交易。</w:t>
            </w:r>
          </w:p>
          <w:p w14:paraId="59D42451" w14:textId="77777777" w:rsidR="00EB639D" w:rsidRDefault="00000000">
            <w:pPr>
              <w:ind w:leftChars="280" w:left="948" w:hangingChars="115" w:hanging="276"/>
            </w:pPr>
            <w:r>
              <w:t>2.</w:t>
            </w:r>
            <w:r>
              <w:t>是否於適當時機、採取適當措施確認客戶身分，且運用適當之風險管理機制確認客戶及其實質受益人、高階管理人員身分。</w:t>
            </w:r>
          </w:p>
          <w:p w14:paraId="3A821D7B" w14:textId="77777777" w:rsidR="00EB639D" w:rsidRDefault="00000000">
            <w:pPr>
              <w:ind w:leftChars="280" w:left="948" w:hangingChars="115" w:hanging="276"/>
            </w:pPr>
            <w:r>
              <w:t>3.</w:t>
            </w:r>
            <w:r>
              <w:t>於完成確認客戶身分前，是否未與客戶建立業務關係或進行臨時性交易。但符合相關情形者，不在此限。</w:t>
            </w:r>
          </w:p>
          <w:p w14:paraId="2CB1BA4C" w14:textId="77777777" w:rsidR="00EB639D" w:rsidRDefault="00000000">
            <w:pPr>
              <w:ind w:leftChars="280" w:left="948" w:hangingChars="115" w:hanging="276"/>
            </w:pPr>
            <w:r>
              <w:t>4.</w:t>
            </w:r>
            <w:r>
              <w:t>是否針對辨識為高風險或具特定高風險因子之客戶加強客戶審查措施，且在建立或新增業務往來關係前，依公司內部風險考量，所訂核准層級之高階管理人員同意。</w:t>
            </w:r>
          </w:p>
          <w:p w14:paraId="3944BB71" w14:textId="77777777" w:rsidR="00EB639D" w:rsidRDefault="00000000">
            <w:pPr>
              <w:ind w:leftChars="280" w:left="948" w:hangingChars="115" w:hanging="276"/>
            </w:pPr>
            <w:r>
              <w:t>5.</w:t>
            </w:r>
            <w:r>
              <w:t>是否將內政部警政署「洗錢防制帳戶裁處告誡系統」之告誡戶視為高風險客戶，進行加強確認客戶身分。</w:t>
            </w:r>
          </w:p>
          <w:p w14:paraId="1CD7C2FB" w14:textId="77777777" w:rsidR="00EB639D" w:rsidRDefault="00000000">
            <w:pPr>
              <w:ind w:left="449" w:hangingChars="187" w:hanging="449"/>
            </w:pPr>
            <w:r>
              <w:t>二、疑似洗錢或資恐交易態樣之辨別</w:t>
            </w:r>
          </w:p>
          <w:p w14:paraId="1C5FE45D" w14:textId="77777777" w:rsidR="00EB639D" w:rsidRDefault="00000000">
            <w:pPr>
              <w:ind w:leftChars="99" w:left="238"/>
            </w:pPr>
            <w:r>
              <w:t>是否依公司本身資產規模、地域分布、業務特點、客群性質及交易特徵，並參照內部之洗錢及資恐風險評估或日常資訊等，就券商公會訂定之疑似洗錢或資恐交易態樣中選擇或自行發展契合本身之態樣。</w:t>
            </w:r>
          </w:p>
          <w:p w14:paraId="25C87AB6" w14:textId="77777777" w:rsidR="00EB639D" w:rsidRDefault="00000000">
            <w:pPr>
              <w:ind w:left="449" w:hangingChars="187" w:hanging="449"/>
            </w:pPr>
            <w:r>
              <w:t>三、持續審查與監控</w:t>
            </w:r>
          </w:p>
          <w:p w14:paraId="17185111" w14:textId="77777777" w:rsidR="00EB639D" w:rsidRDefault="00000000">
            <w:pPr>
              <w:ind w:leftChars="99" w:left="639" w:hangingChars="167" w:hanging="401"/>
            </w:pPr>
            <w:r>
              <w:lastRenderedPageBreak/>
              <w:t>(</w:t>
            </w:r>
            <w:r>
              <w:t>一</w:t>
            </w:r>
            <w:r>
              <w:t>)</w:t>
            </w:r>
            <w:r>
              <w:t>對於已確定風險等級之既有客戶，是否依客戶重要性及風險程度，對現有客戶身分資料進行審查，並在適當時間對已存在之往來關係進行審查及適時調整風險等級。</w:t>
            </w:r>
          </w:p>
          <w:p w14:paraId="1AEAAE74" w14:textId="77777777" w:rsidR="00EB639D" w:rsidRDefault="00000000">
            <w:pPr>
              <w:ind w:leftChars="99" w:left="639" w:hangingChars="167" w:hanging="401"/>
            </w:pPr>
            <w:r>
              <w:t>(</w:t>
            </w:r>
            <w:r>
              <w:t>二</w:t>
            </w:r>
            <w:r>
              <w:t>)</w:t>
            </w:r>
            <w:r>
              <w:t>是否定期檢視其辨識客戶及實質受益人身分所取得之資訊是否足夠，並確保該等資訊之更新。</w:t>
            </w:r>
          </w:p>
          <w:p w14:paraId="3833513D" w14:textId="77777777" w:rsidR="00EB639D" w:rsidRDefault="00000000">
            <w:pPr>
              <w:ind w:leftChars="99" w:left="639" w:hangingChars="167" w:hanging="401"/>
            </w:pPr>
            <w:r>
              <w:t>(</w:t>
            </w:r>
            <w:r>
              <w:t>三</w:t>
            </w:r>
            <w:r>
              <w:t>)</w:t>
            </w:r>
            <w:r>
              <w:t>就辨識為高風險之客戶，是否至少每年檢視一次，就具特定高風險因子之客戶應增加進行客戶之審查頻率。</w:t>
            </w:r>
          </w:p>
          <w:p w14:paraId="23C0545F" w14:textId="77777777" w:rsidR="00EB639D" w:rsidRDefault="00000000">
            <w:pPr>
              <w:ind w:leftChars="99" w:left="639" w:hangingChars="167" w:hanging="401"/>
            </w:pPr>
            <w:r>
              <w:t>(</w:t>
            </w:r>
            <w:r>
              <w:t>四</w:t>
            </w:r>
            <w:r>
              <w:t>)</w:t>
            </w:r>
            <w:r>
              <w:t>是否以風險基礎方法，建立帳戶及交易監控政策與程序</w:t>
            </w:r>
            <w:r>
              <w:t>(</w:t>
            </w:r>
            <w:r>
              <w:t>應至少包括完整之監控型態、參數設定、金額門檻、預警案件與監控案件之執行程序、監控案件之檢視程序及申報標準</w:t>
            </w:r>
            <w:r>
              <w:t>)</w:t>
            </w:r>
            <w:r>
              <w:t>，並利用資訊系統，輔助發現疑似洗錢或資恐交易。</w:t>
            </w:r>
          </w:p>
          <w:p w14:paraId="247197BB" w14:textId="77777777" w:rsidR="00EB639D" w:rsidRDefault="00000000">
            <w:pPr>
              <w:ind w:leftChars="99" w:left="639" w:hangingChars="167" w:hanging="401"/>
            </w:pPr>
            <w:r>
              <w:t>(</w:t>
            </w:r>
            <w:r>
              <w:t>五</w:t>
            </w:r>
            <w:r>
              <w:t>)</w:t>
            </w:r>
            <w:r>
              <w:t>是否針對高風險客戶與具特定高風險因子之客戶之業務往來關係採取強化之持續監督。</w:t>
            </w:r>
          </w:p>
          <w:p w14:paraId="34D6A4E5" w14:textId="77777777" w:rsidR="00EB639D" w:rsidRDefault="00000000">
            <w:pPr>
              <w:ind w:left="449" w:hangingChars="187" w:hanging="449"/>
            </w:pPr>
            <w:r>
              <w:t>四、疑似洗錢或資恐交易之申報</w:t>
            </w:r>
          </w:p>
          <w:p w14:paraId="2980B55E" w14:textId="77777777" w:rsidR="00EB639D" w:rsidRDefault="00000000">
            <w:pPr>
              <w:ind w:leftChars="99" w:left="639" w:hangingChars="167" w:hanging="401"/>
            </w:pPr>
            <w:r>
              <w:t>(</w:t>
            </w:r>
            <w:r>
              <w:t>一</w:t>
            </w:r>
            <w:r>
              <w:t>)</w:t>
            </w:r>
            <w:r>
              <w:t>對於發現異常交易，各單位承辦人員是否即陳報督導主管。</w:t>
            </w:r>
          </w:p>
          <w:p w14:paraId="49BA9843" w14:textId="77777777" w:rsidR="00EB639D" w:rsidRDefault="00000000">
            <w:pPr>
              <w:ind w:leftChars="99" w:left="639" w:hangingChars="167" w:hanging="401"/>
            </w:pPr>
            <w:r>
              <w:t>(</w:t>
            </w:r>
            <w:r>
              <w:t>二</w:t>
            </w:r>
            <w:r>
              <w:t>)</w:t>
            </w:r>
            <w:r>
              <w:t>申報書是否經單位主管核定並轉送專責主管核定後，即向法務部調查局申報，核定後之申報期限是否未逾二個營業日。</w:t>
            </w:r>
          </w:p>
          <w:p w14:paraId="16701643" w14:textId="77777777" w:rsidR="00EB639D" w:rsidRDefault="00000000">
            <w:pPr>
              <w:ind w:leftChars="99" w:left="639" w:hangingChars="167" w:hanging="401"/>
            </w:pPr>
            <w:r>
              <w:t>(</w:t>
            </w:r>
            <w:r>
              <w:t>三</w:t>
            </w:r>
            <w:r>
              <w:t>)</w:t>
            </w:r>
            <w:r>
              <w:t>對屬明顯重大緊急之疑似洗錢或資恐交易之申報，是否立即以傳真或其它可行方式儘速向法務部調查局申報，並立即補辦書面資料。</w:t>
            </w:r>
          </w:p>
          <w:p w14:paraId="6512CC99" w14:textId="77777777" w:rsidR="00EB639D" w:rsidRDefault="00000000">
            <w:pPr>
              <w:ind w:left="449" w:hangingChars="187" w:hanging="449"/>
            </w:pPr>
            <w:r>
              <w:t>五、達一定金額以上之通貨交易</w:t>
            </w:r>
          </w:p>
          <w:p w14:paraId="1D3FF5A2" w14:textId="77777777" w:rsidR="00EB639D" w:rsidRDefault="00000000">
            <w:pPr>
              <w:ind w:leftChars="99" w:left="238"/>
            </w:pPr>
            <w:r>
              <w:t>於辦理相關業務如有發生一定金額以上之通貨交易</w:t>
            </w:r>
            <w:r>
              <w:t>(</w:t>
            </w:r>
            <w:r>
              <w:t>係指新臺幣五十萬元</w:t>
            </w:r>
            <w:r>
              <w:t>(</w:t>
            </w:r>
            <w:r>
              <w:t>含等值外幣</w:t>
            </w:r>
            <w:r>
              <w:t>)</w:t>
            </w:r>
            <w:r>
              <w:t>以上之單筆現金收或付</w:t>
            </w:r>
            <w:r>
              <w:t>(</w:t>
            </w:r>
            <w:r>
              <w:t>在會計處理上，凡以現金收支傳票記帳者皆屬之</w:t>
            </w:r>
            <w:r>
              <w:t>)</w:t>
            </w:r>
            <w:r>
              <w:t>或換鈔交易</w:t>
            </w:r>
            <w:r>
              <w:t>)</w:t>
            </w:r>
            <w:r>
              <w:t>時，是否確認客戶身分並留存相關紀錄憑證，是否於交易完成後五個營業日內向法務部調查局申報。</w:t>
            </w:r>
          </w:p>
        </w:tc>
        <w:tc>
          <w:tcPr>
            <w:tcW w:w="851" w:type="dxa"/>
          </w:tcPr>
          <w:p w14:paraId="39BEF87B"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850" w:type="dxa"/>
          </w:tcPr>
          <w:p w14:paraId="6E4F5C19"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709" w:type="dxa"/>
          </w:tcPr>
          <w:p w14:paraId="758D2DFB"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1276" w:type="dxa"/>
            <w:tcBorders>
              <w:right w:val="single" w:sz="12" w:space="0" w:color="auto"/>
            </w:tcBorders>
          </w:tcPr>
          <w:p w14:paraId="4429DC9C" w14:textId="77777777" w:rsidR="00A1667A" w:rsidRPr="00367148" w:rsidRDefault="00A1667A" w:rsidP="00647C22">
            <w:pPr>
              <w:spacing w:line="260" w:lineRule="exact"/>
              <w:rPr>
                <w:rFonts w:ascii="新細明體" w:hAnsi="新細明體"/>
                <w:color w:val="000000" w:themeColor="text1"/>
              </w:rPr>
            </w:pPr>
          </w:p>
        </w:tc>
      </w:tr>
      <w:tr w:rsidR="00367148" w:rsidRPr="00367148" w14:paraId="2AD007AD" w14:textId="77777777" w:rsidTr="00455A5F">
        <w:trPr>
          <w:cantSplit/>
        </w:trPr>
        <w:tc>
          <w:tcPr>
            <w:tcW w:w="15054" w:type="dxa"/>
            <w:gridSpan w:val="6"/>
            <w:tcBorders>
              <w:left w:val="single" w:sz="12" w:space="0" w:color="auto"/>
              <w:bottom w:val="single" w:sz="12" w:space="0" w:color="auto"/>
              <w:right w:val="single" w:sz="12" w:space="0" w:color="auto"/>
            </w:tcBorders>
          </w:tcPr>
          <w:p w14:paraId="69EFAD16" w14:textId="77777777" w:rsidR="00A1667A" w:rsidRPr="00367148" w:rsidRDefault="00A1667A" w:rsidP="00647C22">
            <w:pPr>
              <w:ind w:firstLine="180"/>
              <w:rPr>
                <w:rFonts w:ascii="新細明體" w:hAnsi="新細明體"/>
                <w:color w:val="000000" w:themeColor="text1"/>
              </w:rPr>
            </w:pPr>
            <w:r w:rsidRPr="00367148">
              <w:rPr>
                <w:rFonts w:ascii="新細明體" w:hAnsi="新細明體" w:hint="eastAsia"/>
                <w:color w:val="000000" w:themeColor="text1"/>
                <w:spacing w:val="24"/>
              </w:rPr>
              <w:t>備</w:t>
            </w:r>
            <w:r w:rsidR="00055C99">
              <w:rPr>
                <w:rFonts w:ascii="新細明體" w:hAnsi="新細明體" w:hint="eastAsia"/>
                <w:color w:val="000000" w:themeColor="text1"/>
                <w:spacing w:val="24"/>
              </w:rPr>
              <w:t xml:space="preserve">  </w:t>
            </w:r>
            <w:proofErr w:type="gramStart"/>
            <w:r w:rsidRPr="00367148">
              <w:rPr>
                <w:rFonts w:ascii="新細明體" w:hAnsi="新細明體" w:hint="eastAsia"/>
                <w:color w:val="000000" w:themeColor="text1"/>
                <w:spacing w:val="24"/>
              </w:rPr>
              <w:t>註</w:t>
            </w:r>
            <w:proofErr w:type="gramEnd"/>
            <w:r w:rsidRPr="00367148">
              <w:rPr>
                <w:rFonts w:ascii="新細明體" w:hAnsi="新細明體" w:hint="eastAsia"/>
                <w:color w:val="000000" w:themeColor="text1"/>
                <w:spacing w:val="24"/>
              </w:rPr>
              <w:t>：</w:t>
            </w:r>
          </w:p>
        </w:tc>
      </w:tr>
    </w:tbl>
    <w:p w14:paraId="09C333CB" w14:textId="77777777" w:rsidR="00A24670" w:rsidRPr="00EF3852" w:rsidRDefault="00A3347B" w:rsidP="00EF3852">
      <w:pPr>
        <w:spacing w:beforeLines="50" w:before="180"/>
        <w:rPr>
          <w:rFonts w:ascii="新細明體" w:hAnsi="新細明體"/>
          <w:color w:val="000000" w:themeColor="text1"/>
          <w:spacing w:val="24"/>
          <w:u w:val="single"/>
        </w:rPr>
      </w:pPr>
      <w:r w:rsidRPr="00367148">
        <w:rPr>
          <w:rFonts w:ascii="新細明體" w:hAnsi="新細明體" w:hint="eastAsia"/>
          <w:color w:val="000000" w:themeColor="text1"/>
          <w:spacing w:val="24"/>
        </w:rPr>
        <w:t xml:space="preserve">                                                        稽核人員</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u w:val="single"/>
        </w:rPr>
        <w:t xml:space="preserve">　　　　</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rPr>
        <w:t>日</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rPr>
        <w:t>期</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u w:val="single"/>
        </w:rPr>
        <w:t xml:space="preserve">　　　　</w:t>
      </w:r>
    </w:p>
    <w:sectPr w:rsidR="00A24670" w:rsidRPr="00EF3852" w:rsidSect="00284C2E">
      <w:pgSz w:w="16838" w:h="11906" w:orient="landscape"/>
      <w:pgMar w:top="680" w:right="1134" w:bottom="680"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0E155" w14:textId="77777777" w:rsidR="0065570F" w:rsidRDefault="0065570F" w:rsidP="00D253DA">
      <w:r>
        <w:separator/>
      </w:r>
    </w:p>
  </w:endnote>
  <w:endnote w:type="continuationSeparator" w:id="0">
    <w:p w14:paraId="75603359" w14:textId="77777777" w:rsidR="0065570F" w:rsidRDefault="0065570F" w:rsidP="00D25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50701" w14:textId="77777777" w:rsidR="0065570F" w:rsidRDefault="0065570F" w:rsidP="00D253DA">
      <w:r>
        <w:separator/>
      </w:r>
    </w:p>
  </w:footnote>
  <w:footnote w:type="continuationSeparator" w:id="0">
    <w:p w14:paraId="62823BA2" w14:textId="77777777" w:rsidR="0065570F" w:rsidRDefault="0065570F" w:rsidP="00D253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F7583"/>
    <w:multiLevelType w:val="multilevel"/>
    <w:tmpl w:val="B5C28946"/>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021" w:hanging="454"/>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 w15:restartNumberingAfterBreak="0">
    <w:nsid w:val="166855BE"/>
    <w:multiLevelType w:val="hybridMultilevel"/>
    <w:tmpl w:val="66AE9476"/>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51C4F1A"/>
    <w:multiLevelType w:val="hybridMultilevel"/>
    <w:tmpl w:val="5880AAC6"/>
    <w:lvl w:ilvl="0" w:tplc="F20C35DA">
      <w:start w:val="1"/>
      <w:numFmt w:val="taiwaneseCountingThousand"/>
      <w:lvlText w:val="(%1)"/>
      <w:lvlJc w:val="left"/>
      <w:pPr>
        <w:ind w:left="483" w:hanging="480"/>
      </w:pPr>
      <w:rPr>
        <w:rFonts w:hint="default"/>
      </w:rPr>
    </w:lvl>
    <w:lvl w:ilvl="1" w:tplc="04090019" w:tentative="1">
      <w:start w:val="1"/>
      <w:numFmt w:val="ideographTraditional"/>
      <w:lvlText w:val="%2、"/>
      <w:lvlJc w:val="left"/>
      <w:pPr>
        <w:ind w:left="963" w:hanging="480"/>
      </w:pPr>
    </w:lvl>
    <w:lvl w:ilvl="2" w:tplc="0409001B" w:tentative="1">
      <w:start w:val="1"/>
      <w:numFmt w:val="lowerRoman"/>
      <w:lvlText w:val="%3."/>
      <w:lvlJc w:val="right"/>
      <w:pPr>
        <w:ind w:left="1443" w:hanging="480"/>
      </w:pPr>
    </w:lvl>
    <w:lvl w:ilvl="3" w:tplc="0409000F" w:tentative="1">
      <w:start w:val="1"/>
      <w:numFmt w:val="decimal"/>
      <w:lvlText w:val="%4."/>
      <w:lvlJc w:val="left"/>
      <w:pPr>
        <w:ind w:left="1923" w:hanging="480"/>
      </w:pPr>
    </w:lvl>
    <w:lvl w:ilvl="4" w:tplc="04090019" w:tentative="1">
      <w:start w:val="1"/>
      <w:numFmt w:val="ideographTraditional"/>
      <w:lvlText w:val="%5、"/>
      <w:lvlJc w:val="left"/>
      <w:pPr>
        <w:ind w:left="2403" w:hanging="480"/>
      </w:pPr>
    </w:lvl>
    <w:lvl w:ilvl="5" w:tplc="0409001B" w:tentative="1">
      <w:start w:val="1"/>
      <w:numFmt w:val="lowerRoman"/>
      <w:lvlText w:val="%6."/>
      <w:lvlJc w:val="right"/>
      <w:pPr>
        <w:ind w:left="2883" w:hanging="480"/>
      </w:pPr>
    </w:lvl>
    <w:lvl w:ilvl="6" w:tplc="0409000F" w:tentative="1">
      <w:start w:val="1"/>
      <w:numFmt w:val="decimal"/>
      <w:lvlText w:val="%7."/>
      <w:lvlJc w:val="left"/>
      <w:pPr>
        <w:ind w:left="3363" w:hanging="480"/>
      </w:pPr>
    </w:lvl>
    <w:lvl w:ilvl="7" w:tplc="04090019" w:tentative="1">
      <w:start w:val="1"/>
      <w:numFmt w:val="ideographTraditional"/>
      <w:lvlText w:val="%8、"/>
      <w:lvlJc w:val="left"/>
      <w:pPr>
        <w:ind w:left="3843" w:hanging="480"/>
      </w:pPr>
    </w:lvl>
    <w:lvl w:ilvl="8" w:tplc="0409001B" w:tentative="1">
      <w:start w:val="1"/>
      <w:numFmt w:val="lowerRoman"/>
      <w:lvlText w:val="%9."/>
      <w:lvlJc w:val="right"/>
      <w:pPr>
        <w:ind w:left="4323" w:hanging="480"/>
      </w:pPr>
    </w:lvl>
  </w:abstractNum>
  <w:abstractNum w:abstractNumId="3" w15:restartNumberingAfterBreak="0">
    <w:nsid w:val="26890CFE"/>
    <w:multiLevelType w:val="hybridMultilevel"/>
    <w:tmpl w:val="36083E86"/>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B3643E6"/>
    <w:multiLevelType w:val="hybridMultilevel"/>
    <w:tmpl w:val="5F26A6B6"/>
    <w:lvl w:ilvl="0" w:tplc="D674AFE4">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F5F3B5A"/>
    <w:multiLevelType w:val="hybridMultilevel"/>
    <w:tmpl w:val="40F0A44E"/>
    <w:lvl w:ilvl="0" w:tplc="A18C01C6">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4EB15F7"/>
    <w:multiLevelType w:val="multilevel"/>
    <w:tmpl w:val="9692EEF6"/>
    <w:lvl w:ilvl="0">
      <w:start w:val="1"/>
      <w:numFmt w:val="taiwaneseCountingThousand"/>
      <w:suff w:val="space"/>
      <w:lvlText w:val="(%1)"/>
      <w:lvlJc w:val="left"/>
      <w:pPr>
        <w:ind w:left="567" w:hanging="567"/>
      </w:pPr>
      <w:rPr>
        <w:rFonts w:hint="eastAsia"/>
      </w:rPr>
    </w:lvl>
    <w:lvl w:ilvl="1">
      <w:start w:val="1"/>
      <w:numFmt w:val="decimal"/>
      <w:suff w:val="space"/>
      <w:lvlText w:val="%2."/>
      <w:lvlJc w:val="left"/>
      <w:pPr>
        <w:ind w:left="851" w:hanging="284"/>
      </w:pPr>
      <w:rPr>
        <w:rFonts w:hint="eastAsia"/>
      </w:rPr>
    </w:lvl>
    <w:lvl w:ilvl="2">
      <w:start w:val="1"/>
      <w:numFmt w:val="decimal"/>
      <w:lvlText w:val="(%3)"/>
      <w:lvlJc w:val="left"/>
      <w:pPr>
        <w:tabs>
          <w:tab w:val="num" w:pos="1276"/>
        </w:tabs>
        <w:ind w:left="1276" w:hanging="425"/>
      </w:pPr>
      <w:rPr>
        <w:rFonts w:hint="eastAsia"/>
      </w:rPr>
    </w:lvl>
    <w:lvl w:ilvl="3">
      <w:start w:val="1"/>
      <w:numFmt w:val="lowerLetter"/>
      <w:lvlText w:val="%4."/>
      <w:lvlJc w:val="left"/>
      <w:pPr>
        <w:tabs>
          <w:tab w:val="num" w:pos="1440"/>
        </w:tabs>
        <w:ind w:left="1440" w:hanging="360"/>
      </w:pPr>
      <w:rPr>
        <w:rFonts w:hint="eastAsia"/>
      </w:rPr>
    </w:lvl>
    <w:lvl w:ilvl="4">
      <w:start w:val="1"/>
      <w:numFmt w:val="decimal"/>
      <w:lvlText w:val="%5."/>
      <w:lvlJc w:val="left"/>
      <w:pPr>
        <w:tabs>
          <w:tab w:val="num" w:pos="1800"/>
        </w:tabs>
        <w:ind w:left="1800" w:hanging="360"/>
      </w:pPr>
      <w:rPr>
        <w:rFonts w:hint="eastAsia"/>
      </w:rPr>
    </w:lvl>
    <w:lvl w:ilvl="5">
      <w:start w:val="1"/>
      <w:numFmt w:val="lowerLetter"/>
      <w:lvlText w:val="%6."/>
      <w:lvlJc w:val="left"/>
      <w:pPr>
        <w:tabs>
          <w:tab w:val="num" w:pos="2160"/>
        </w:tabs>
        <w:ind w:left="2160" w:hanging="360"/>
      </w:pPr>
      <w:rPr>
        <w:rFonts w:hint="eastAsia"/>
      </w:rPr>
    </w:lvl>
    <w:lvl w:ilvl="6">
      <w:start w:val="1"/>
      <w:numFmt w:val="lowerRoman"/>
      <w:lvlText w:val="%7."/>
      <w:lvlJc w:val="left"/>
      <w:pPr>
        <w:tabs>
          <w:tab w:val="num" w:pos="2520"/>
        </w:tabs>
        <w:ind w:left="2520" w:hanging="360"/>
      </w:pPr>
      <w:rPr>
        <w:rFonts w:hint="eastAsia"/>
      </w:rPr>
    </w:lvl>
    <w:lvl w:ilvl="7">
      <w:start w:val="1"/>
      <w:numFmt w:val="lowerLetter"/>
      <w:lvlText w:val="%8."/>
      <w:lvlJc w:val="left"/>
      <w:pPr>
        <w:tabs>
          <w:tab w:val="num" w:pos="2880"/>
        </w:tabs>
        <w:ind w:left="2880" w:hanging="360"/>
      </w:pPr>
      <w:rPr>
        <w:rFonts w:hint="eastAsia"/>
      </w:rPr>
    </w:lvl>
    <w:lvl w:ilvl="8">
      <w:start w:val="1"/>
      <w:numFmt w:val="lowerRoman"/>
      <w:lvlText w:val="%9."/>
      <w:lvlJc w:val="left"/>
      <w:pPr>
        <w:tabs>
          <w:tab w:val="num" w:pos="3240"/>
        </w:tabs>
        <w:ind w:left="3240" w:hanging="360"/>
      </w:pPr>
      <w:rPr>
        <w:rFonts w:hint="eastAsia"/>
      </w:rPr>
    </w:lvl>
  </w:abstractNum>
  <w:abstractNum w:abstractNumId="7" w15:restartNumberingAfterBreak="0">
    <w:nsid w:val="5C057022"/>
    <w:multiLevelType w:val="hybridMultilevel"/>
    <w:tmpl w:val="309E970E"/>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0EE4CB6"/>
    <w:multiLevelType w:val="singleLevel"/>
    <w:tmpl w:val="23DE42CC"/>
    <w:lvl w:ilvl="0">
      <w:start w:val="1"/>
      <w:numFmt w:val="taiwaneseCountingThousand"/>
      <w:pStyle w:val="1"/>
      <w:lvlText w:val="(%1)"/>
      <w:lvlJc w:val="left"/>
      <w:pPr>
        <w:tabs>
          <w:tab w:val="num" w:pos="1230"/>
        </w:tabs>
        <w:ind w:left="340" w:firstLine="170"/>
      </w:pPr>
      <w:rPr>
        <w:rFonts w:ascii="Times New Roman" w:hAnsi="Times New Roman" w:cs="Times New Roman" w:hint="eastAsia"/>
      </w:rPr>
    </w:lvl>
  </w:abstractNum>
  <w:abstractNum w:abstractNumId="9" w15:restartNumberingAfterBreak="0">
    <w:nsid w:val="615723B5"/>
    <w:multiLevelType w:val="hybridMultilevel"/>
    <w:tmpl w:val="3EB89878"/>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833986210">
    <w:abstractNumId w:val="8"/>
  </w:num>
  <w:num w:numId="2" w16cid:durableId="1140803734">
    <w:abstractNumId w:val="0"/>
  </w:num>
  <w:num w:numId="3" w16cid:durableId="118762223">
    <w:abstractNumId w:val="2"/>
  </w:num>
  <w:num w:numId="4" w16cid:durableId="696395036">
    <w:abstractNumId w:val="4"/>
  </w:num>
  <w:num w:numId="5" w16cid:durableId="1778286075">
    <w:abstractNumId w:val="5"/>
  </w:num>
  <w:num w:numId="6" w16cid:durableId="1070345503">
    <w:abstractNumId w:val="6"/>
  </w:num>
  <w:num w:numId="7" w16cid:durableId="414210760">
    <w:abstractNumId w:val="9"/>
  </w:num>
  <w:num w:numId="8" w16cid:durableId="2114980009">
    <w:abstractNumId w:val="7"/>
  </w:num>
  <w:num w:numId="9" w16cid:durableId="985864830">
    <w:abstractNumId w:val="3"/>
  </w:num>
  <w:num w:numId="10" w16cid:durableId="19724025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161"/>
    <w:rsid w:val="00012DB3"/>
    <w:rsid w:val="00013A9E"/>
    <w:rsid w:val="000216E6"/>
    <w:rsid w:val="00021C10"/>
    <w:rsid w:val="00034BB9"/>
    <w:rsid w:val="00055C99"/>
    <w:rsid w:val="00060168"/>
    <w:rsid w:val="00061E81"/>
    <w:rsid w:val="00071F35"/>
    <w:rsid w:val="000731FA"/>
    <w:rsid w:val="000733BF"/>
    <w:rsid w:val="000738D8"/>
    <w:rsid w:val="00075AC3"/>
    <w:rsid w:val="00085A58"/>
    <w:rsid w:val="00092406"/>
    <w:rsid w:val="00096F14"/>
    <w:rsid w:val="000A4AF2"/>
    <w:rsid w:val="000B1084"/>
    <w:rsid w:val="000B3E18"/>
    <w:rsid w:val="000B750B"/>
    <w:rsid w:val="000B7B71"/>
    <w:rsid w:val="000B7D5B"/>
    <w:rsid w:val="000C0D07"/>
    <w:rsid w:val="000C45D4"/>
    <w:rsid w:val="000D6B17"/>
    <w:rsid w:val="000D6E5B"/>
    <w:rsid w:val="000F37DD"/>
    <w:rsid w:val="0011220A"/>
    <w:rsid w:val="0011623D"/>
    <w:rsid w:val="00116AF7"/>
    <w:rsid w:val="00120188"/>
    <w:rsid w:val="00122D16"/>
    <w:rsid w:val="00125530"/>
    <w:rsid w:val="001267E4"/>
    <w:rsid w:val="00133DF6"/>
    <w:rsid w:val="00134ECA"/>
    <w:rsid w:val="00137DF7"/>
    <w:rsid w:val="00151762"/>
    <w:rsid w:val="00160E83"/>
    <w:rsid w:val="001635E1"/>
    <w:rsid w:val="00182897"/>
    <w:rsid w:val="00182FD3"/>
    <w:rsid w:val="00190BC6"/>
    <w:rsid w:val="001A1FD8"/>
    <w:rsid w:val="001A2FF1"/>
    <w:rsid w:val="001B4BE3"/>
    <w:rsid w:val="001C3E48"/>
    <w:rsid w:val="001C4E28"/>
    <w:rsid w:val="001D7FAD"/>
    <w:rsid w:val="001F12B7"/>
    <w:rsid w:val="002021CF"/>
    <w:rsid w:val="00206453"/>
    <w:rsid w:val="00207834"/>
    <w:rsid w:val="00230C9D"/>
    <w:rsid w:val="00234AA8"/>
    <w:rsid w:val="002376FA"/>
    <w:rsid w:val="002432F4"/>
    <w:rsid w:val="00243EA1"/>
    <w:rsid w:val="00245C15"/>
    <w:rsid w:val="00250198"/>
    <w:rsid w:val="0025675C"/>
    <w:rsid w:val="00260A68"/>
    <w:rsid w:val="00267873"/>
    <w:rsid w:val="00273D15"/>
    <w:rsid w:val="0027434F"/>
    <w:rsid w:val="0027590B"/>
    <w:rsid w:val="00284C2E"/>
    <w:rsid w:val="00296A8C"/>
    <w:rsid w:val="002A03D0"/>
    <w:rsid w:val="002A1FF7"/>
    <w:rsid w:val="002A4796"/>
    <w:rsid w:val="002B134A"/>
    <w:rsid w:val="002B16A5"/>
    <w:rsid w:val="002B1B2A"/>
    <w:rsid w:val="002B4A98"/>
    <w:rsid w:val="002B50E6"/>
    <w:rsid w:val="002B69AD"/>
    <w:rsid w:val="002C3D1B"/>
    <w:rsid w:val="002C755D"/>
    <w:rsid w:val="002D06ED"/>
    <w:rsid w:val="002D51F4"/>
    <w:rsid w:val="002D5539"/>
    <w:rsid w:val="002F16DD"/>
    <w:rsid w:val="002F2436"/>
    <w:rsid w:val="002F2DFA"/>
    <w:rsid w:val="002F49F3"/>
    <w:rsid w:val="002F57B7"/>
    <w:rsid w:val="00300623"/>
    <w:rsid w:val="00300C57"/>
    <w:rsid w:val="00303D7E"/>
    <w:rsid w:val="003133E1"/>
    <w:rsid w:val="0031403A"/>
    <w:rsid w:val="00314CE7"/>
    <w:rsid w:val="00317A96"/>
    <w:rsid w:val="00317ACD"/>
    <w:rsid w:val="00325E5A"/>
    <w:rsid w:val="00334B18"/>
    <w:rsid w:val="00344123"/>
    <w:rsid w:val="00351611"/>
    <w:rsid w:val="00353B28"/>
    <w:rsid w:val="00367148"/>
    <w:rsid w:val="00374E0E"/>
    <w:rsid w:val="00382874"/>
    <w:rsid w:val="003A7FBE"/>
    <w:rsid w:val="003B26ED"/>
    <w:rsid w:val="003B5E07"/>
    <w:rsid w:val="003C20BF"/>
    <w:rsid w:val="003C754B"/>
    <w:rsid w:val="003C789F"/>
    <w:rsid w:val="003D0C59"/>
    <w:rsid w:val="003D2115"/>
    <w:rsid w:val="003E5F61"/>
    <w:rsid w:val="00400E6D"/>
    <w:rsid w:val="00410F98"/>
    <w:rsid w:val="0041457C"/>
    <w:rsid w:val="004229A3"/>
    <w:rsid w:val="00431812"/>
    <w:rsid w:val="0043293A"/>
    <w:rsid w:val="00440574"/>
    <w:rsid w:val="00440CF8"/>
    <w:rsid w:val="00444456"/>
    <w:rsid w:val="00455A5F"/>
    <w:rsid w:val="00474B4E"/>
    <w:rsid w:val="00481DE6"/>
    <w:rsid w:val="00483844"/>
    <w:rsid w:val="004A4B59"/>
    <w:rsid w:val="004A7E9E"/>
    <w:rsid w:val="004B2CD0"/>
    <w:rsid w:val="004C0F9A"/>
    <w:rsid w:val="004E16DF"/>
    <w:rsid w:val="004E330A"/>
    <w:rsid w:val="00502095"/>
    <w:rsid w:val="005034CB"/>
    <w:rsid w:val="005044EC"/>
    <w:rsid w:val="005200FE"/>
    <w:rsid w:val="005240E1"/>
    <w:rsid w:val="005327E8"/>
    <w:rsid w:val="00537B07"/>
    <w:rsid w:val="0054342D"/>
    <w:rsid w:val="0055469E"/>
    <w:rsid w:val="005610BC"/>
    <w:rsid w:val="0057123A"/>
    <w:rsid w:val="005715B0"/>
    <w:rsid w:val="00585C65"/>
    <w:rsid w:val="0059082B"/>
    <w:rsid w:val="005A204F"/>
    <w:rsid w:val="005A51E2"/>
    <w:rsid w:val="005C35E5"/>
    <w:rsid w:val="005D49C9"/>
    <w:rsid w:val="005D5E4D"/>
    <w:rsid w:val="005E0E2C"/>
    <w:rsid w:val="005E344C"/>
    <w:rsid w:val="005E3DFF"/>
    <w:rsid w:val="005F1322"/>
    <w:rsid w:val="005F5945"/>
    <w:rsid w:val="005F594B"/>
    <w:rsid w:val="005F73D1"/>
    <w:rsid w:val="00600DA5"/>
    <w:rsid w:val="00601E8C"/>
    <w:rsid w:val="006176E2"/>
    <w:rsid w:val="00637524"/>
    <w:rsid w:val="00647C22"/>
    <w:rsid w:val="0065570F"/>
    <w:rsid w:val="00657C60"/>
    <w:rsid w:val="00661D33"/>
    <w:rsid w:val="00662526"/>
    <w:rsid w:val="00664E6D"/>
    <w:rsid w:val="00666D6E"/>
    <w:rsid w:val="0067139E"/>
    <w:rsid w:val="00677DAF"/>
    <w:rsid w:val="0069488D"/>
    <w:rsid w:val="0069784E"/>
    <w:rsid w:val="006A6D65"/>
    <w:rsid w:val="006B1C94"/>
    <w:rsid w:val="006B786D"/>
    <w:rsid w:val="006C4D07"/>
    <w:rsid w:val="006C63F0"/>
    <w:rsid w:val="006D034B"/>
    <w:rsid w:val="006D1078"/>
    <w:rsid w:val="006D27EC"/>
    <w:rsid w:val="00702D71"/>
    <w:rsid w:val="00711873"/>
    <w:rsid w:val="007266FF"/>
    <w:rsid w:val="007404A6"/>
    <w:rsid w:val="00751823"/>
    <w:rsid w:val="00753702"/>
    <w:rsid w:val="00753B5B"/>
    <w:rsid w:val="007665A4"/>
    <w:rsid w:val="0077161A"/>
    <w:rsid w:val="0077362B"/>
    <w:rsid w:val="00792CFF"/>
    <w:rsid w:val="00793B17"/>
    <w:rsid w:val="007A0E65"/>
    <w:rsid w:val="007B1EE6"/>
    <w:rsid w:val="007D24BE"/>
    <w:rsid w:val="007F35FA"/>
    <w:rsid w:val="007F638D"/>
    <w:rsid w:val="00810B5C"/>
    <w:rsid w:val="00820E2B"/>
    <w:rsid w:val="008264EC"/>
    <w:rsid w:val="00826633"/>
    <w:rsid w:val="00840E30"/>
    <w:rsid w:val="00843649"/>
    <w:rsid w:val="00844012"/>
    <w:rsid w:val="008456DF"/>
    <w:rsid w:val="00847DBC"/>
    <w:rsid w:val="0085118D"/>
    <w:rsid w:val="008600C2"/>
    <w:rsid w:val="0087330A"/>
    <w:rsid w:val="00877707"/>
    <w:rsid w:val="00881A04"/>
    <w:rsid w:val="008A727F"/>
    <w:rsid w:val="008B3EB3"/>
    <w:rsid w:val="008B4360"/>
    <w:rsid w:val="008C286B"/>
    <w:rsid w:val="008D1A0D"/>
    <w:rsid w:val="008D1EDA"/>
    <w:rsid w:val="008D4C3F"/>
    <w:rsid w:val="008D7020"/>
    <w:rsid w:val="008E17AE"/>
    <w:rsid w:val="008E2D90"/>
    <w:rsid w:val="008E43D1"/>
    <w:rsid w:val="009019BC"/>
    <w:rsid w:val="00902C35"/>
    <w:rsid w:val="009206D6"/>
    <w:rsid w:val="00927700"/>
    <w:rsid w:val="009305F6"/>
    <w:rsid w:val="00931E26"/>
    <w:rsid w:val="00941D42"/>
    <w:rsid w:val="00945C4A"/>
    <w:rsid w:val="00951604"/>
    <w:rsid w:val="00953424"/>
    <w:rsid w:val="00962BEB"/>
    <w:rsid w:val="00966363"/>
    <w:rsid w:val="00967E27"/>
    <w:rsid w:val="00970379"/>
    <w:rsid w:val="00971361"/>
    <w:rsid w:val="00987B0B"/>
    <w:rsid w:val="00987CC2"/>
    <w:rsid w:val="00994361"/>
    <w:rsid w:val="0099688B"/>
    <w:rsid w:val="009A180A"/>
    <w:rsid w:val="009A2B04"/>
    <w:rsid w:val="009B03EA"/>
    <w:rsid w:val="009B24C9"/>
    <w:rsid w:val="009C01DC"/>
    <w:rsid w:val="009C3B4E"/>
    <w:rsid w:val="009D2746"/>
    <w:rsid w:val="009D77E5"/>
    <w:rsid w:val="009E5794"/>
    <w:rsid w:val="00A13C80"/>
    <w:rsid w:val="00A1667A"/>
    <w:rsid w:val="00A2318F"/>
    <w:rsid w:val="00A24670"/>
    <w:rsid w:val="00A3098D"/>
    <w:rsid w:val="00A3347B"/>
    <w:rsid w:val="00A56900"/>
    <w:rsid w:val="00A569AD"/>
    <w:rsid w:val="00A573EC"/>
    <w:rsid w:val="00A600C1"/>
    <w:rsid w:val="00A60430"/>
    <w:rsid w:val="00A609E7"/>
    <w:rsid w:val="00A63D32"/>
    <w:rsid w:val="00A6543F"/>
    <w:rsid w:val="00A70465"/>
    <w:rsid w:val="00A72293"/>
    <w:rsid w:val="00A740E4"/>
    <w:rsid w:val="00A76418"/>
    <w:rsid w:val="00A7655D"/>
    <w:rsid w:val="00A76D09"/>
    <w:rsid w:val="00A77465"/>
    <w:rsid w:val="00A804B1"/>
    <w:rsid w:val="00A863BF"/>
    <w:rsid w:val="00AA60EC"/>
    <w:rsid w:val="00AB5EAE"/>
    <w:rsid w:val="00AB60C4"/>
    <w:rsid w:val="00AC2A52"/>
    <w:rsid w:val="00AD06BC"/>
    <w:rsid w:val="00AF5854"/>
    <w:rsid w:val="00AF63DE"/>
    <w:rsid w:val="00B110D2"/>
    <w:rsid w:val="00B1653A"/>
    <w:rsid w:val="00B177BF"/>
    <w:rsid w:val="00B27F48"/>
    <w:rsid w:val="00B332DA"/>
    <w:rsid w:val="00B336AA"/>
    <w:rsid w:val="00B37227"/>
    <w:rsid w:val="00B40BE3"/>
    <w:rsid w:val="00B43B3A"/>
    <w:rsid w:val="00B43B6E"/>
    <w:rsid w:val="00B47D8F"/>
    <w:rsid w:val="00B55802"/>
    <w:rsid w:val="00B60AB9"/>
    <w:rsid w:val="00B650E1"/>
    <w:rsid w:val="00B65AC9"/>
    <w:rsid w:val="00B713D7"/>
    <w:rsid w:val="00B71A4F"/>
    <w:rsid w:val="00B71AE8"/>
    <w:rsid w:val="00B771F2"/>
    <w:rsid w:val="00B77A59"/>
    <w:rsid w:val="00B936DF"/>
    <w:rsid w:val="00BB1876"/>
    <w:rsid w:val="00BC1BED"/>
    <w:rsid w:val="00BC5D94"/>
    <w:rsid w:val="00BD63B1"/>
    <w:rsid w:val="00BE01E6"/>
    <w:rsid w:val="00BE0615"/>
    <w:rsid w:val="00C01E50"/>
    <w:rsid w:val="00C02697"/>
    <w:rsid w:val="00C038B3"/>
    <w:rsid w:val="00C051C5"/>
    <w:rsid w:val="00C06685"/>
    <w:rsid w:val="00C10899"/>
    <w:rsid w:val="00C12943"/>
    <w:rsid w:val="00C13A56"/>
    <w:rsid w:val="00C40023"/>
    <w:rsid w:val="00C43224"/>
    <w:rsid w:val="00C502E5"/>
    <w:rsid w:val="00C54497"/>
    <w:rsid w:val="00C55D61"/>
    <w:rsid w:val="00C618D2"/>
    <w:rsid w:val="00C666C3"/>
    <w:rsid w:val="00C7577C"/>
    <w:rsid w:val="00C77171"/>
    <w:rsid w:val="00C80CB7"/>
    <w:rsid w:val="00C92619"/>
    <w:rsid w:val="00C9551B"/>
    <w:rsid w:val="00C97BBC"/>
    <w:rsid w:val="00CB0A40"/>
    <w:rsid w:val="00CB1E82"/>
    <w:rsid w:val="00CC0247"/>
    <w:rsid w:val="00CC1D26"/>
    <w:rsid w:val="00CE0B3B"/>
    <w:rsid w:val="00CE0FA0"/>
    <w:rsid w:val="00CE6BE7"/>
    <w:rsid w:val="00CF41F2"/>
    <w:rsid w:val="00CF7E52"/>
    <w:rsid w:val="00D0103E"/>
    <w:rsid w:val="00D054DE"/>
    <w:rsid w:val="00D13E9F"/>
    <w:rsid w:val="00D20DE0"/>
    <w:rsid w:val="00D248DD"/>
    <w:rsid w:val="00D253DA"/>
    <w:rsid w:val="00D32657"/>
    <w:rsid w:val="00D33667"/>
    <w:rsid w:val="00D4653E"/>
    <w:rsid w:val="00D5018B"/>
    <w:rsid w:val="00D56F20"/>
    <w:rsid w:val="00D61AE4"/>
    <w:rsid w:val="00D62635"/>
    <w:rsid w:val="00D70D5F"/>
    <w:rsid w:val="00D710C8"/>
    <w:rsid w:val="00D7301A"/>
    <w:rsid w:val="00D7596F"/>
    <w:rsid w:val="00D8204E"/>
    <w:rsid w:val="00D84D70"/>
    <w:rsid w:val="00DA0161"/>
    <w:rsid w:val="00DA0F1B"/>
    <w:rsid w:val="00DC040D"/>
    <w:rsid w:val="00DC6263"/>
    <w:rsid w:val="00DC6402"/>
    <w:rsid w:val="00DE027C"/>
    <w:rsid w:val="00E025C9"/>
    <w:rsid w:val="00E02BA5"/>
    <w:rsid w:val="00E0414A"/>
    <w:rsid w:val="00E04C37"/>
    <w:rsid w:val="00E04E52"/>
    <w:rsid w:val="00E10468"/>
    <w:rsid w:val="00E23984"/>
    <w:rsid w:val="00E26F65"/>
    <w:rsid w:val="00E32A97"/>
    <w:rsid w:val="00E42EE1"/>
    <w:rsid w:val="00E44E4E"/>
    <w:rsid w:val="00E5074E"/>
    <w:rsid w:val="00E56C42"/>
    <w:rsid w:val="00E755B9"/>
    <w:rsid w:val="00E941A9"/>
    <w:rsid w:val="00E97905"/>
    <w:rsid w:val="00EA0AA8"/>
    <w:rsid w:val="00EA7651"/>
    <w:rsid w:val="00EB45B5"/>
    <w:rsid w:val="00EB5D6D"/>
    <w:rsid w:val="00EB639D"/>
    <w:rsid w:val="00EC52A4"/>
    <w:rsid w:val="00EC64A2"/>
    <w:rsid w:val="00EC6C66"/>
    <w:rsid w:val="00ED24D4"/>
    <w:rsid w:val="00EE229C"/>
    <w:rsid w:val="00EE23B9"/>
    <w:rsid w:val="00EE3D47"/>
    <w:rsid w:val="00EE7565"/>
    <w:rsid w:val="00EF3852"/>
    <w:rsid w:val="00F02A55"/>
    <w:rsid w:val="00F166BA"/>
    <w:rsid w:val="00F23467"/>
    <w:rsid w:val="00F30173"/>
    <w:rsid w:val="00F449D4"/>
    <w:rsid w:val="00F46A33"/>
    <w:rsid w:val="00F47776"/>
    <w:rsid w:val="00F47FFD"/>
    <w:rsid w:val="00F63C22"/>
    <w:rsid w:val="00F65344"/>
    <w:rsid w:val="00F65EF0"/>
    <w:rsid w:val="00F706F6"/>
    <w:rsid w:val="00F73C25"/>
    <w:rsid w:val="00F82344"/>
    <w:rsid w:val="00F92384"/>
    <w:rsid w:val="00FA16AB"/>
    <w:rsid w:val="00FC6183"/>
    <w:rsid w:val="00FC6F5D"/>
    <w:rsid w:val="00FD13E8"/>
    <w:rsid w:val="00FD6918"/>
    <w:rsid w:val="00FE465A"/>
    <w:rsid w:val="00FF56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A6172A"/>
  <w15:chartTrackingRefBased/>
  <w15:docId w15:val="{55023042-2EA0-4443-9AA4-B220539BE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0161"/>
    <w:pPr>
      <w:widowControl w:val="0"/>
    </w:pPr>
    <w:rPr>
      <w:rFonts w:ascii="Times New Roman" w:hAnsi="Times New Roman"/>
      <w:kern w:val="2"/>
      <w:sz w:val="24"/>
    </w:rPr>
  </w:style>
  <w:style w:type="paragraph" w:styleId="10">
    <w:name w:val="heading 1"/>
    <w:basedOn w:val="a"/>
    <w:next w:val="a"/>
    <w:link w:val="11"/>
    <w:uiPriority w:val="99"/>
    <w:qFormat/>
    <w:rsid w:val="00A3347B"/>
    <w:pPr>
      <w:snapToGrid w:val="0"/>
      <w:spacing w:after="120" w:line="360" w:lineRule="atLeast"/>
      <w:jc w:val="center"/>
      <w:outlineLvl w:val="0"/>
    </w:pPr>
    <w:rPr>
      <w:rFonts w:ascii="標楷體" w:eastAsia="標楷體" w:hAnsi="Arial"/>
      <w:b/>
      <w:bCs/>
      <w:spacing w:val="10"/>
      <w:kern w:val="52"/>
      <w:sz w:val="36"/>
      <w:szCs w:val="3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253DA"/>
    <w:pPr>
      <w:tabs>
        <w:tab w:val="center" w:pos="4153"/>
        <w:tab w:val="right" w:pos="8306"/>
      </w:tabs>
      <w:snapToGrid w:val="0"/>
    </w:pPr>
    <w:rPr>
      <w:kern w:val="0"/>
      <w:sz w:val="20"/>
      <w:lang w:val="x-none" w:eastAsia="x-none"/>
    </w:rPr>
  </w:style>
  <w:style w:type="character" w:customStyle="1" w:styleId="a4">
    <w:name w:val="頁首 字元"/>
    <w:link w:val="a3"/>
    <w:uiPriority w:val="99"/>
    <w:rsid w:val="00D253DA"/>
    <w:rPr>
      <w:rFonts w:ascii="Times New Roman" w:eastAsia="新細明體" w:hAnsi="Times New Roman" w:cs="Times New Roman"/>
      <w:sz w:val="20"/>
      <w:szCs w:val="20"/>
    </w:rPr>
  </w:style>
  <w:style w:type="paragraph" w:styleId="a5">
    <w:name w:val="footer"/>
    <w:basedOn w:val="a"/>
    <w:link w:val="a6"/>
    <w:uiPriority w:val="99"/>
    <w:unhideWhenUsed/>
    <w:rsid w:val="00D253DA"/>
    <w:pPr>
      <w:tabs>
        <w:tab w:val="center" w:pos="4153"/>
        <w:tab w:val="right" w:pos="8306"/>
      </w:tabs>
      <w:snapToGrid w:val="0"/>
    </w:pPr>
    <w:rPr>
      <w:kern w:val="0"/>
      <w:sz w:val="20"/>
      <w:lang w:val="x-none" w:eastAsia="x-none"/>
    </w:rPr>
  </w:style>
  <w:style w:type="character" w:customStyle="1" w:styleId="a6">
    <w:name w:val="頁尾 字元"/>
    <w:link w:val="a5"/>
    <w:uiPriority w:val="99"/>
    <w:rsid w:val="00D253DA"/>
    <w:rPr>
      <w:rFonts w:ascii="Times New Roman" w:eastAsia="新細明體" w:hAnsi="Times New Roman" w:cs="Times New Roman"/>
      <w:sz w:val="20"/>
      <w:szCs w:val="20"/>
    </w:rPr>
  </w:style>
  <w:style w:type="paragraph" w:styleId="a7">
    <w:name w:val="Balloon Text"/>
    <w:basedOn w:val="a"/>
    <w:link w:val="a8"/>
    <w:uiPriority w:val="99"/>
    <w:semiHidden/>
    <w:unhideWhenUsed/>
    <w:rsid w:val="000B3E18"/>
    <w:rPr>
      <w:rFonts w:ascii="Cambria" w:hAnsi="Cambria"/>
      <w:kern w:val="0"/>
      <w:sz w:val="18"/>
      <w:szCs w:val="18"/>
      <w:lang w:val="x-none" w:eastAsia="x-none"/>
    </w:rPr>
  </w:style>
  <w:style w:type="character" w:customStyle="1" w:styleId="a8">
    <w:name w:val="註解方塊文字 字元"/>
    <w:link w:val="a7"/>
    <w:uiPriority w:val="99"/>
    <w:semiHidden/>
    <w:rsid w:val="000B3E18"/>
    <w:rPr>
      <w:rFonts w:ascii="Cambria" w:eastAsia="新細明體" w:hAnsi="Cambria" w:cs="Times New Roman"/>
      <w:sz w:val="18"/>
      <w:szCs w:val="18"/>
    </w:rPr>
  </w:style>
  <w:style w:type="character" w:styleId="a9">
    <w:name w:val="annotation reference"/>
    <w:uiPriority w:val="99"/>
    <w:semiHidden/>
    <w:unhideWhenUsed/>
    <w:rsid w:val="005E0E2C"/>
    <w:rPr>
      <w:sz w:val="18"/>
      <w:szCs w:val="18"/>
    </w:rPr>
  </w:style>
  <w:style w:type="paragraph" w:styleId="aa">
    <w:name w:val="annotation text"/>
    <w:basedOn w:val="a"/>
    <w:link w:val="ab"/>
    <w:uiPriority w:val="99"/>
    <w:semiHidden/>
    <w:unhideWhenUsed/>
    <w:rsid w:val="005E0E2C"/>
    <w:rPr>
      <w:kern w:val="0"/>
      <w:sz w:val="20"/>
      <w:lang w:val="x-none" w:eastAsia="x-none"/>
    </w:rPr>
  </w:style>
  <w:style w:type="character" w:customStyle="1" w:styleId="ab">
    <w:name w:val="註解文字 字元"/>
    <w:link w:val="aa"/>
    <w:uiPriority w:val="99"/>
    <w:semiHidden/>
    <w:rsid w:val="005E0E2C"/>
    <w:rPr>
      <w:rFonts w:ascii="Times New Roman" w:eastAsia="新細明體" w:hAnsi="Times New Roman" w:cs="Times New Roman"/>
      <w:szCs w:val="20"/>
    </w:rPr>
  </w:style>
  <w:style w:type="paragraph" w:styleId="ac">
    <w:name w:val="annotation subject"/>
    <w:basedOn w:val="aa"/>
    <w:next w:val="aa"/>
    <w:link w:val="ad"/>
    <w:uiPriority w:val="99"/>
    <w:semiHidden/>
    <w:unhideWhenUsed/>
    <w:rsid w:val="005E0E2C"/>
    <w:rPr>
      <w:b/>
      <w:bCs/>
    </w:rPr>
  </w:style>
  <w:style w:type="character" w:customStyle="1" w:styleId="ad">
    <w:name w:val="註解主旨 字元"/>
    <w:link w:val="ac"/>
    <w:uiPriority w:val="99"/>
    <w:semiHidden/>
    <w:rsid w:val="005E0E2C"/>
    <w:rPr>
      <w:rFonts w:ascii="Times New Roman" w:eastAsia="新細明體" w:hAnsi="Times New Roman" w:cs="Times New Roman"/>
      <w:b/>
      <w:bCs/>
      <w:szCs w:val="20"/>
    </w:rPr>
  </w:style>
  <w:style w:type="character" w:customStyle="1" w:styleId="11">
    <w:name w:val="標題 1 字元"/>
    <w:link w:val="10"/>
    <w:uiPriority w:val="99"/>
    <w:rsid w:val="00A3347B"/>
    <w:rPr>
      <w:rFonts w:ascii="標楷體" w:eastAsia="標楷體" w:hAnsi="Arial" w:cs="標楷體"/>
      <w:b/>
      <w:bCs/>
      <w:spacing w:val="10"/>
      <w:kern w:val="52"/>
      <w:sz w:val="36"/>
      <w:szCs w:val="36"/>
    </w:rPr>
  </w:style>
  <w:style w:type="paragraph" w:styleId="HTML">
    <w:name w:val="HTML Preformatted"/>
    <w:basedOn w:val="a"/>
    <w:link w:val="HTML0"/>
    <w:uiPriority w:val="99"/>
    <w:rsid w:val="00A334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color w:val="008000"/>
      <w:kern w:val="0"/>
      <w:sz w:val="20"/>
      <w:lang w:val="x-none" w:eastAsia="x-none"/>
    </w:rPr>
  </w:style>
  <w:style w:type="character" w:customStyle="1" w:styleId="HTML0">
    <w:name w:val="HTML 預設格式 字元"/>
    <w:link w:val="HTML"/>
    <w:uiPriority w:val="99"/>
    <w:rsid w:val="00A3347B"/>
    <w:rPr>
      <w:rFonts w:ascii="細明體" w:eastAsia="細明體" w:hAnsi="Courier New" w:cs="細明體"/>
      <w:color w:val="008000"/>
    </w:rPr>
  </w:style>
  <w:style w:type="paragraph" w:styleId="ae">
    <w:name w:val="Plain Text"/>
    <w:basedOn w:val="a"/>
    <w:link w:val="af"/>
    <w:rsid w:val="00A3347B"/>
    <w:pPr>
      <w:tabs>
        <w:tab w:val="left" w:pos="1077"/>
      </w:tabs>
      <w:spacing w:line="420" w:lineRule="exact"/>
      <w:ind w:left="1077" w:right="57" w:hanging="567"/>
      <w:jc w:val="both"/>
    </w:pPr>
    <w:rPr>
      <w:rFonts w:ascii="Arial" w:hAnsi="Arial"/>
      <w:spacing w:val="24"/>
      <w:szCs w:val="24"/>
      <w:lang w:val="x-none" w:eastAsia="x-none"/>
    </w:rPr>
  </w:style>
  <w:style w:type="character" w:customStyle="1" w:styleId="af">
    <w:name w:val="純文字 字元"/>
    <w:link w:val="ae"/>
    <w:rsid w:val="00A3347B"/>
    <w:rPr>
      <w:rFonts w:ascii="Arial" w:hAnsi="Arial" w:cs="Arial"/>
      <w:spacing w:val="24"/>
      <w:kern w:val="2"/>
      <w:sz w:val="24"/>
      <w:szCs w:val="24"/>
    </w:rPr>
  </w:style>
  <w:style w:type="paragraph" w:customStyle="1" w:styleId="1">
    <w:name w:val="內控1"/>
    <w:basedOn w:val="ae"/>
    <w:rsid w:val="00A3347B"/>
    <w:pPr>
      <w:numPr>
        <w:numId w:val="1"/>
      </w:numPr>
      <w:spacing w:line="400" w:lineRule="exact"/>
    </w:pPr>
  </w:style>
  <w:style w:type="paragraph" w:styleId="af0">
    <w:name w:val="List Paragraph"/>
    <w:basedOn w:val="a"/>
    <w:uiPriority w:val="34"/>
    <w:qFormat/>
    <w:rsid w:val="000D6B17"/>
    <w:pPr>
      <w:ind w:leftChars="200" w:left="480"/>
    </w:pPr>
  </w:style>
  <w:style w:type="table" w:styleId="af1">
    <w:name w:val="Table Grid"/>
    <w:basedOn w:val="a1"/>
    <w:uiPriority w:val="59"/>
    <w:rsid w:val="00206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2</Pages>
  <Words>211</Words>
  <Characters>1207</Characters>
  <Application>Microsoft Office Word</Application>
  <DocSecurity>0</DocSecurity>
  <Lines>10</Lines>
  <Paragraphs>2</Paragraphs>
  <ScaleCrop>false</ScaleCrop>
  <Company/>
  <LinksUpToDate>false</LinksUpToDate>
  <CharactersWithSpaces>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KGI</dc:creator>
  <cp:keywords/>
  <cp:lastModifiedBy>郭忻瑩</cp:lastModifiedBy>
  <cp:revision>26</cp:revision>
  <cp:lastPrinted>2018-07-17T03:11:00Z</cp:lastPrinted>
  <dcterms:created xsi:type="dcterms:W3CDTF">2025-05-04T09:28:00Z</dcterms:created>
  <dcterms:modified xsi:type="dcterms:W3CDTF">2026-03-08T07:31:00Z</dcterms:modified>
</cp:coreProperties>
</file>