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FDD7A" w14:textId="506FCD0C"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4D106D3C" w14:textId="77777777" w:rsidTr="004A29F0">
        <w:trPr>
          <w:tblHeader/>
        </w:trPr>
        <w:tc>
          <w:tcPr>
            <w:tcW w:w="1384" w:type="dxa"/>
            <w:tcBorders>
              <w:top w:val="single" w:sz="12" w:space="0" w:color="auto"/>
              <w:left w:val="single" w:sz="12" w:space="0" w:color="auto"/>
              <w:bottom w:val="single" w:sz="12" w:space="0" w:color="auto"/>
            </w:tcBorders>
          </w:tcPr>
          <w:p w14:paraId="63704638"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6542B552"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4B3308F8"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7FEBE76F"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181A8942"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27F6722D" w14:textId="77777777">
        <w:tc>
          <w:tcPr>
            <w:tcW w:w="1384" w:type="dxa"/>
            <w:vMerge w:val="restart"/>
            <w:tcBorders>
              <w:top w:val="single" w:sz="12" w:space="0" w:color="auto"/>
              <w:left w:val="single" w:sz="12" w:space="0" w:color="auto"/>
            </w:tcBorders>
          </w:tcPr>
          <w:p w14:paraId="0A3B82D9" w14:textId="77777777" w:rsidR="003B3105" w:rsidRPr="00F6439B" w:rsidRDefault="003B3105" w:rsidP="001E533B">
            <w:pPr>
              <w:rPr>
                <w:rFonts w:ascii="新細明體" w:eastAsia="新細明體" w:hAnsi="新細明體"/>
              </w:rPr>
            </w:pPr>
            <w:r>
              <w:rPr>
                <w:rFonts w:ascii="新細明體" w:eastAsia="新細明體" w:hAnsi="新細明體" w:hint="eastAsia"/>
              </w:rPr>
              <w:t>CA-18700</w:t>
            </w:r>
          </w:p>
        </w:tc>
        <w:tc>
          <w:tcPr>
            <w:tcW w:w="1276" w:type="dxa"/>
            <w:vMerge w:val="restart"/>
            <w:tcBorders>
              <w:top w:val="single" w:sz="12" w:space="0" w:color="auto"/>
            </w:tcBorders>
          </w:tcPr>
          <w:p w14:paraId="28176F76" w14:textId="77777777" w:rsidR="003B3105" w:rsidRPr="00F6439B" w:rsidRDefault="003B3105" w:rsidP="001E533B">
            <w:pPr>
              <w:rPr>
                <w:rFonts w:ascii="新細明體" w:eastAsia="新細明體" w:hAnsi="新細明體"/>
              </w:rPr>
            </w:pPr>
            <w:r>
              <w:rPr>
                <w:rFonts w:ascii="新細明體" w:eastAsia="新細明體" w:hAnsi="新細明體" w:hint="eastAsia"/>
              </w:rPr>
              <w:t>證券商兼營顧問業務</w:t>
            </w:r>
          </w:p>
        </w:tc>
        <w:tc>
          <w:tcPr>
            <w:tcW w:w="5386" w:type="dxa"/>
            <w:tcBorders>
              <w:top w:val="single" w:sz="12" w:space="0" w:color="auto"/>
              <w:bottom w:val="nil"/>
            </w:tcBorders>
          </w:tcPr>
          <w:p w14:paraId="261BD74A"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151EE80F"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5DB94770"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配合期貨顧問事業管理規則第23條修正，刪除(三)4.文字。</w:t>
            </w:r>
          </w:p>
        </w:tc>
      </w:tr>
      <w:tr w:rsidR="003B3105" w:rsidRPr="00F6439B" w14:paraId="160AF402" w14:textId="77777777">
        <w:tc>
          <w:tcPr>
            <w:tcW w:w="1384" w:type="dxa"/>
            <w:vMerge/>
            <w:tcBorders>
              <w:left w:val="single" w:sz="12" w:space="0" w:color="auto"/>
            </w:tcBorders>
          </w:tcPr>
          <w:p w14:paraId="3486DDB3" w14:textId="77777777" w:rsidR="003B3105" w:rsidRDefault="003B3105" w:rsidP="001E533B">
            <w:pPr>
              <w:rPr>
                <w:rFonts w:ascii="新細明體" w:eastAsia="新細明體" w:hAnsi="新細明體"/>
              </w:rPr>
            </w:pPr>
          </w:p>
        </w:tc>
        <w:tc>
          <w:tcPr>
            <w:tcW w:w="1276" w:type="dxa"/>
            <w:vMerge/>
          </w:tcPr>
          <w:p w14:paraId="34F3DC18" w14:textId="77777777" w:rsidR="003B3105" w:rsidRDefault="003B3105" w:rsidP="001E533B">
            <w:pPr>
              <w:rPr>
                <w:rFonts w:ascii="新細明體" w:eastAsia="新細明體" w:hAnsi="新細明體"/>
              </w:rPr>
            </w:pPr>
          </w:p>
        </w:tc>
        <w:tc>
          <w:tcPr>
            <w:tcW w:w="5386" w:type="dxa"/>
            <w:tcBorders>
              <w:top w:val="nil"/>
              <w:bottom w:val="nil"/>
            </w:tcBorders>
          </w:tcPr>
          <w:p w14:paraId="0A4F43D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公司經主管機關之許可，得兼營證券投資顧問或期貨顧問業務(以下簡稱顧問業務)，並以主管機關核可之種類範圍為限。</w:t>
            </w:r>
          </w:p>
        </w:tc>
        <w:tc>
          <w:tcPr>
            <w:tcW w:w="5387" w:type="dxa"/>
            <w:tcBorders>
              <w:top w:val="nil"/>
              <w:bottom w:val="nil"/>
            </w:tcBorders>
          </w:tcPr>
          <w:p w14:paraId="1DE933C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公司經主管機關之許可，得兼營證券投資顧問或期貨顧問業務(以下簡稱顧問業務)，並以主管機關核可之種類範圍為限。</w:t>
            </w:r>
          </w:p>
        </w:tc>
        <w:tc>
          <w:tcPr>
            <w:tcW w:w="2023" w:type="dxa"/>
            <w:vMerge/>
            <w:tcBorders>
              <w:right w:val="single" w:sz="12" w:space="0" w:color="auto"/>
            </w:tcBorders>
          </w:tcPr>
          <w:p w14:paraId="1674B3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E542C8" w14:textId="77777777">
        <w:tc>
          <w:tcPr>
            <w:tcW w:w="1384" w:type="dxa"/>
            <w:vMerge/>
            <w:tcBorders>
              <w:left w:val="single" w:sz="12" w:space="0" w:color="auto"/>
            </w:tcBorders>
          </w:tcPr>
          <w:p w14:paraId="3D3FB3B7" w14:textId="77777777" w:rsidR="003B3105" w:rsidRDefault="003B3105" w:rsidP="001E533B">
            <w:pPr>
              <w:rPr>
                <w:rFonts w:ascii="新細明體" w:eastAsia="新細明體" w:hAnsi="新細明體"/>
              </w:rPr>
            </w:pPr>
          </w:p>
        </w:tc>
        <w:tc>
          <w:tcPr>
            <w:tcW w:w="1276" w:type="dxa"/>
            <w:vMerge/>
          </w:tcPr>
          <w:p w14:paraId="4FDE35CB" w14:textId="77777777" w:rsidR="003B3105" w:rsidRDefault="003B3105" w:rsidP="001E533B">
            <w:pPr>
              <w:rPr>
                <w:rFonts w:ascii="新細明體" w:eastAsia="新細明體" w:hAnsi="新細明體"/>
              </w:rPr>
            </w:pPr>
          </w:p>
        </w:tc>
        <w:tc>
          <w:tcPr>
            <w:tcW w:w="5386" w:type="dxa"/>
            <w:tcBorders>
              <w:top w:val="nil"/>
              <w:bottom w:val="nil"/>
            </w:tcBorders>
          </w:tcPr>
          <w:p w14:paraId="1AC27D1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(一)證券商兼營顧問業務整體規範：</w:t>
            </w:r>
          </w:p>
        </w:tc>
        <w:tc>
          <w:tcPr>
            <w:tcW w:w="5387" w:type="dxa"/>
            <w:tcBorders>
              <w:top w:val="nil"/>
              <w:bottom w:val="nil"/>
            </w:tcBorders>
          </w:tcPr>
          <w:p w14:paraId="3244EA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(一)證券商兼營顧問業務整體規範：</w:t>
            </w:r>
          </w:p>
        </w:tc>
        <w:tc>
          <w:tcPr>
            <w:tcW w:w="2023" w:type="dxa"/>
            <w:vMerge/>
            <w:tcBorders>
              <w:right w:val="single" w:sz="12" w:space="0" w:color="auto"/>
            </w:tcBorders>
          </w:tcPr>
          <w:p w14:paraId="18E86E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EAAB8B" w14:textId="77777777">
        <w:tc>
          <w:tcPr>
            <w:tcW w:w="1384" w:type="dxa"/>
            <w:vMerge/>
            <w:tcBorders>
              <w:left w:val="single" w:sz="12" w:space="0" w:color="auto"/>
            </w:tcBorders>
          </w:tcPr>
          <w:p w14:paraId="213FB14C" w14:textId="77777777" w:rsidR="003B3105" w:rsidRDefault="003B3105" w:rsidP="001E533B">
            <w:pPr>
              <w:rPr>
                <w:rFonts w:ascii="新細明體" w:eastAsia="新細明體" w:hAnsi="新細明體"/>
              </w:rPr>
            </w:pPr>
          </w:p>
        </w:tc>
        <w:tc>
          <w:tcPr>
            <w:tcW w:w="1276" w:type="dxa"/>
            <w:vMerge/>
          </w:tcPr>
          <w:p w14:paraId="238184C2" w14:textId="77777777" w:rsidR="003B3105" w:rsidRDefault="003B3105" w:rsidP="001E533B">
            <w:pPr>
              <w:rPr>
                <w:rFonts w:ascii="新細明體" w:eastAsia="新細明體" w:hAnsi="新細明體"/>
              </w:rPr>
            </w:pPr>
          </w:p>
        </w:tc>
        <w:tc>
          <w:tcPr>
            <w:tcW w:w="5386" w:type="dxa"/>
            <w:tcBorders>
              <w:top w:val="nil"/>
              <w:bottom w:val="nil"/>
            </w:tcBorders>
          </w:tcPr>
          <w:p w14:paraId="3ACEB9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1.顧問業務部門所提供之研究報告，該部門以外之人員不得參與擬訂或複核。</w:t>
            </w:r>
          </w:p>
        </w:tc>
        <w:tc>
          <w:tcPr>
            <w:tcW w:w="5387" w:type="dxa"/>
            <w:tcBorders>
              <w:top w:val="nil"/>
              <w:bottom w:val="nil"/>
            </w:tcBorders>
          </w:tcPr>
          <w:p w14:paraId="27A6B8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1.顧問業務部門所提供之研究報告，該部門以外之人員不得參與擬訂或複核。</w:t>
            </w:r>
          </w:p>
        </w:tc>
        <w:tc>
          <w:tcPr>
            <w:tcW w:w="2023" w:type="dxa"/>
            <w:vMerge/>
            <w:tcBorders>
              <w:right w:val="single" w:sz="12" w:space="0" w:color="auto"/>
            </w:tcBorders>
          </w:tcPr>
          <w:p w14:paraId="41FFF8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39D08A" w14:textId="77777777">
        <w:tc>
          <w:tcPr>
            <w:tcW w:w="1384" w:type="dxa"/>
            <w:vMerge/>
            <w:tcBorders>
              <w:left w:val="single" w:sz="12" w:space="0" w:color="auto"/>
            </w:tcBorders>
          </w:tcPr>
          <w:p w14:paraId="2CC3B895" w14:textId="77777777" w:rsidR="003B3105" w:rsidRDefault="003B3105" w:rsidP="001E533B">
            <w:pPr>
              <w:rPr>
                <w:rFonts w:ascii="新細明體" w:eastAsia="新細明體" w:hAnsi="新細明體"/>
              </w:rPr>
            </w:pPr>
          </w:p>
        </w:tc>
        <w:tc>
          <w:tcPr>
            <w:tcW w:w="1276" w:type="dxa"/>
            <w:vMerge/>
          </w:tcPr>
          <w:p w14:paraId="6B8CF1BC" w14:textId="77777777" w:rsidR="003B3105" w:rsidRDefault="003B3105" w:rsidP="001E533B">
            <w:pPr>
              <w:rPr>
                <w:rFonts w:ascii="新細明體" w:eastAsia="新細明體" w:hAnsi="新細明體"/>
              </w:rPr>
            </w:pPr>
          </w:p>
        </w:tc>
        <w:tc>
          <w:tcPr>
            <w:tcW w:w="5386" w:type="dxa"/>
            <w:tcBorders>
              <w:top w:val="nil"/>
              <w:bottom w:val="nil"/>
            </w:tcBorders>
          </w:tcPr>
          <w:p w14:paraId="1922AF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顧問業務部門所提供之研究報告經公開後於市場交易時間開始二小時內，除主管機關另有規定外，顧問業務部門以外之部門及人員不得進行該研究報告所建議標的之買賣；另於市場交易時間內公開之研究報告，應於次一營業日市場交易時間開始二小時後方得進行買賣。至於顧問業務部門本身之人員非依規定不得洩漏對客戶所提供之研究分析建議及對研究報告所建議標的之買賣等規範，應依證券或期貨顧問事業之相關規範辦理。</w:t>
            </w:r>
          </w:p>
        </w:tc>
        <w:tc>
          <w:tcPr>
            <w:tcW w:w="5387" w:type="dxa"/>
            <w:tcBorders>
              <w:top w:val="nil"/>
              <w:bottom w:val="nil"/>
            </w:tcBorders>
          </w:tcPr>
          <w:p w14:paraId="62BAA61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顧問業務部門所提供之研究報告經公開後於市場交易時間開始二小時內，除主管機關另有規定外，顧問業務部門以外之部門及人員不得進行該研究報告所建議標的之買賣；另於市場交易時間內公開之研究報告，應於次一營業日市場交易時間開始二小時後方得進行買賣。至於顧問業務部門本身之人員非依規定不得洩漏對客戶所提供之研究分析建議及對研究報告所建議標的之買賣等規範，應依證券或期貨顧問事業之相關規範辦理。</w:t>
            </w:r>
          </w:p>
        </w:tc>
        <w:tc>
          <w:tcPr>
            <w:tcW w:w="2023" w:type="dxa"/>
            <w:vMerge/>
            <w:tcBorders>
              <w:right w:val="single" w:sz="12" w:space="0" w:color="auto"/>
            </w:tcBorders>
          </w:tcPr>
          <w:p w14:paraId="2D8382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3D45E5" w14:textId="77777777">
        <w:tc>
          <w:tcPr>
            <w:tcW w:w="1384" w:type="dxa"/>
            <w:vMerge/>
            <w:tcBorders>
              <w:left w:val="single" w:sz="12" w:space="0" w:color="auto"/>
            </w:tcBorders>
          </w:tcPr>
          <w:p w14:paraId="2A020ADC" w14:textId="77777777" w:rsidR="003B3105" w:rsidRDefault="003B3105" w:rsidP="001E533B">
            <w:pPr>
              <w:rPr>
                <w:rFonts w:ascii="新細明體" w:eastAsia="新細明體" w:hAnsi="新細明體"/>
              </w:rPr>
            </w:pPr>
          </w:p>
        </w:tc>
        <w:tc>
          <w:tcPr>
            <w:tcW w:w="1276" w:type="dxa"/>
            <w:vMerge/>
          </w:tcPr>
          <w:p w14:paraId="2B6773C3" w14:textId="77777777" w:rsidR="003B3105" w:rsidRDefault="003B3105" w:rsidP="001E533B">
            <w:pPr>
              <w:rPr>
                <w:rFonts w:ascii="新細明體" w:eastAsia="新細明體" w:hAnsi="新細明體"/>
              </w:rPr>
            </w:pPr>
          </w:p>
        </w:tc>
        <w:tc>
          <w:tcPr>
            <w:tcW w:w="5386" w:type="dxa"/>
            <w:tcBorders>
              <w:top w:val="nil"/>
              <w:bottom w:val="nil"/>
            </w:tcBorders>
          </w:tcPr>
          <w:p w14:paraId="3AD0D1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3.顧問業務部門之人員報酬或獎勵，不應與其他部門績效直接關聯。</w:t>
            </w:r>
          </w:p>
        </w:tc>
        <w:tc>
          <w:tcPr>
            <w:tcW w:w="5387" w:type="dxa"/>
            <w:tcBorders>
              <w:top w:val="nil"/>
              <w:bottom w:val="nil"/>
            </w:tcBorders>
          </w:tcPr>
          <w:p w14:paraId="780267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3.顧問業務部門之人員報酬或獎勵，不應與其他部門績效直接關聯。</w:t>
            </w:r>
          </w:p>
        </w:tc>
        <w:tc>
          <w:tcPr>
            <w:tcW w:w="2023" w:type="dxa"/>
            <w:vMerge/>
            <w:tcBorders>
              <w:right w:val="single" w:sz="12" w:space="0" w:color="auto"/>
            </w:tcBorders>
          </w:tcPr>
          <w:p w14:paraId="0F5BD6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BEBEAF" w14:textId="77777777">
        <w:tc>
          <w:tcPr>
            <w:tcW w:w="1384" w:type="dxa"/>
            <w:vMerge/>
            <w:tcBorders>
              <w:left w:val="single" w:sz="12" w:space="0" w:color="auto"/>
            </w:tcBorders>
          </w:tcPr>
          <w:p w14:paraId="36AF5488" w14:textId="77777777" w:rsidR="003B3105" w:rsidRDefault="003B3105" w:rsidP="001E533B">
            <w:pPr>
              <w:rPr>
                <w:rFonts w:ascii="新細明體" w:eastAsia="新細明體" w:hAnsi="新細明體"/>
              </w:rPr>
            </w:pPr>
          </w:p>
        </w:tc>
        <w:tc>
          <w:tcPr>
            <w:tcW w:w="1276" w:type="dxa"/>
            <w:vMerge/>
          </w:tcPr>
          <w:p w14:paraId="7F4AC649" w14:textId="77777777" w:rsidR="003B3105" w:rsidRDefault="003B3105" w:rsidP="001E533B">
            <w:pPr>
              <w:rPr>
                <w:rFonts w:ascii="新細明體" w:eastAsia="新細明體" w:hAnsi="新細明體"/>
              </w:rPr>
            </w:pPr>
          </w:p>
        </w:tc>
        <w:tc>
          <w:tcPr>
            <w:tcW w:w="5386" w:type="dxa"/>
            <w:tcBorders>
              <w:top w:val="nil"/>
              <w:bottom w:val="nil"/>
            </w:tcBorders>
          </w:tcPr>
          <w:p w14:paraId="72A5D9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4.承銷部門承銷有價證券，自與公開發行公司簽訂輔導契約至終止輔導，或與上市上櫃公司簽訂承銷契約至繳款截止日之期間，顧問業務部門不得建議該有價證券及其相關之衍生性金融商品之買賣。</w:t>
            </w:r>
          </w:p>
        </w:tc>
        <w:tc>
          <w:tcPr>
            <w:tcW w:w="5387" w:type="dxa"/>
            <w:tcBorders>
              <w:top w:val="nil"/>
              <w:bottom w:val="nil"/>
            </w:tcBorders>
          </w:tcPr>
          <w:p w14:paraId="5F921A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4.承銷部門承銷有價證券，自與公開發行公司簽訂輔導契約至終止輔導，或與上市上櫃公司簽訂承銷契約至繳款截止日之期間，顧問業務部門不得建議該有價證券及其相關之衍生性金融商品之買賣。</w:t>
            </w:r>
          </w:p>
        </w:tc>
        <w:tc>
          <w:tcPr>
            <w:tcW w:w="2023" w:type="dxa"/>
            <w:vMerge/>
            <w:tcBorders>
              <w:right w:val="single" w:sz="12" w:space="0" w:color="auto"/>
            </w:tcBorders>
          </w:tcPr>
          <w:p w14:paraId="02FEA2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092A75" w14:textId="77777777">
        <w:tc>
          <w:tcPr>
            <w:tcW w:w="1384" w:type="dxa"/>
            <w:vMerge/>
            <w:tcBorders>
              <w:left w:val="single" w:sz="12" w:space="0" w:color="auto"/>
            </w:tcBorders>
          </w:tcPr>
          <w:p w14:paraId="19A6416E" w14:textId="77777777" w:rsidR="003B3105" w:rsidRDefault="003B3105" w:rsidP="001E533B">
            <w:pPr>
              <w:rPr>
                <w:rFonts w:ascii="新細明體" w:eastAsia="新細明體" w:hAnsi="新細明體"/>
              </w:rPr>
            </w:pPr>
          </w:p>
        </w:tc>
        <w:tc>
          <w:tcPr>
            <w:tcW w:w="1276" w:type="dxa"/>
            <w:vMerge/>
          </w:tcPr>
          <w:p w14:paraId="1A28DB20" w14:textId="77777777" w:rsidR="003B3105" w:rsidRDefault="003B3105" w:rsidP="001E533B">
            <w:pPr>
              <w:rPr>
                <w:rFonts w:ascii="新細明體" w:eastAsia="新細明體" w:hAnsi="新細明體"/>
              </w:rPr>
            </w:pPr>
          </w:p>
        </w:tc>
        <w:tc>
          <w:tcPr>
            <w:tcW w:w="5386" w:type="dxa"/>
            <w:tcBorders>
              <w:top w:val="nil"/>
              <w:bottom w:val="nil"/>
            </w:tcBorders>
          </w:tcPr>
          <w:p w14:paraId="2C6B1D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5.承銷部門因包銷所取得之有價證券，依規定未處理完竣前，顧問業務部門不得建議買進該有價證券。</w:t>
            </w:r>
          </w:p>
        </w:tc>
        <w:tc>
          <w:tcPr>
            <w:tcW w:w="5387" w:type="dxa"/>
            <w:tcBorders>
              <w:top w:val="nil"/>
              <w:bottom w:val="nil"/>
            </w:tcBorders>
          </w:tcPr>
          <w:p w14:paraId="2444D3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5.承銷部門因包銷所取得之有價證券，依規定未處理完竣前，顧問業務部門不得建議買進該有價證券。</w:t>
            </w:r>
          </w:p>
        </w:tc>
        <w:tc>
          <w:tcPr>
            <w:tcW w:w="2023" w:type="dxa"/>
            <w:vMerge/>
            <w:tcBorders>
              <w:right w:val="single" w:sz="12" w:space="0" w:color="auto"/>
            </w:tcBorders>
          </w:tcPr>
          <w:p w14:paraId="7F6E21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A3DCE3" w14:textId="77777777">
        <w:tc>
          <w:tcPr>
            <w:tcW w:w="1384" w:type="dxa"/>
            <w:vMerge/>
            <w:tcBorders>
              <w:left w:val="single" w:sz="12" w:space="0" w:color="auto"/>
            </w:tcBorders>
          </w:tcPr>
          <w:p w14:paraId="5DAEB26E" w14:textId="77777777" w:rsidR="003B3105" w:rsidRDefault="003B3105" w:rsidP="001E533B">
            <w:pPr>
              <w:rPr>
                <w:rFonts w:ascii="新細明體" w:eastAsia="新細明體" w:hAnsi="新細明體"/>
              </w:rPr>
            </w:pPr>
          </w:p>
        </w:tc>
        <w:tc>
          <w:tcPr>
            <w:tcW w:w="1276" w:type="dxa"/>
            <w:vMerge/>
          </w:tcPr>
          <w:p w14:paraId="11FFFD55" w14:textId="77777777" w:rsidR="003B3105" w:rsidRDefault="003B3105" w:rsidP="001E533B">
            <w:pPr>
              <w:rPr>
                <w:rFonts w:ascii="新細明體" w:eastAsia="新細明體" w:hAnsi="新細明體"/>
              </w:rPr>
            </w:pPr>
          </w:p>
        </w:tc>
        <w:tc>
          <w:tcPr>
            <w:tcW w:w="5386" w:type="dxa"/>
            <w:tcBorders>
              <w:top w:val="nil"/>
              <w:bottom w:val="nil"/>
            </w:tcBorders>
          </w:tcPr>
          <w:p w14:paraId="24A651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6.經紀部門轉介客戶及佣金計算作業：</w:t>
            </w:r>
          </w:p>
        </w:tc>
        <w:tc>
          <w:tcPr>
            <w:tcW w:w="5387" w:type="dxa"/>
            <w:tcBorders>
              <w:top w:val="nil"/>
              <w:bottom w:val="nil"/>
            </w:tcBorders>
          </w:tcPr>
          <w:p w14:paraId="1B8E17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6.經紀部門轉介客戶及佣金計算作業：</w:t>
            </w:r>
          </w:p>
        </w:tc>
        <w:tc>
          <w:tcPr>
            <w:tcW w:w="2023" w:type="dxa"/>
            <w:vMerge/>
            <w:tcBorders>
              <w:right w:val="single" w:sz="12" w:space="0" w:color="auto"/>
            </w:tcBorders>
          </w:tcPr>
          <w:p w14:paraId="35260B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8C53B8" w14:textId="77777777">
        <w:tc>
          <w:tcPr>
            <w:tcW w:w="1384" w:type="dxa"/>
            <w:vMerge/>
            <w:tcBorders>
              <w:left w:val="single" w:sz="12" w:space="0" w:color="auto"/>
            </w:tcBorders>
          </w:tcPr>
          <w:p w14:paraId="1C5DB1E1" w14:textId="77777777" w:rsidR="003B3105" w:rsidRDefault="003B3105" w:rsidP="001E533B">
            <w:pPr>
              <w:rPr>
                <w:rFonts w:ascii="新細明體" w:eastAsia="新細明體" w:hAnsi="新細明體"/>
              </w:rPr>
            </w:pPr>
          </w:p>
        </w:tc>
        <w:tc>
          <w:tcPr>
            <w:tcW w:w="1276" w:type="dxa"/>
            <w:vMerge/>
          </w:tcPr>
          <w:p w14:paraId="517DCE2B" w14:textId="77777777" w:rsidR="003B3105" w:rsidRDefault="003B3105" w:rsidP="001E533B">
            <w:pPr>
              <w:rPr>
                <w:rFonts w:ascii="新細明體" w:eastAsia="新細明體" w:hAnsi="新細明體"/>
              </w:rPr>
            </w:pPr>
          </w:p>
        </w:tc>
        <w:tc>
          <w:tcPr>
            <w:tcW w:w="5386" w:type="dxa"/>
            <w:tcBorders>
              <w:top w:val="nil"/>
              <w:bottom w:val="nil"/>
            </w:tcBorders>
          </w:tcPr>
          <w:p w14:paraId="625B21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(1)經紀部門轉介客戶至顧問業務部門，應避免發生利益衝突之情形，公司並應訂定轉介客戶之作業程序。</w:t>
            </w:r>
          </w:p>
        </w:tc>
        <w:tc>
          <w:tcPr>
            <w:tcW w:w="5387" w:type="dxa"/>
            <w:tcBorders>
              <w:top w:val="nil"/>
              <w:bottom w:val="nil"/>
            </w:tcBorders>
          </w:tcPr>
          <w:p w14:paraId="5D2AFD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(1)經紀部門轉介客戶至顧問業務部門，應避免發生利益衝突之情形，公司並應訂定轉介客戶之作業程序。</w:t>
            </w:r>
          </w:p>
        </w:tc>
        <w:tc>
          <w:tcPr>
            <w:tcW w:w="2023" w:type="dxa"/>
            <w:vMerge/>
            <w:tcBorders>
              <w:right w:val="single" w:sz="12" w:space="0" w:color="auto"/>
            </w:tcBorders>
          </w:tcPr>
          <w:p w14:paraId="553998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7CED32" w14:textId="77777777">
        <w:tc>
          <w:tcPr>
            <w:tcW w:w="1384" w:type="dxa"/>
            <w:vMerge/>
            <w:tcBorders>
              <w:left w:val="single" w:sz="12" w:space="0" w:color="auto"/>
            </w:tcBorders>
          </w:tcPr>
          <w:p w14:paraId="2B747783" w14:textId="77777777" w:rsidR="003B3105" w:rsidRDefault="003B3105" w:rsidP="001E533B">
            <w:pPr>
              <w:rPr>
                <w:rFonts w:ascii="新細明體" w:eastAsia="新細明體" w:hAnsi="新細明體"/>
              </w:rPr>
            </w:pPr>
          </w:p>
        </w:tc>
        <w:tc>
          <w:tcPr>
            <w:tcW w:w="1276" w:type="dxa"/>
            <w:vMerge/>
          </w:tcPr>
          <w:p w14:paraId="2E19A2E0" w14:textId="77777777" w:rsidR="003B3105" w:rsidRDefault="003B3105" w:rsidP="001E533B">
            <w:pPr>
              <w:rPr>
                <w:rFonts w:ascii="新細明體" w:eastAsia="新細明體" w:hAnsi="新細明體"/>
              </w:rPr>
            </w:pPr>
          </w:p>
        </w:tc>
        <w:tc>
          <w:tcPr>
            <w:tcW w:w="5386" w:type="dxa"/>
            <w:tcBorders>
              <w:top w:val="nil"/>
              <w:bottom w:val="nil"/>
            </w:tcBorders>
          </w:tcPr>
          <w:p w14:paraId="288A2D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(2)經紀部門轉介客戶至顧問業務部門，或顧問業務部門客戶至經紀部門委託買賣，部門間如涉有佣金或類似佣金性質之獎金分配情形者，公司應訂定佣金計算標準。</w:t>
            </w:r>
          </w:p>
        </w:tc>
        <w:tc>
          <w:tcPr>
            <w:tcW w:w="5387" w:type="dxa"/>
            <w:tcBorders>
              <w:top w:val="nil"/>
              <w:bottom w:val="nil"/>
            </w:tcBorders>
          </w:tcPr>
          <w:p w14:paraId="57FC09C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(2)經紀部門轉介客戶至顧問業務部門，或顧問業務部門客戶至經紀部門委託買賣，部門間如涉有佣金或類似佣金性質之獎金分配情形者，公司應訂定佣金計算標準。</w:t>
            </w:r>
          </w:p>
        </w:tc>
        <w:tc>
          <w:tcPr>
            <w:tcW w:w="2023" w:type="dxa"/>
            <w:vMerge/>
            <w:tcBorders>
              <w:right w:val="single" w:sz="12" w:space="0" w:color="auto"/>
            </w:tcBorders>
          </w:tcPr>
          <w:p w14:paraId="7B0FF6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1C4F2A" w14:textId="77777777">
        <w:tc>
          <w:tcPr>
            <w:tcW w:w="1384" w:type="dxa"/>
            <w:vMerge/>
            <w:tcBorders>
              <w:left w:val="single" w:sz="12" w:space="0" w:color="auto"/>
            </w:tcBorders>
          </w:tcPr>
          <w:p w14:paraId="09A46A6A" w14:textId="77777777" w:rsidR="003B3105" w:rsidRDefault="003B3105" w:rsidP="001E533B">
            <w:pPr>
              <w:rPr>
                <w:rFonts w:ascii="新細明體" w:eastAsia="新細明體" w:hAnsi="新細明體"/>
              </w:rPr>
            </w:pPr>
          </w:p>
        </w:tc>
        <w:tc>
          <w:tcPr>
            <w:tcW w:w="1276" w:type="dxa"/>
            <w:vMerge/>
          </w:tcPr>
          <w:p w14:paraId="0393106B" w14:textId="77777777" w:rsidR="003B3105" w:rsidRDefault="003B3105" w:rsidP="001E533B">
            <w:pPr>
              <w:rPr>
                <w:rFonts w:ascii="新細明體" w:eastAsia="新細明體" w:hAnsi="新細明體"/>
              </w:rPr>
            </w:pPr>
          </w:p>
        </w:tc>
        <w:tc>
          <w:tcPr>
            <w:tcW w:w="5386" w:type="dxa"/>
            <w:tcBorders>
              <w:top w:val="nil"/>
              <w:bottom w:val="nil"/>
            </w:tcBorders>
          </w:tcPr>
          <w:p w14:paraId="3BE99D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兼營顧問業務，除應依照證券投資顧問事業有關場地及設備之規範或全國期貨商業同業公會聯合會訂定之場地及設備標準規定辦理外，總公司之顧問業務部門應具備獨立並與其他部門區隔之辦公處所，並應建立門禁管制及留存進出紀錄備查。</w:t>
            </w:r>
          </w:p>
        </w:tc>
        <w:tc>
          <w:tcPr>
            <w:tcW w:w="5387" w:type="dxa"/>
            <w:tcBorders>
              <w:top w:val="nil"/>
              <w:bottom w:val="nil"/>
            </w:tcBorders>
          </w:tcPr>
          <w:p w14:paraId="0C43A6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兼營顧問業務，除應依照證券投資顧問事業有關場地及設備之規範或全國期貨商業同業公會聯合會訂定之場地及設備標準規定辦理外，總公司之顧問業務部門應具備獨立並與其他部門區隔之辦公處所，並應建立門禁管制及留存進出紀錄備查。</w:t>
            </w:r>
          </w:p>
        </w:tc>
        <w:tc>
          <w:tcPr>
            <w:tcW w:w="2023" w:type="dxa"/>
            <w:vMerge/>
            <w:tcBorders>
              <w:right w:val="single" w:sz="12" w:space="0" w:color="auto"/>
            </w:tcBorders>
          </w:tcPr>
          <w:p w14:paraId="1A61EF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1A3793" w14:textId="77777777">
        <w:tc>
          <w:tcPr>
            <w:tcW w:w="1384" w:type="dxa"/>
            <w:vMerge/>
            <w:tcBorders>
              <w:left w:val="single" w:sz="12" w:space="0" w:color="auto"/>
            </w:tcBorders>
          </w:tcPr>
          <w:p w14:paraId="6B15D3C0" w14:textId="77777777" w:rsidR="003B3105" w:rsidRDefault="003B3105" w:rsidP="001E533B">
            <w:pPr>
              <w:rPr>
                <w:rFonts w:ascii="新細明體" w:eastAsia="新細明體" w:hAnsi="新細明體"/>
              </w:rPr>
            </w:pPr>
          </w:p>
        </w:tc>
        <w:tc>
          <w:tcPr>
            <w:tcW w:w="1276" w:type="dxa"/>
            <w:vMerge/>
          </w:tcPr>
          <w:p w14:paraId="3F695041" w14:textId="77777777" w:rsidR="003B3105" w:rsidRDefault="003B3105" w:rsidP="001E533B">
            <w:pPr>
              <w:rPr>
                <w:rFonts w:ascii="新細明體" w:eastAsia="新細明體" w:hAnsi="新細明體"/>
              </w:rPr>
            </w:pPr>
          </w:p>
        </w:tc>
        <w:tc>
          <w:tcPr>
            <w:tcW w:w="5386" w:type="dxa"/>
            <w:tcBorders>
              <w:top w:val="nil"/>
              <w:bottom w:val="nil"/>
            </w:tcBorders>
          </w:tcPr>
          <w:p w14:paraId="4638AF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(二)證券商兼營證券投資顧問業務規範：</w:t>
            </w:r>
          </w:p>
        </w:tc>
        <w:tc>
          <w:tcPr>
            <w:tcW w:w="5387" w:type="dxa"/>
            <w:tcBorders>
              <w:top w:val="nil"/>
              <w:bottom w:val="nil"/>
            </w:tcBorders>
          </w:tcPr>
          <w:p w14:paraId="07BED05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(二)證券商兼營證券投資顧問業務規範：</w:t>
            </w:r>
          </w:p>
        </w:tc>
        <w:tc>
          <w:tcPr>
            <w:tcW w:w="2023" w:type="dxa"/>
            <w:vMerge/>
            <w:tcBorders>
              <w:right w:val="single" w:sz="12" w:space="0" w:color="auto"/>
            </w:tcBorders>
          </w:tcPr>
          <w:p w14:paraId="3E4AFE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A0D774" w14:textId="77777777">
        <w:tc>
          <w:tcPr>
            <w:tcW w:w="1384" w:type="dxa"/>
            <w:vMerge/>
            <w:tcBorders>
              <w:left w:val="single" w:sz="12" w:space="0" w:color="auto"/>
            </w:tcBorders>
          </w:tcPr>
          <w:p w14:paraId="2ED2E9BB" w14:textId="77777777" w:rsidR="003B3105" w:rsidRDefault="003B3105" w:rsidP="001E533B">
            <w:pPr>
              <w:rPr>
                <w:rFonts w:ascii="新細明體" w:eastAsia="新細明體" w:hAnsi="新細明體"/>
              </w:rPr>
            </w:pPr>
          </w:p>
        </w:tc>
        <w:tc>
          <w:tcPr>
            <w:tcW w:w="1276" w:type="dxa"/>
            <w:vMerge/>
          </w:tcPr>
          <w:p w14:paraId="6C5D70EA" w14:textId="77777777" w:rsidR="003B3105" w:rsidRDefault="003B3105" w:rsidP="001E533B">
            <w:pPr>
              <w:rPr>
                <w:rFonts w:ascii="新細明體" w:eastAsia="新細明體" w:hAnsi="新細明體"/>
              </w:rPr>
            </w:pPr>
          </w:p>
        </w:tc>
        <w:tc>
          <w:tcPr>
            <w:tcW w:w="5386" w:type="dxa"/>
            <w:tcBorders>
              <w:top w:val="nil"/>
              <w:bottom w:val="nil"/>
            </w:tcBorders>
          </w:tcPr>
          <w:p w14:paraId="57C1B3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兼營證券投資顧問業務者，總公司應設獨立專責顧問部門，並指派專責部門主管及業務人員辦理之。顧問部門之設置，應依業務規模、經營情況及內部控制之管理需要，配置適足、適任之經理人及業務人員，除內部稽核人員得由證券商部門登記之內部稽核人員兼任外，</w:t>
            </w:r>
            <w:r>
              <w:rPr>
                <w:rFonts w:ascii="新細明體" w:eastAsia="新細明體" w:hAnsi="新細明體" w:cs="新細明體" w:hint="eastAsia"/>
              </w:rPr>
              <w:lastRenderedPageBreak/>
              <w:t>應符合「證券投資顧問事業負責人與業務人員管理規則」規定之資格條件及登錄規定，並不得辦理專責顧問部門以外之業務或由非登錄專責顧問部門之業務人員兼辦；分公司部分，得由總公司指派專責顧問部門符合資格條件之業務人員至分公司從事證券投資顧問業務。</w:t>
            </w:r>
          </w:p>
        </w:tc>
        <w:tc>
          <w:tcPr>
            <w:tcW w:w="5387" w:type="dxa"/>
            <w:tcBorders>
              <w:top w:val="nil"/>
              <w:bottom w:val="nil"/>
            </w:tcBorders>
          </w:tcPr>
          <w:p w14:paraId="3D1E5D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兼營證券投資顧問業務者，總公司應設獨立專責顧問部門，並指派專責部門主管及業務人員辦理之。顧問部門之設置，應依業務規模、經營情況及內部控制之管理需要，配置適足、適任之經理人及業務人員，除內部稽核人員得由證券商部門登記之內部稽核人員兼任外，</w:t>
            </w:r>
            <w:r>
              <w:rPr>
                <w:rFonts w:ascii="新細明體" w:eastAsia="新細明體" w:hAnsi="新細明體" w:cs="新細明體" w:hint="eastAsia"/>
              </w:rPr>
              <w:lastRenderedPageBreak/>
              <w:t>應符合「證券投資顧問事業負責人與業務人員管理規則」規定之資格條件及登錄規定，並不得辦理專責顧問部門以外之業務或由非登錄專責顧問部門之業務人員兼辦；分公司部分，得由總公司指派專責顧問部門符合資格條件之業務人員至分公司從事證券投資顧問業務。</w:t>
            </w:r>
          </w:p>
        </w:tc>
        <w:tc>
          <w:tcPr>
            <w:tcW w:w="2023" w:type="dxa"/>
            <w:vMerge/>
            <w:tcBorders>
              <w:right w:val="single" w:sz="12" w:space="0" w:color="auto"/>
            </w:tcBorders>
          </w:tcPr>
          <w:p w14:paraId="50F15D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18C56B" w14:textId="77777777">
        <w:tc>
          <w:tcPr>
            <w:tcW w:w="1384" w:type="dxa"/>
            <w:vMerge/>
            <w:tcBorders>
              <w:left w:val="single" w:sz="12" w:space="0" w:color="auto"/>
            </w:tcBorders>
          </w:tcPr>
          <w:p w14:paraId="7376564D" w14:textId="77777777" w:rsidR="003B3105" w:rsidRDefault="003B3105" w:rsidP="001E533B">
            <w:pPr>
              <w:rPr>
                <w:rFonts w:ascii="新細明體" w:eastAsia="新細明體" w:hAnsi="新細明體"/>
              </w:rPr>
            </w:pPr>
          </w:p>
        </w:tc>
        <w:tc>
          <w:tcPr>
            <w:tcW w:w="1276" w:type="dxa"/>
            <w:vMerge/>
          </w:tcPr>
          <w:p w14:paraId="1DD9CE06" w14:textId="77777777" w:rsidR="003B3105" w:rsidRDefault="003B3105" w:rsidP="001E533B">
            <w:pPr>
              <w:rPr>
                <w:rFonts w:ascii="新細明體" w:eastAsia="新細明體" w:hAnsi="新細明體"/>
              </w:rPr>
            </w:pPr>
          </w:p>
        </w:tc>
        <w:tc>
          <w:tcPr>
            <w:tcW w:w="5386" w:type="dxa"/>
            <w:tcBorders>
              <w:top w:val="nil"/>
              <w:bottom w:val="nil"/>
            </w:tcBorders>
          </w:tcPr>
          <w:p w14:paraId="47C16E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證券投資顧問業務，應載明資訊交互運用、廣告、公開舉辦投資分析活動或提供研究分析報告等經營業務有關之利益衝突防範及風險區隔作業（註：公司應於本項內部控制制度列出上開作業內容，或另訂附屬於內部控制制度之辦法規章）。</w:t>
            </w:r>
          </w:p>
        </w:tc>
        <w:tc>
          <w:tcPr>
            <w:tcW w:w="5387" w:type="dxa"/>
            <w:tcBorders>
              <w:top w:val="nil"/>
              <w:bottom w:val="nil"/>
            </w:tcBorders>
          </w:tcPr>
          <w:p w14:paraId="62A614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證券投資顧問業務，應載明資訊交互運用、廣告、公開舉辦投資分析活動或提供研究分析報告等經營業務有關之利益衝突防範及風險區隔作業（註：公司應於本項內部控制制度列出上開作業內容，或另訂附屬於內部控制制度之辦法規章）。</w:t>
            </w:r>
          </w:p>
        </w:tc>
        <w:tc>
          <w:tcPr>
            <w:tcW w:w="2023" w:type="dxa"/>
            <w:vMerge/>
            <w:tcBorders>
              <w:right w:val="single" w:sz="12" w:space="0" w:color="auto"/>
            </w:tcBorders>
          </w:tcPr>
          <w:p w14:paraId="186F26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A249A0" w14:textId="77777777">
        <w:tc>
          <w:tcPr>
            <w:tcW w:w="1384" w:type="dxa"/>
            <w:vMerge/>
            <w:tcBorders>
              <w:left w:val="single" w:sz="12" w:space="0" w:color="auto"/>
            </w:tcBorders>
          </w:tcPr>
          <w:p w14:paraId="005A8CBE" w14:textId="77777777" w:rsidR="003B3105" w:rsidRDefault="003B3105" w:rsidP="001E533B">
            <w:pPr>
              <w:rPr>
                <w:rFonts w:ascii="新細明體" w:eastAsia="新細明體" w:hAnsi="新細明體"/>
              </w:rPr>
            </w:pPr>
          </w:p>
        </w:tc>
        <w:tc>
          <w:tcPr>
            <w:tcW w:w="1276" w:type="dxa"/>
            <w:vMerge/>
          </w:tcPr>
          <w:p w14:paraId="2CD5F3AC" w14:textId="77777777" w:rsidR="003B3105" w:rsidRDefault="003B3105" w:rsidP="001E533B">
            <w:pPr>
              <w:rPr>
                <w:rFonts w:ascii="新細明體" w:eastAsia="新細明體" w:hAnsi="新細明體"/>
              </w:rPr>
            </w:pPr>
          </w:p>
        </w:tc>
        <w:tc>
          <w:tcPr>
            <w:tcW w:w="5386" w:type="dxa"/>
            <w:tcBorders>
              <w:top w:val="nil"/>
              <w:bottom w:val="nil"/>
            </w:tcBorders>
          </w:tcPr>
          <w:p w14:paraId="26F1CC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兼營證券投資顧問業務時，關於該業務部門之業務與人員之管理，除證券交易法或其他法律另有規定外，並應依「證券投資顧問事業管理規則」第十三條及「證券投資顧問事業負責人與業務人員管理規則」第二十條所定相關規定辦理。</w:t>
            </w:r>
          </w:p>
        </w:tc>
        <w:tc>
          <w:tcPr>
            <w:tcW w:w="5387" w:type="dxa"/>
            <w:tcBorders>
              <w:top w:val="nil"/>
              <w:bottom w:val="nil"/>
            </w:tcBorders>
          </w:tcPr>
          <w:p w14:paraId="2530CA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兼營證券投資顧問業務時，關於該業務部門之業務與人員之管理，除證券交易法或其他法律另有規定外，並應依「證券投資顧問事業管理規則」第十三條及「證券投資顧問事業負責人與業務人員管理規則」第二十條所定相關規定辦理。</w:t>
            </w:r>
          </w:p>
        </w:tc>
        <w:tc>
          <w:tcPr>
            <w:tcW w:w="2023" w:type="dxa"/>
            <w:vMerge/>
            <w:tcBorders>
              <w:right w:val="single" w:sz="12" w:space="0" w:color="auto"/>
            </w:tcBorders>
          </w:tcPr>
          <w:p w14:paraId="5BC834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67F8D0" w14:textId="77777777">
        <w:tc>
          <w:tcPr>
            <w:tcW w:w="1384" w:type="dxa"/>
            <w:vMerge/>
            <w:tcBorders>
              <w:left w:val="single" w:sz="12" w:space="0" w:color="auto"/>
            </w:tcBorders>
          </w:tcPr>
          <w:p w14:paraId="2EEF5272" w14:textId="77777777" w:rsidR="003B3105" w:rsidRDefault="003B3105" w:rsidP="001E533B">
            <w:pPr>
              <w:rPr>
                <w:rFonts w:ascii="新細明體" w:eastAsia="新細明體" w:hAnsi="新細明體"/>
              </w:rPr>
            </w:pPr>
          </w:p>
        </w:tc>
        <w:tc>
          <w:tcPr>
            <w:tcW w:w="1276" w:type="dxa"/>
            <w:vMerge/>
          </w:tcPr>
          <w:p w14:paraId="2E3AB8A8" w14:textId="77777777" w:rsidR="003B3105" w:rsidRDefault="003B3105" w:rsidP="001E533B">
            <w:pPr>
              <w:rPr>
                <w:rFonts w:ascii="新細明體" w:eastAsia="新細明體" w:hAnsi="新細明體"/>
              </w:rPr>
            </w:pPr>
          </w:p>
        </w:tc>
        <w:tc>
          <w:tcPr>
            <w:tcW w:w="5386" w:type="dxa"/>
            <w:tcBorders>
              <w:top w:val="nil"/>
              <w:bottom w:val="nil"/>
            </w:tcBorders>
          </w:tcPr>
          <w:p w14:paraId="1DCAC55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(三)證券商兼營期貨顧問業務規範：</w:t>
            </w:r>
          </w:p>
        </w:tc>
        <w:tc>
          <w:tcPr>
            <w:tcW w:w="5387" w:type="dxa"/>
            <w:tcBorders>
              <w:top w:val="nil"/>
              <w:bottom w:val="nil"/>
            </w:tcBorders>
          </w:tcPr>
          <w:p w14:paraId="0700AE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(三)證券商兼營期貨顧問業務規範：</w:t>
            </w:r>
          </w:p>
        </w:tc>
        <w:tc>
          <w:tcPr>
            <w:tcW w:w="2023" w:type="dxa"/>
            <w:vMerge/>
            <w:tcBorders>
              <w:right w:val="single" w:sz="12" w:space="0" w:color="auto"/>
            </w:tcBorders>
          </w:tcPr>
          <w:p w14:paraId="403E20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DB81A6" w14:textId="77777777">
        <w:tc>
          <w:tcPr>
            <w:tcW w:w="1384" w:type="dxa"/>
            <w:vMerge/>
            <w:tcBorders>
              <w:left w:val="single" w:sz="12" w:space="0" w:color="auto"/>
            </w:tcBorders>
          </w:tcPr>
          <w:p w14:paraId="71C11AED" w14:textId="77777777" w:rsidR="003B3105" w:rsidRDefault="003B3105" w:rsidP="001E533B">
            <w:pPr>
              <w:rPr>
                <w:rFonts w:ascii="新細明體" w:eastAsia="新細明體" w:hAnsi="新細明體"/>
              </w:rPr>
            </w:pPr>
          </w:p>
        </w:tc>
        <w:tc>
          <w:tcPr>
            <w:tcW w:w="1276" w:type="dxa"/>
            <w:vMerge/>
          </w:tcPr>
          <w:p w14:paraId="1832EE5C" w14:textId="77777777" w:rsidR="003B3105" w:rsidRDefault="003B3105" w:rsidP="001E533B">
            <w:pPr>
              <w:rPr>
                <w:rFonts w:ascii="新細明體" w:eastAsia="新細明體" w:hAnsi="新細明體"/>
              </w:rPr>
            </w:pPr>
          </w:p>
        </w:tc>
        <w:tc>
          <w:tcPr>
            <w:tcW w:w="5386" w:type="dxa"/>
            <w:tcBorders>
              <w:top w:val="nil"/>
              <w:bottom w:val="nil"/>
            </w:tcBorders>
          </w:tcPr>
          <w:p w14:paraId="74EF07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經營期貨顧問業務者，總公司應設置獨立專責顧問部門，並指派專責部門主管及業務員辦理之；分公司應指派專責之業務員辦理之。前開主管及業務員，除內部稽核人員得由證券商部門登記之內部稽核人員兼任外，應符合「期貨顧</w:t>
            </w:r>
            <w:r>
              <w:rPr>
                <w:rFonts w:ascii="新細明體" w:eastAsia="新細明體" w:hAnsi="新細明體" w:cs="新細明體" w:hint="eastAsia"/>
              </w:rPr>
              <w:lastRenderedPageBreak/>
              <w:t>問事業管理規則」第二十條及第二十一條規定之資格條件，且不得辦理登記範圍以外之業務或由其他業務員兼辦。上開辦理期貨顧問業務之專責部門應依事業規模、業務情況及內部控制之管理需要，配置適足及適任之經理人及業務員，並應符合「期貨顧問事業管理規則」規定之資格條件。</w:t>
            </w:r>
          </w:p>
        </w:tc>
        <w:tc>
          <w:tcPr>
            <w:tcW w:w="5387" w:type="dxa"/>
            <w:tcBorders>
              <w:top w:val="nil"/>
              <w:bottom w:val="nil"/>
            </w:tcBorders>
          </w:tcPr>
          <w:p w14:paraId="10FCCF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經營期貨顧問業務者，總公司應設置獨立專責顧問部門，並指派專責部門主管及業務員辦理之；分公司應指派專責之業務員辦理之。前開主管及業務員，除內部稽核人員得由證券商部門登記之內部稽核人員兼任外，應符合「期貨顧</w:t>
            </w:r>
            <w:r>
              <w:rPr>
                <w:rFonts w:ascii="新細明體" w:eastAsia="新細明體" w:hAnsi="新細明體" w:cs="新細明體" w:hint="eastAsia"/>
              </w:rPr>
              <w:lastRenderedPageBreak/>
              <w:t>問事業管理規則」第二十條及第二十一條規定之資格條件，且不得辦理登記範圍以外之業務或由其他業務員兼辦。上開辦理期貨顧問業務之專責部門應依事業規模、業務情況及內部控制之管理需要，配置適足及適任之經理人及業務員，並應符合「期貨顧問事業管理規則」規定之資格條件。</w:t>
            </w:r>
          </w:p>
        </w:tc>
        <w:tc>
          <w:tcPr>
            <w:tcW w:w="2023" w:type="dxa"/>
            <w:vMerge/>
            <w:tcBorders>
              <w:right w:val="single" w:sz="12" w:space="0" w:color="auto"/>
            </w:tcBorders>
          </w:tcPr>
          <w:p w14:paraId="4DBC67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AC18FC" w14:textId="77777777">
        <w:tc>
          <w:tcPr>
            <w:tcW w:w="1384" w:type="dxa"/>
            <w:vMerge/>
            <w:tcBorders>
              <w:left w:val="single" w:sz="12" w:space="0" w:color="auto"/>
            </w:tcBorders>
          </w:tcPr>
          <w:p w14:paraId="3309A994" w14:textId="77777777" w:rsidR="003B3105" w:rsidRDefault="003B3105" w:rsidP="001E533B">
            <w:pPr>
              <w:rPr>
                <w:rFonts w:ascii="新細明體" w:eastAsia="新細明體" w:hAnsi="新細明體"/>
              </w:rPr>
            </w:pPr>
          </w:p>
        </w:tc>
        <w:tc>
          <w:tcPr>
            <w:tcW w:w="1276" w:type="dxa"/>
            <w:vMerge/>
          </w:tcPr>
          <w:p w14:paraId="14BB584D" w14:textId="77777777" w:rsidR="003B3105" w:rsidRDefault="003B3105" w:rsidP="001E533B">
            <w:pPr>
              <w:rPr>
                <w:rFonts w:ascii="新細明體" w:eastAsia="新細明體" w:hAnsi="新細明體"/>
              </w:rPr>
            </w:pPr>
          </w:p>
        </w:tc>
        <w:tc>
          <w:tcPr>
            <w:tcW w:w="5386" w:type="dxa"/>
            <w:tcBorders>
              <w:top w:val="nil"/>
              <w:bottom w:val="nil"/>
            </w:tcBorders>
          </w:tcPr>
          <w:p w14:paraId="72374B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期貨顧問業務，應載明資訊交互運用、廣告、舉辦講習或提供研究分析意見或建議等經營業務有關之利益衝突防範及風險區隔事項（註：公司應於本項內部控制制度列出上開事項內容，或另訂附屬於內部控制制度之辦法規章）。</w:t>
            </w:r>
          </w:p>
        </w:tc>
        <w:tc>
          <w:tcPr>
            <w:tcW w:w="5387" w:type="dxa"/>
            <w:tcBorders>
              <w:top w:val="nil"/>
              <w:bottom w:val="nil"/>
            </w:tcBorders>
          </w:tcPr>
          <w:p w14:paraId="4E4629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期貨顧問業務，應載明資訊交互運用、廣告、舉辦講習或提供研究分析意見或建議等經營業務有關之利益衝突防範及風險區隔事項（註：公司應於本項內部控制制度列出上開事項內容，或另訂附屬於內部控制制度之辦法規章）。</w:t>
            </w:r>
          </w:p>
        </w:tc>
        <w:tc>
          <w:tcPr>
            <w:tcW w:w="2023" w:type="dxa"/>
            <w:vMerge/>
            <w:tcBorders>
              <w:right w:val="single" w:sz="12" w:space="0" w:color="auto"/>
            </w:tcBorders>
          </w:tcPr>
          <w:p w14:paraId="74A78B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29E7B" w14:textId="77777777">
        <w:tc>
          <w:tcPr>
            <w:tcW w:w="1384" w:type="dxa"/>
            <w:vMerge/>
            <w:tcBorders>
              <w:left w:val="single" w:sz="12" w:space="0" w:color="auto"/>
            </w:tcBorders>
          </w:tcPr>
          <w:p w14:paraId="174754CA" w14:textId="77777777" w:rsidR="003B3105" w:rsidRDefault="003B3105" w:rsidP="001E533B">
            <w:pPr>
              <w:rPr>
                <w:rFonts w:ascii="新細明體" w:eastAsia="新細明體" w:hAnsi="新細明體"/>
              </w:rPr>
            </w:pPr>
          </w:p>
        </w:tc>
        <w:tc>
          <w:tcPr>
            <w:tcW w:w="1276" w:type="dxa"/>
            <w:vMerge/>
          </w:tcPr>
          <w:p w14:paraId="268C89AC" w14:textId="77777777" w:rsidR="003B3105" w:rsidRDefault="003B3105" w:rsidP="001E533B">
            <w:pPr>
              <w:rPr>
                <w:rFonts w:ascii="新細明體" w:eastAsia="新細明體" w:hAnsi="新細明體"/>
              </w:rPr>
            </w:pPr>
          </w:p>
        </w:tc>
        <w:tc>
          <w:tcPr>
            <w:tcW w:w="5386" w:type="dxa"/>
            <w:tcBorders>
              <w:top w:val="nil"/>
              <w:bottom w:val="nil"/>
            </w:tcBorders>
          </w:tcPr>
          <w:p w14:paraId="788A5F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兼營期貨顧問業務提供期貨交易分析意見或建議時，應作成交易分析報告，載明分析基礎及根據。期貨交易分析意見或建議及相關資訊，於提供予委任人（客戶）之前不得提供或傳遞予期貨顧問業務部門以外之其他業務部門，且不得以其他業務部門之資訊或意見為其分析基礎及根據。</w:t>
            </w:r>
          </w:p>
        </w:tc>
        <w:tc>
          <w:tcPr>
            <w:tcW w:w="5387" w:type="dxa"/>
            <w:tcBorders>
              <w:top w:val="nil"/>
              <w:bottom w:val="nil"/>
            </w:tcBorders>
          </w:tcPr>
          <w:p w14:paraId="6F7DBC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兼營期貨顧問業務提供期貨交易分析意見或建議時，應作成交易分析報告，載明分析基礎及根據。期貨交易分析意見或建議及相關資訊，於提供予委任人（客戶）之前不得提供或傳遞予期貨顧問業務部門以外之其他業務部門，且不得以其他業務部門之資訊或意見為其分析基礎及根據。</w:t>
            </w:r>
          </w:p>
        </w:tc>
        <w:tc>
          <w:tcPr>
            <w:tcW w:w="2023" w:type="dxa"/>
            <w:vMerge/>
            <w:tcBorders>
              <w:right w:val="single" w:sz="12" w:space="0" w:color="auto"/>
            </w:tcBorders>
          </w:tcPr>
          <w:p w14:paraId="45C51E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C88947" w14:textId="77777777">
        <w:tc>
          <w:tcPr>
            <w:tcW w:w="1384" w:type="dxa"/>
            <w:vMerge/>
            <w:tcBorders>
              <w:left w:val="single" w:sz="12" w:space="0" w:color="auto"/>
            </w:tcBorders>
          </w:tcPr>
          <w:p w14:paraId="4EF6AD8C" w14:textId="77777777" w:rsidR="003B3105" w:rsidRDefault="003B3105" w:rsidP="001E533B">
            <w:pPr>
              <w:rPr>
                <w:rFonts w:ascii="新細明體" w:eastAsia="新細明體" w:hAnsi="新細明體"/>
              </w:rPr>
            </w:pPr>
          </w:p>
        </w:tc>
        <w:tc>
          <w:tcPr>
            <w:tcW w:w="1276" w:type="dxa"/>
            <w:vMerge/>
          </w:tcPr>
          <w:p w14:paraId="686CBE08" w14:textId="77777777" w:rsidR="003B3105" w:rsidRDefault="003B3105" w:rsidP="001E533B">
            <w:pPr>
              <w:rPr>
                <w:rFonts w:ascii="新細明體" w:eastAsia="新細明體" w:hAnsi="新細明體"/>
              </w:rPr>
            </w:pPr>
          </w:p>
        </w:tc>
        <w:tc>
          <w:tcPr>
            <w:tcW w:w="5386" w:type="dxa"/>
            <w:tcBorders>
              <w:top w:val="nil"/>
              <w:bottom w:val="nil"/>
            </w:tcBorders>
          </w:tcPr>
          <w:p w14:paraId="2EC32182"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(刪除)</w:t>
            </w:r>
          </w:p>
        </w:tc>
        <w:tc>
          <w:tcPr>
            <w:tcW w:w="5387" w:type="dxa"/>
            <w:tcBorders>
              <w:top w:val="nil"/>
              <w:bottom w:val="nil"/>
            </w:tcBorders>
          </w:tcPr>
          <w:p w14:paraId="0EE94196"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4.公司兼營期貨顧問業務之內部稽核人員由證券商部門登記之內部稽核人員兼任者，該兼任之內部稽核人員，於初任及離職滿二年再任者，得於到職後三個月內參加職前訓練，不受「期貨顧問事業</w:t>
            </w:r>
            <w:r>
              <w:rPr>
                <w:rFonts w:ascii="新細明體" w:eastAsia="新細明體" w:hAnsi="新細明體" w:cs="新細明體" w:hint="eastAsia"/>
                <w:b/>
                <w:color w:val="FF0000"/>
              </w:rPr>
              <w:lastRenderedPageBreak/>
              <w:t>管理規則」第二十七條準用「期貨商負責人及業務員管理規則」第十一條第二項有關應於執行業務前半年內參加職前訓練規定之限制。</w:t>
            </w:r>
          </w:p>
        </w:tc>
        <w:tc>
          <w:tcPr>
            <w:tcW w:w="2023" w:type="dxa"/>
            <w:vMerge/>
            <w:tcBorders>
              <w:right w:val="single" w:sz="12" w:space="0" w:color="auto"/>
            </w:tcBorders>
          </w:tcPr>
          <w:p w14:paraId="2585C4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8A3A08" w14:textId="77777777">
        <w:tc>
          <w:tcPr>
            <w:tcW w:w="1384" w:type="dxa"/>
            <w:vMerge/>
            <w:tcBorders>
              <w:left w:val="single" w:sz="12" w:space="0" w:color="auto"/>
            </w:tcBorders>
          </w:tcPr>
          <w:p w14:paraId="03473154" w14:textId="77777777" w:rsidR="003B3105" w:rsidRDefault="003B3105" w:rsidP="001E533B">
            <w:pPr>
              <w:rPr>
                <w:rFonts w:ascii="新細明體" w:eastAsia="新細明體" w:hAnsi="新細明體"/>
              </w:rPr>
            </w:pPr>
          </w:p>
        </w:tc>
        <w:tc>
          <w:tcPr>
            <w:tcW w:w="1276" w:type="dxa"/>
            <w:vMerge/>
          </w:tcPr>
          <w:p w14:paraId="5D3C1065" w14:textId="77777777" w:rsidR="003B3105" w:rsidRDefault="003B3105" w:rsidP="001E533B">
            <w:pPr>
              <w:rPr>
                <w:rFonts w:ascii="新細明體" w:eastAsia="新細明體" w:hAnsi="新細明體"/>
              </w:rPr>
            </w:pPr>
          </w:p>
        </w:tc>
        <w:tc>
          <w:tcPr>
            <w:tcW w:w="5386" w:type="dxa"/>
            <w:tcBorders>
              <w:top w:val="nil"/>
              <w:bottom w:val="nil"/>
            </w:tcBorders>
          </w:tcPr>
          <w:p w14:paraId="644DEB5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(四)其他規範：</w:t>
            </w:r>
          </w:p>
        </w:tc>
        <w:tc>
          <w:tcPr>
            <w:tcW w:w="5387" w:type="dxa"/>
            <w:tcBorders>
              <w:top w:val="nil"/>
              <w:bottom w:val="nil"/>
            </w:tcBorders>
          </w:tcPr>
          <w:p w14:paraId="1C49D0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(四)其他規範：</w:t>
            </w:r>
          </w:p>
        </w:tc>
        <w:tc>
          <w:tcPr>
            <w:tcW w:w="2023" w:type="dxa"/>
            <w:vMerge/>
            <w:tcBorders>
              <w:right w:val="single" w:sz="12" w:space="0" w:color="auto"/>
            </w:tcBorders>
          </w:tcPr>
          <w:p w14:paraId="56E105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ACCE69" w14:textId="77777777">
        <w:tc>
          <w:tcPr>
            <w:tcW w:w="1384" w:type="dxa"/>
            <w:vMerge/>
            <w:tcBorders>
              <w:left w:val="single" w:sz="12" w:space="0" w:color="auto"/>
            </w:tcBorders>
          </w:tcPr>
          <w:p w14:paraId="7EE0F4A2" w14:textId="77777777" w:rsidR="003B3105" w:rsidRDefault="003B3105" w:rsidP="001E533B">
            <w:pPr>
              <w:rPr>
                <w:rFonts w:ascii="新細明體" w:eastAsia="新細明體" w:hAnsi="新細明體"/>
              </w:rPr>
            </w:pPr>
          </w:p>
        </w:tc>
        <w:tc>
          <w:tcPr>
            <w:tcW w:w="1276" w:type="dxa"/>
            <w:vMerge/>
          </w:tcPr>
          <w:p w14:paraId="1715DFBE" w14:textId="77777777" w:rsidR="003B3105" w:rsidRDefault="003B3105" w:rsidP="001E533B">
            <w:pPr>
              <w:rPr>
                <w:rFonts w:ascii="新細明體" w:eastAsia="新細明體" w:hAnsi="新細明體"/>
              </w:rPr>
            </w:pPr>
          </w:p>
        </w:tc>
        <w:tc>
          <w:tcPr>
            <w:tcW w:w="5386" w:type="dxa"/>
            <w:tcBorders>
              <w:top w:val="nil"/>
              <w:bottom w:val="nil"/>
            </w:tcBorders>
          </w:tcPr>
          <w:p w14:paraId="3D353D4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1.公司同時兼營證券投資顧問及期貨顧問業務時，總公司僅需設一個專責顧問部門，且登記顧問部門之業務人員，符合相關資格條件者，得同時辦理證券投資顧問及期貨顧問業務。</w:t>
            </w:r>
          </w:p>
        </w:tc>
        <w:tc>
          <w:tcPr>
            <w:tcW w:w="5387" w:type="dxa"/>
            <w:tcBorders>
              <w:top w:val="nil"/>
              <w:bottom w:val="nil"/>
            </w:tcBorders>
          </w:tcPr>
          <w:p w14:paraId="3E7CFB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1.公司同時兼營證券投資顧問及期貨顧問業務時，總公司僅需設一個專責顧問部門，且登記顧問部門之業務人員，符合相關資格條件者，得同時辦理證券投資顧問及期貨顧問業務。</w:t>
            </w:r>
          </w:p>
        </w:tc>
        <w:tc>
          <w:tcPr>
            <w:tcW w:w="2023" w:type="dxa"/>
            <w:vMerge/>
            <w:tcBorders>
              <w:right w:val="single" w:sz="12" w:space="0" w:color="auto"/>
            </w:tcBorders>
          </w:tcPr>
          <w:p w14:paraId="5BC474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5E29AC" w14:textId="77777777">
        <w:tc>
          <w:tcPr>
            <w:tcW w:w="1384" w:type="dxa"/>
            <w:vMerge/>
            <w:tcBorders>
              <w:left w:val="single" w:sz="12" w:space="0" w:color="auto"/>
              <w:bottom w:val="single" w:sz="12" w:space="0" w:color="auto"/>
            </w:tcBorders>
          </w:tcPr>
          <w:p w14:paraId="72776217"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68FB054A"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0106C852" w14:textId="77777777"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證券投資顧問業務，並經核准辦理財富管理業務時，依規定應設置之專責顧問部門得與財富管理業務部門合併。上開辦理財富管理業務之人員，於符合投顧人員管理規則規定之資格條件並向中華民國證券投資信託暨顧問商業同業公會完成登錄後，得兼辦證券投資顧問業務。</w:t>
            </w:r>
          </w:p>
        </w:tc>
        <w:tc>
          <w:tcPr>
            <w:tcW w:w="5387" w:type="dxa"/>
            <w:tcBorders>
              <w:top w:val="nil"/>
              <w:bottom w:val="single" w:sz="12" w:space="0" w:color="auto"/>
            </w:tcBorders>
          </w:tcPr>
          <w:p w14:paraId="7C3F9C7F" w14:textId="77777777"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兼營證券投資顧問業務，並經核准辦理財富管理業務時，依規定應設置之專責顧問部門得與財富管理業務部門合併。上開辦理財富管理業務之人員，於符合投顧人員管理規則規定之資格條件並向中華民國證券投資信託暨顧問商業同業公會完成登錄後，得兼辦證券投資顧問業務。</w:t>
            </w:r>
          </w:p>
        </w:tc>
        <w:tc>
          <w:tcPr>
            <w:tcW w:w="2023" w:type="dxa"/>
            <w:vMerge/>
            <w:tcBorders>
              <w:bottom w:val="single" w:sz="12" w:space="0" w:color="auto"/>
              <w:right w:val="single" w:sz="12" w:space="0" w:color="auto"/>
            </w:tcBorders>
          </w:tcPr>
          <w:p w14:paraId="2F63A2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63717A28" w14:textId="77777777" w:rsidR="001E533B" w:rsidRPr="00F6439B" w:rsidRDefault="001E533B" w:rsidP="00A24FFC">
      <w:pPr>
        <w:rPr>
          <w:rFonts w:ascii="新細明體" w:eastAsia="新細明體" w:hAnsi="新細明體"/>
        </w:rPr>
      </w:pPr>
    </w:p>
    <w:p w14:paraId="13684619" w14:textId="77777777" w:rsidR="001B33AB" w:rsidRDefault="00000000">
      <w:r>
        <w:br w:type="page"/>
      </w:r>
    </w:p>
    <w:p w14:paraId="2255E056" w14:textId="0E02CB3E"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79B6E5BE" w14:textId="77777777" w:rsidTr="00C6790C">
        <w:trPr>
          <w:tblHeader/>
        </w:trPr>
        <w:tc>
          <w:tcPr>
            <w:tcW w:w="1384" w:type="dxa"/>
            <w:tcBorders>
              <w:top w:val="single" w:sz="12" w:space="0" w:color="auto"/>
              <w:left w:val="single" w:sz="12" w:space="0" w:color="auto"/>
              <w:bottom w:val="single" w:sz="12" w:space="0" w:color="auto"/>
            </w:tcBorders>
          </w:tcPr>
          <w:p w14:paraId="538C0002"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3CE9327B"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94265C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6347A656"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4EC514A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17C92EEF" w14:textId="77777777">
        <w:tc>
          <w:tcPr>
            <w:tcW w:w="1384" w:type="dxa"/>
            <w:vMerge w:val="restart"/>
            <w:tcBorders>
              <w:top w:val="single" w:sz="12" w:space="0" w:color="auto"/>
              <w:left w:val="single" w:sz="12" w:space="0" w:color="auto"/>
            </w:tcBorders>
          </w:tcPr>
          <w:p w14:paraId="7898B35D" w14:textId="77777777" w:rsidR="00A943E4" w:rsidRPr="00F6439B" w:rsidRDefault="00A943E4">
            <w:pPr>
              <w:rPr>
                <w:rFonts w:ascii="新細明體" w:eastAsia="新細明體" w:hAnsi="新細明體"/>
              </w:rPr>
            </w:pPr>
            <w:r>
              <w:rPr>
                <w:rFonts w:ascii="新細明體" w:eastAsia="新細明體" w:hAnsi="新細明體" w:hint="eastAsia"/>
              </w:rPr>
              <w:t>CA-18700</w:t>
            </w:r>
          </w:p>
        </w:tc>
        <w:tc>
          <w:tcPr>
            <w:tcW w:w="1276" w:type="dxa"/>
            <w:vMerge w:val="restart"/>
            <w:tcBorders>
              <w:top w:val="single" w:sz="12" w:space="0" w:color="auto"/>
            </w:tcBorders>
          </w:tcPr>
          <w:p w14:paraId="1525F50B" w14:textId="77777777" w:rsidR="00A943E4" w:rsidRPr="00F6439B" w:rsidRDefault="00A943E4">
            <w:pPr>
              <w:rPr>
                <w:rFonts w:ascii="新細明體" w:eastAsia="新細明體" w:hAnsi="新細明體"/>
              </w:rPr>
            </w:pPr>
            <w:r>
              <w:rPr>
                <w:rFonts w:ascii="新細明體" w:eastAsia="新細明體" w:hAnsi="新細明體" w:hint="eastAsia"/>
              </w:rPr>
              <w:t>證券商兼營顧問業務</w:t>
            </w:r>
          </w:p>
        </w:tc>
        <w:tc>
          <w:tcPr>
            <w:tcW w:w="5386" w:type="dxa"/>
            <w:tcBorders>
              <w:top w:val="single" w:sz="12" w:space="0" w:color="auto"/>
              <w:bottom w:val="nil"/>
            </w:tcBorders>
          </w:tcPr>
          <w:p w14:paraId="6C365D04" w14:textId="77777777" w:rsidR="00A943E4" w:rsidRPr="003B3105" w:rsidRDefault="0027008E">
            <w:pPr>
              <w:spacing w:line="360" w:lineRule="exact"/>
              <w:ind w:leftChars="99" w:left="691" w:hangingChars="167" w:hanging="434"/>
              <w:rPr>
                <w:rFonts w:ascii="新細明體" w:eastAsia="新細明體" w:hAnsi="新細明體" w:cs="Times New Roman"/>
              </w:rPr>
            </w:pPr>
            <w:r>
              <w:rPr>
                <w:rFonts w:ascii="新細明體" w:eastAsia="新細明體" w:hAnsi="新細明體" w:cs="新細明體" w:hint="eastAsia"/>
                <w:color w:val="000000"/>
              </w:rPr>
              <w:t>(一)證券商管理規則第36-1、36-2條</w:t>
            </w:r>
          </w:p>
        </w:tc>
        <w:tc>
          <w:tcPr>
            <w:tcW w:w="5387" w:type="dxa"/>
            <w:tcBorders>
              <w:top w:val="single" w:sz="12" w:space="0" w:color="auto"/>
              <w:bottom w:val="nil"/>
            </w:tcBorders>
          </w:tcPr>
          <w:p w14:paraId="7C9B613A" w14:textId="77777777" w:rsidR="00A943E4" w:rsidRPr="003B3105" w:rsidRDefault="0027008E">
            <w:pPr>
              <w:spacing w:line="360" w:lineRule="exact"/>
              <w:ind w:leftChars="99" w:left="691" w:hangingChars="167" w:hanging="434"/>
              <w:rPr>
                <w:rFonts w:ascii="新細明體" w:eastAsia="新細明體" w:hAnsi="新細明體" w:cs="Times New Roman"/>
              </w:rPr>
            </w:pPr>
            <w:r>
              <w:rPr>
                <w:rFonts w:ascii="新細明體" w:eastAsia="新細明體" w:hAnsi="新細明體" w:cs="新細明體" w:hint="eastAsia"/>
                <w:color w:val="000000"/>
              </w:rPr>
              <w:t>(一)證券商管理規則第36-1、36-2條</w:t>
            </w:r>
          </w:p>
        </w:tc>
        <w:tc>
          <w:tcPr>
            <w:tcW w:w="2023" w:type="dxa"/>
            <w:vMerge w:val="restart"/>
            <w:tcBorders>
              <w:top w:val="single" w:sz="12" w:space="0" w:color="auto"/>
              <w:right w:val="single" w:sz="12" w:space="0" w:color="auto"/>
            </w:tcBorders>
          </w:tcPr>
          <w:p w14:paraId="6FEDFB28"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7FFF84FB" w14:textId="77777777">
        <w:tc>
          <w:tcPr>
            <w:tcW w:w="1384" w:type="dxa"/>
            <w:vMerge/>
            <w:tcBorders>
              <w:left w:val="single" w:sz="12" w:space="0" w:color="auto"/>
            </w:tcBorders>
          </w:tcPr>
          <w:p w14:paraId="1C1A54FA" w14:textId="77777777" w:rsidR="00A943E4" w:rsidRDefault="00A943E4">
            <w:pPr>
              <w:rPr>
                <w:rFonts w:ascii="新細明體" w:eastAsia="新細明體" w:hAnsi="新細明體"/>
              </w:rPr>
            </w:pPr>
          </w:p>
        </w:tc>
        <w:tc>
          <w:tcPr>
            <w:tcW w:w="1276" w:type="dxa"/>
            <w:vMerge/>
          </w:tcPr>
          <w:p w14:paraId="393ABF9B" w14:textId="77777777" w:rsidR="00A943E4" w:rsidRDefault="00A943E4">
            <w:pPr>
              <w:rPr>
                <w:rFonts w:ascii="新細明體" w:eastAsia="新細明體" w:hAnsi="新細明體"/>
              </w:rPr>
            </w:pPr>
          </w:p>
        </w:tc>
        <w:tc>
          <w:tcPr>
            <w:tcW w:w="5386" w:type="dxa"/>
            <w:tcBorders>
              <w:top w:val="nil"/>
              <w:bottom w:val="nil"/>
            </w:tcBorders>
          </w:tcPr>
          <w:p w14:paraId="1DD56D6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(二)證券投資顧問事業設置標準第10、12、28條</w:t>
            </w:r>
          </w:p>
        </w:tc>
        <w:tc>
          <w:tcPr>
            <w:tcW w:w="5387" w:type="dxa"/>
            <w:tcBorders>
              <w:top w:val="nil"/>
              <w:bottom w:val="nil"/>
            </w:tcBorders>
          </w:tcPr>
          <w:p w14:paraId="1FD30F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(二)證券投資顧問事業設置標準第10、12、28條</w:t>
            </w:r>
          </w:p>
        </w:tc>
        <w:tc>
          <w:tcPr>
            <w:tcW w:w="2023" w:type="dxa"/>
            <w:vMerge/>
            <w:tcBorders>
              <w:right w:val="single" w:sz="12" w:space="0" w:color="auto"/>
            </w:tcBorders>
          </w:tcPr>
          <w:p w14:paraId="7EFE61E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109999C" w14:textId="77777777">
        <w:tc>
          <w:tcPr>
            <w:tcW w:w="1384" w:type="dxa"/>
            <w:vMerge/>
            <w:tcBorders>
              <w:left w:val="single" w:sz="12" w:space="0" w:color="auto"/>
            </w:tcBorders>
          </w:tcPr>
          <w:p w14:paraId="089D80E8" w14:textId="77777777" w:rsidR="00A943E4" w:rsidRDefault="00A943E4">
            <w:pPr>
              <w:rPr>
                <w:rFonts w:ascii="新細明體" w:eastAsia="新細明體" w:hAnsi="新細明體"/>
              </w:rPr>
            </w:pPr>
          </w:p>
        </w:tc>
        <w:tc>
          <w:tcPr>
            <w:tcW w:w="1276" w:type="dxa"/>
            <w:vMerge/>
          </w:tcPr>
          <w:p w14:paraId="1D66F12A" w14:textId="77777777" w:rsidR="00A943E4" w:rsidRDefault="00A943E4">
            <w:pPr>
              <w:rPr>
                <w:rFonts w:ascii="新細明體" w:eastAsia="新細明體" w:hAnsi="新細明體"/>
              </w:rPr>
            </w:pPr>
          </w:p>
        </w:tc>
        <w:tc>
          <w:tcPr>
            <w:tcW w:w="5386" w:type="dxa"/>
            <w:tcBorders>
              <w:top w:val="nil"/>
              <w:bottom w:val="nil"/>
            </w:tcBorders>
          </w:tcPr>
          <w:p w14:paraId="113EAA8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(三)證券投資顧問事業管理規則第13條</w:t>
            </w:r>
          </w:p>
        </w:tc>
        <w:tc>
          <w:tcPr>
            <w:tcW w:w="5387" w:type="dxa"/>
            <w:tcBorders>
              <w:top w:val="nil"/>
              <w:bottom w:val="nil"/>
            </w:tcBorders>
          </w:tcPr>
          <w:p w14:paraId="2C20E7D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(三)證券投資顧問事業管理規則第13條</w:t>
            </w:r>
          </w:p>
        </w:tc>
        <w:tc>
          <w:tcPr>
            <w:tcW w:w="2023" w:type="dxa"/>
            <w:vMerge/>
            <w:tcBorders>
              <w:right w:val="single" w:sz="12" w:space="0" w:color="auto"/>
            </w:tcBorders>
          </w:tcPr>
          <w:p w14:paraId="056A108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BE1C711" w14:textId="77777777">
        <w:tc>
          <w:tcPr>
            <w:tcW w:w="1384" w:type="dxa"/>
            <w:vMerge/>
            <w:tcBorders>
              <w:left w:val="single" w:sz="12" w:space="0" w:color="auto"/>
            </w:tcBorders>
          </w:tcPr>
          <w:p w14:paraId="7856CBD6" w14:textId="77777777" w:rsidR="00A943E4" w:rsidRDefault="00A943E4">
            <w:pPr>
              <w:rPr>
                <w:rFonts w:ascii="新細明體" w:eastAsia="新細明體" w:hAnsi="新細明體"/>
              </w:rPr>
            </w:pPr>
          </w:p>
        </w:tc>
        <w:tc>
          <w:tcPr>
            <w:tcW w:w="1276" w:type="dxa"/>
            <w:vMerge/>
          </w:tcPr>
          <w:p w14:paraId="34D6CC9A" w14:textId="77777777" w:rsidR="00A943E4" w:rsidRDefault="00A943E4">
            <w:pPr>
              <w:rPr>
                <w:rFonts w:ascii="新細明體" w:eastAsia="新細明體" w:hAnsi="新細明體"/>
              </w:rPr>
            </w:pPr>
          </w:p>
        </w:tc>
        <w:tc>
          <w:tcPr>
            <w:tcW w:w="5386" w:type="dxa"/>
            <w:tcBorders>
              <w:top w:val="nil"/>
              <w:bottom w:val="nil"/>
            </w:tcBorders>
          </w:tcPr>
          <w:p w14:paraId="2F73ED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(四)證券投資顧問事業負責人與業務人員管理規則第6、7、20條</w:t>
            </w:r>
          </w:p>
        </w:tc>
        <w:tc>
          <w:tcPr>
            <w:tcW w:w="5387" w:type="dxa"/>
            <w:tcBorders>
              <w:top w:val="nil"/>
              <w:bottom w:val="nil"/>
            </w:tcBorders>
          </w:tcPr>
          <w:p w14:paraId="0D5E271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(四)證券投資顧問事業負責人與業務人員管理規則第6、7、20條</w:t>
            </w:r>
          </w:p>
        </w:tc>
        <w:tc>
          <w:tcPr>
            <w:tcW w:w="2023" w:type="dxa"/>
            <w:vMerge/>
            <w:tcBorders>
              <w:right w:val="single" w:sz="12" w:space="0" w:color="auto"/>
            </w:tcBorders>
          </w:tcPr>
          <w:p w14:paraId="700E9E7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86BB365" w14:textId="77777777">
        <w:tc>
          <w:tcPr>
            <w:tcW w:w="1384" w:type="dxa"/>
            <w:vMerge/>
            <w:tcBorders>
              <w:left w:val="single" w:sz="12" w:space="0" w:color="auto"/>
            </w:tcBorders>
          </w:tcPr>
          <w:p w14:paraId="1F9ECBFE" w14:textId="77777777" w:rsidR="00A943E4" w:rsidRDefault="00A943E4">
            <w:pPr>
              <w:rPr>
                <w:rFonts w:ascii="新細明體" w:eastAsia="新細明體" w:hAnsi="新細明體"/>
              </w:rPr>
            </w:pPr>
          </w:p>
        </w:tc>
        <w:tc>
          <w:tcPr>
            <w:tcW w:w="1276" w:type="dxa"/>
            <w:vMerge/>
          </w:tcPr>
          <w:p w14:paraId="2A0489A5" w14:textId="77777777" w:rsidR="00A943E4" w:rsidRDefault="00A943E4">
            <w:pPr>
              <w:rPr>
                <w:rFonts w:ascii="新細明體" w:eastAsia="新細明體" w:hAnsi="新細明體"/>
              </w:rPr>
            </w:pPr>
          </w:p>
        </w:tc>
        <w:tc>
          <w:tcPr>
            <w:tcW w:w="5386" w:type="dxa"/>
            <w:tcBorders>
              <w:top w:val="nil"/>
              <w:bottom w:val="nil"/>
            </w:tcBorders>
          </w:tcPr>
          <w:p w14:paraId="0B21458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(五)期貨顧問事業設置標準第4、6、9條</w:t>
            </w:r>
          </w:p>
        </w:tc>
        <w:tc>
          <w:tcPr>
            <w:tcW w:w="5387" w:type="dxa"/>
            <w:tcBorders>
              <w:top w:val="nil"/>
              <w:bottom w:val="nil"/>
            </w:tcBorders>
          </w:tcPr>
          <w:p w14:paraId="1675039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(五)期貨顧問事業設置標準第4、6、9條</w:t>
            </w:r>
          </w:p>
        </w:tc>
        <w:tc>
          <w:tcPr>
            <w:tcW w:w="2023" w:type="dxa"/>
            <w:vMerge/>
            <w:tcBorders>
              <w:right w:val="single" w:sz="12" w:space="0" w:color="auto"/>
            </w:tcBorders>
          </w:tcPr>
          <w:p w14:paraId="22169C0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0D2826" w14:textId="77777777">
        <w:tc>
          <w:tcPr>
            <w:tcW w:w="1384" w:type="dxa"/>
            <w:vMerge/>
            <w:tcBorders>
              <w:left w:val="single" w:sz="12" w:space="0" w:color="auto"/>
            </w:tcBorders>
          </w:tcPr>
          <w:p w14:paraId="36CE0C26" w14:textId="77777777" w:rsidR="00A943E4" w:rsidRDefault="00A943E4">
            <w:pPr>
              <w:rPr>
                <w:rFonts w:ascii="新細明體" w:eastAsia="新細明體" w:hAnsi="新細明體"/>
              </w:rPr>
            </w:pPr>
          </w:p>
        </w:tc>
        <w:tc>
          <w:tcPr>
            <w:tcW w:w="1276" w:type="dxa"/>
            <w:vMerge/>
          </w:tcPr>
          <w:p w14:paraId="19B4DB35" w14:textId="77777777" w:rsidR="00A943E4" w:rsidRDefault="00A943E4">
            <w:pPr>
              <w:rPr>
                <w:rFonts w:ascii="新細明體" w:eastAsia="新細明體" w:hAnsi="新細明體"/>
              </w:rPr>
            </w:pPr>
          </w:p>
        </w:tc>
        <w:tc>
          <w:tcPr>
            <w:tcW w:w="5386" w:type="dxa"/>
            <w:tcBorders>
              <w:top w:val="nil"/>
              <w:bottom w:val="nil"/>
            </w:tcBorders>
          </w:tcPr>
          <w:p w14:paraId="4A4A4C1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(六)期貨顧問事業管理規則第6、13、23條</w:t>
            </w:r>
          </w:p>
        </w:tc>
        <w:tc>
          <w:tcPr>
            <w:tcW w:w="5387" w:type="dxa"/>
            <w:tcBorders>
              <w:top w:val="nil"/>
              <w:bottom w:val="nil"/>
            </w:tcBorders>
          </w:tcPr>
          <w:p w14:paraId="1F55949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(六)期貨顧問事業管理規則第6、13、23條</w:t>
            </w:r>
          </w:p>
        </w:tc>
        <w:tc>
          <w:tcPr>
            <w:tcW w:w="2023" w:type="dxa"/>
            <w:vMerge/>
            <w:tcBorders>
              <w:right w:val="single" w:sz="12" w:space="0" w:color="auto"/>
            </w:tcBorders>
          </w:tcPr>
          <w:p w14:paraId="3131A82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164357E" w14:textId="77777777">
        <w:tc>
          <w:tcPr>
            <w:tcW w:w="1384" w:type="dxa"/>
            <w:vMerge/>
            <w:tcBorders>
              <w:left w:val="single" w:sz="12" w:space="0" w:color="auto"/>
            </w:tcBorders>
          </w:tcPr>
          <w:p w14:paraId="68CA324A" w14:textId="77777777" w:rsidR="00A943E4" w:rsidRDefault="00A943E4">
            <w:pPr>
              <w:rPr>
                <w:rFonts w:ascii="新細明體" w:eastAsia="新細明體" w:hAnsi="新細明體"/>
              </w:rPr>
            </w:pPr>
          </w:p>
        </w:tc>
        <w:tc>
          <w:tcPr>
            <w:tcW w:w="1276" w:type="dxa"/>
            <w:vMerge/>
          </w:tcPr>
          <w:p w14:paraId="2FF81DB8" w14:textId="77777777" w:rsidR="00A943E4" w:rsidRDefault="00A943E4">
            <w:pPr>
              <w:rPr>
                <w:rFonts w:ascii="新細明體" w:eastAsia="新細明體" w:hAnsi="新細明體"/>
              </w:rPr>
            </w:pPr>
          </w:p>
        </w:tc>
        <w:tc>
          <w:tcPr>
            <w:tcW w:w="5386" w:type="dxa"/>
            <w:tcBorders>
              <w:top w:val="nil"/>
              <w:bottom w:val="nil"/>
            </w:tcBorders>
          </w:tcPr>
          <w:p w14:paraId="5C98F7B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(七)證券商營業處所場地及設備標準</w:t>
            </w:r>
          </w:p>
        </w:tc>
        <w:tc>
          <w:tcPr>
            <w:tcW w:w="5387" w:type="dxa"/>
            <w:tcBorders>
              <w:top w:val="nil"/>
              <w:bottom w:val="nil"/>
            </w:tcBorders>
          </w:tcPr>
          <w:p w14:paraId="7363A8C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(七)證券商營業處所場地及設備標準</w:t>
            </w:r>
          </w:p>
        </w:tc>
        <w:tc>
          <w:tcPr>
            <w:tcW w:w="2023" w:type="dxa"/>
            <w:vMerge/>
            <w:tcBorders>
              <w:right w:val="single" w:sz="12" w:space="0" w:color="auto"/>
            </w:tcBorders>
          </w:tcPr>
          <w:p w14:paraId="514DD15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9347E0E" w14:textId="77777777">
        <w:tc>
          <w:tcPr>
            <w:tcW w:w="1384" w:type="dxa"/>
            <w:vMerge/>
            <w:tcBorders>
              <w:left w:val="single" w:sz="12" w:space="0" w:color="auto"/>
            </w:tcBorders>
          </w:tcPr>
          <w:p w14:paraId="6C650288" w14:textId="77777777" w:rsidR="00A943E4" w:rsidRDefault="00A943E4">
            <w:pPr>
              <w:rPr>
                <w:rFonts w:ascii="新細明體" w:eastAsia="新細明體" w:hAnsi="新細明體"/>
              </w:rPr>
            </w:pPr>
          </w:p>
        </w:tc>
        <w:tc>
          <w:tcPr>
            <w:tcW w:w="1276" w:type="dxa"/>
            <w:vMerge/>
          </w:tcPr>
          <w:p w14:paraId="7A1EFA7D" w14:textId="77777777" w:rsidR="00A943E4" w:rsidRDefault="00A943E4">
            <w:pPr>
              <w:rPr>
                <w:rFonts w:ascii="新細明體" w:eastAsia="新細明體" w:hAnsi="新細明體"/>
              </w:rPr>
            </w:pPr>
          </w:p>
        </w:tc>
        <w:tc>
          <w:tcPr>
            <w:tcW w:w="5386" w:type="dxa"/>
            <w:tcBorders>
              <w:top w:val="nil"/>
              <w:bottom w:val="nil"/>
            </w:tcBorders>
          </w:tcPr>
          <w:p w14:paraId="117C7A9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(八)證期會93年4月29日台財證二字第0930001731號函</w:t>
            </w:r>
          </w:p>
        </w:tc>
        <w:tc>
          <w:tcPr>
            <w:tcW w:w="5387" w:type="dxa"/>
            <w:tcBorders>
              <w:top w:val="nil"/>
              <w:bottom w:val="nil"/>
            </w:tcBorders>
          </w:tcPr>
          <w:p w14:paraId="6F7772A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(八)證期會93年4月29日台財證二字第0930001731號函</w:t>
            </w:r>
          </w:p>
        </w:tc>
        <w:tc>
          <w:tcPr>
            <w:tcW w:w="2023" w:type="dxa"/>
            <w:vMerge/>
            <w:tcBorders>
              <w:right w:val="single" w:sz="12" w:space="0" w:color="auto"/>
            </w:tcBorders>
          </w:tcPr>
          <w:p w14:paraId="547575C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0CE973F" w14:textId="77777777">
        <w:tc>
          <w:tcPr>
            <w:tcW w:w="1384" w:type="dxa"/>
            <w:vMerge/>
            <w:tcBorders>
              <w:left w:val="single" w:sz="12" w:space="0" w:color="auto"/>
              <w:bottom w:val="single" w:sz="12" w:space="0" w:color="auto"/>
            </w:tcBorders>
          </w:tcPr>
          <w:p w14:paraId="2DD4B75A" w14:textId="77777777" w:rsidR="00A943E4" w:rsidRDefault="00A943E4">
            <w:pPr>
              <w:rPr>
                <w:rFonts w:ascii="新細明體" w:eastAsia="新細明體" w:hAnsi="新細明體"/>
              </w:rPr>
            </w:pPr>
          </w:p>
        </w:tc>
        <w:tc>
          <w:tcPr>
            <w:tcW w:w="1276" w:type="dxa"/>
            <w:vMerge/>
            <w:tcBorders>
              <w:bottom w:val="single" w:sz="12" w:space="0" w:color="auto"/>
            </w:tcBorders>
          </w:tcPr>
          <w:p w14:paraId="548AD07C" w14:textId="77777777" w:rsidR="00A943E4" w:rsidRDefault="00A943E4">
            <w:pPr>
              <w:rPr>
                <w:rFonts w:ascii="新細明體" w:eastAsia="新細明體" w:hAnsi="新細明體"/>
              </w:rPr>
            </w:pPr>
          </w:p>
        </w:tc>
        <w:tc>
          <w:tcPr>
            <w:tcW w:w="5386" w:type="dxa"/>
            <w:tcBorders>
              <w:top w:val="nil"/>
              <w:bottom w:val="single" w:sz="12" w:space="0" w:color="auto"/>
            </w:tcBorders>
          </w:tcPr>
          <w:p w14:paraId="6C6D084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6月</w:t>
            </w:r>
            <w:r>
              <w:rPr>
                <w:rFonts w:ascii="新細明體" w:eastAsia="新細明體" w:hAnsi="新細明體" w:cs="新細明體" w:hint="eastAsia"/>
              </w:rPr>
              <w:t>19日金管證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038</w:t>
            </w:r>
            <w:r>
              <w:rPr>
                <w:rFonts w:ascii="新細明體" w:eastAsia="新細明體" w:hAnsi="新細明體" w:cs="新細明體" w:hint="eastAsia"/>
                <w:b/>
                <w:color w:val="FF0000"/>
                <w:u w:val="single"/>
              </w:rPr>
              <w:t>17</w:t>
            </w:r>
            <w:r>
              <w:rPr>
                <w:rFonts w:ascii="新細明體" w:eastAsia="新細明體" w:hAnsi="新細明體" w:cs="新細明體" w:hint="eastAsia"/>
              </w:rPr>
              <w:t>07</w:t>
            </w:r>
            <w:r>
              <w:rPr>
                <w:rFonts w:ascii="新細明體" w:eastAsia="新細明體" w:hAnsi="新細明體" w:cs="新細明體" w:hint="eastAsia"/>
                <w:b/>
                <w:color w:val="FF0000"/>
                <w:u w:val="single"/>
              </w:rPr>
              <w:t>2</w:t>
            </w:r>
            <w:r>
              <w:rPr>
                <w:rFonts w:ascii="新細明體" w:eastAsia="新細明體" w:hAnsi="新細明體" w:cs="新細明體" w:hint="eastAsia"/>
              </w:rPr>
              <w:t>號令</w:t>
            </w:r>
          </w:p>
        </w:tc>
        <w:tc>
          <w:tcPr>
            <w:tcW w:w="5387" w:type="dxa"/>
            <w:tcBorders>
              <w:top w:val="nil"/>
              <w:bottom w:val="single" w:sz="12" w:space="0" w:color="auto"/>
            </w:tcBorders>
          </w:tcPr>
          <w:p w14:paraId="2DE26BF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(九)金管會11</w:t>
            </w:r>
            <w:r>
              <w:rPr>
                <w:rFonts w:ascii="新細明體" w:eastAsia="新細明體" w:hAnsi="新細明體" w:cs="新細明體" w:hint="eastAsia"/>
                <w:b/>
                <w:color w:val="FF0000"/>
              </w:rPr>
              <w:t>2</w:t>
            </w:r>
            <w:r>
              <w:rPr>
                <w:rFonts w:ascii="新細明體" w:eastAsia="新細明體" w:hAnsi="新細明體" w:cs="新細明體" w:hint="eastAsia"/>
              </w:rPr>
              <w:t>年1</w:t>
            </w:r>
            <w:r>
              <w:rPr>
                <w:rFonts w:ascii="新細明體" w:eastAsia="新細明體" w:hAnsi="新細明體" w:cs="新細明體" w:hint="eastAsia"/>
                <w:b/>
                <w:color w:val="FF0000"/>
              </w:rPr>
              <w:t>2月2</w:t>
            </w:r>
            <w:r>
              <w:rPr>
                <w:rFonts w:ascii="新細明體" w:eastAsia="新細明體" w:hAnsi="新細明體" w:cs="新細明體" w:hint="eastAsia"/>
              </w:rPr>
              <w:t>9日金管證</w:t>
            </w:r>
            <w:r>
              <w:rPr>
                <w:rFonts w:ascii="新細明體" w:eastAsia="新細明體" w:hAnsi="新細明體" w:cs="新細明體" w:hint="eastAsia"/>
                <w:b/>
                <w:color w:val="FF0000"/>
              </w:rPr>
              <w:t>發</w:t>
            </w:r>
            <w:r>
              <w:rPr>
                <w:rFonts w:ascii="新細明體" w:eastAsia="新細明體" w:hAnsi="新細明體" w:cs="新細明體" w:hint="eastAsia"/>
              </w:rPr>
              <w:t>字第11</w:t>
            </w:r>
            <w:r>
              <w:rPr>
                <w:rFonts w:ascii="新細明體" w:eastAsia="新細明體" w:hAnsi="新細明體" w:cs="新細明體" w:hint="eastAsia"/>
                <w:b/>
                <w:color w:val="FF0000"/>
              </w:rPr>
              <w:t>2</w:t>
            </w:r>
            <w:r>
              <w:rPr>
                <w:rFonts w:ascii="新細明體" w:eastAsia="新細明體" w:hAnsi="新細明體" w:cs="新細明體" w:hint="eastAsia"/>
              </w:rPr>
              <w:t>038</w:t>
            </w:r>
            <w:r>
              <w:rPr>
                <w:rFonts w:ascii="新細明體" w:eastAsia="新細明體" w:hAnsi="新細明體" w:cs="新細明體" w:hint="eastAsia"/>
                <w:b/>
                <w:color w:val="FF0000"/>
              </w:rPr>
              <w:t>6</w:t>
            </w:r>
            <w:r>
              <w:rPr>
                <w:rFonts w:ascii="新細明體" w:eastAsia="新細明體" w:hAnsi="新細明體" w:cs="新細明體" w:hint="eastAsia"/>
              </w:rPr>
              <w:t>0</w:t>
            </w:r>
            <w:r>
              <w:rPr>
                <w:rFonts w:ascii="新細明體" w:eastAsia="新細明體" w:hAnsi="新細明體" w:cs="新細明體" w:hint="eastAsia"/>
                <w:b/>
                <w:color w:val="FF0000"/>
              </w:rPr>
              <w:t>6</w:t>
            </w:r>
            <w:r>
              <w:rPr>
                <w:rFonts w:ascii="新細明體" w:eastAsia="新細明體" w:hAnsi="新細明體" w:cs="新細明體" w:hint="eastAsia"/>
              </w:rPr>
              <w:t>7</w:t>
            </w:r>
            <w:r>
              <w:rPr>
                <w:rFonts w:ascii="新細明體" w:eastAsia="新細明體" w:hAnsi="新細明體" w:cs="新細明體" w:hint="eastAsia"/>
                <w:b/>
                <w:color w:val="FF0000"/>
              </w:rPr>
              <w:t>8</w:t>
            </w:r>
            <w:r>
              <w:rPr>
                <w:rFonts w:ascii="新細明體" w:eastAsia="新細明體" w:hAnsi="新細明體" w:cs="新細明體" w:hint="eastAsia"/>
              </w:rPr>
              <w:t>號令</w:t>
            </w:r>
          </w:p>
        </w:tc>
        <w:tc>
          <w:tcPr>
            <w:tcW w:w="2023" w:type="dxa"/>
            <w:vMerge/>
            <w:tcBorders>
              <w:bottom w:val="single" w:sz="12" w:space="0" w:color="auto"/>
              <w:right w:val="single" w:sz="12" w:space="0" w:color="auto"/>
            </w:tcBorders>
          </w:tcPr>
          <w:p w14:paraId="6254F88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408D4E0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BBA1" w14:textId="77777777" w:rsidR="00531AA2" w:rsidRDefault="00531AA2" w:rsidP="00E87601">
      <w:pPr>
        <w:spacing w:line="240" w:lineRule="auto"/>
      </w:pPr>
      <w:r>
        <w:separator/>
      </w:r>
    </w:p>
  </w:endnote>
  <w:endnote w:type="continuationSeparator" w:id="0">
    <w:p w14:paraId="0F888FB9" w14:textId="77777777" w:rsidR="00531AA2" w:rsidRDefault="00531AA2"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BDAE" w14:textId="77777777" w:rsidR="00531AA2" w:rsidRDefault="00531AA2" w:rsidP="00E87601">
      <w:pPr>
        <w:spacing w:line="240" w:lineRule="auto"/>
      </w:pPr>
      <w:r>
        <w:separator/>
      </w:r>
    </w:p>
  </w:footnote>
  <w:footnote w:type="continuationSeparator" w:id="0">
    <w:p w14:paraId="61AA217E" w14:textId="77777777" w:rsidR="00531AA2" w:rsidRDefault="00531AA2"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B33AB"/>
    <w:rsid w:val="001C0745"/>
    <w:rsid w:val="001E533B"/>
    <w:rsid w:val="00200AE8"/>
    <w:rsid w:val="00216524"/>
    <w:rsid w:val="00216A6E"/>
    <w:rsid w:val="002300E4"/>
    <w:rsid w:val="00243F59"/>
    <w:rsid w:val="0025567C"/>
    <w:rsid w:val="0027008E"/>
    <w:rsid w:val="002B6B5B"/>
    <w:rsid w:val="002B7B8A"/>
    <w:rsid w:val="002D3036"/>
    <w:rsid w:val="0030391B"/>
    <w:rsid w:val="003042D6"/>
    <w:rsid w:val="0031289E"/>
    <w:rsid w:val="0032634F"/>
    <w:rsid w:val="003442C3"/>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A7F06"/>
    <w:rsid w:val="004B19C0"/>
    <w:rsid w:val="004C3BE1"/>
    <w:rsid w:val="004E3C0D"/>
    <w:rsid w:val="00531AA2"/>
    <w:rsid w:val="00531E93"/>
    <w:rsid w:val="00534AE1"/>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6F92"/>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B888E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712</Words>
  <Characters>4061</Characters>
  <Application>Microsoft Office Word</Application>
  <DocSecurity>0</DocSecurity>
  <Lines>33</Lines>
  <Paragraphs>9</Paragraphs>
  <ScaleCrop>false</ScaleCrop>
  <Company>Hewlett-Packard Company</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16</cp:revision>
  <cp:lastPrinted>2004-03-09T19:20:00Z</cp:lastPrinted>
  <dcterms:created xsi:type="dcterms:W3CDTF">2025-04-18T10:47:00Z</dcterms:created>
  <dcterms:modified xsi:type="dcterms:W3CDTF">2026-05-19T03:05:00Z</dcterms:modified>
</cp:coreProperties>
</file>