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D42A48E"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AA-18700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證券商兼營顧問業務之稽核</w:t>
            </w:r>
          </w:p>
          <w:p w14:paraId="0F5C21A8"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5C83EAC5"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配合內部控制制度CA-18700修正。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(一)公司兼營顧問業務，是否以主管機關核可之種類範圍為限。</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(一)公司兼營顧問業務，是否以主管機關核可之種類範圍為限。</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E90255B" w14:textId="77777777">
        <w:tc>
          <w:tcPr>
            <w:tcW w:w="1384" w:type="dxa"/>
            <w:vMerge/>
            <w:tcBorders>
              <w:left w:val="single" w:sz="12" w:space="0" w:color="auto"/>
            </w:tcBorders>
          </w:tcPr>
          <w:p w14:paraId="4BD25F02" w14:textId="77777777" w:rsidR="003B3105" w:rsidRDefault="003B3105" w:rsidP="001E533B">
            <w:pPr>
              <w:rPr>
                <w:rFonts w:ascii="新細明體" w:eastAsia="新細明體" w:hAnsi="新細明體"/>
              </w:rPr>
            </w:pPr>
          </w:p>
        </w:tc>
        <w:tc>
          <w:tcPr>
            <w:tcW w:w="1276" w:type="dxa"/>
            <w:vMerge/>
          </w:tcPr>
          <w:p w14:paraId="6093A897" w14:textId="77777777" w:rsidR="003B3105" w:rsidRDefault="003B3105" w:rsidP="001E533B">
            <w:pPr>
              <w:rPr>
                <w:rFonts w:ascii="新細明體" w:eastAsia="新細明體" w:hAnsi="新細明體"/>
              </w:rPr>
            </w:pPr>
          </w:p>
        </w:tc>
        <w:tc>
          <w:tcPr>
            <w:tcW w:w="5386" w:type="dxa"/>
            <w:tcBorders>
              <w:top w:val="nil"/>
              <w:bottom w:val="nil"/>
            </w:tcBorders>
          </w:tcPr>
          <w:p w14:paraId="1BB7930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(二)顧問業務部門所提供之研究報告，該部門以外之人員是否未參與擬訂或複核。</w:t>
            </w:r>
          </w:p>
        </w:tc>
        <w:tc>
          <w:tcPr>
            <w:tcW w:w="5387" w:type="dxa"/>
            <w:tcBorders>
              <w:top w:val="nil"/>
              <w:bottom w:val="nil"/>
            </w:tcBorders>
          </w:tcPr>
          <w:p w14:paraId="6C905C2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(二)顧問業務部門所提供之研究報告，該部門以外之人員是否未參與擬訂或複核。</w:t>
            </w:r>
          </w:p>
        </w:tc>
        <w:tc>
          <w:tcPr>
            <w:tcW w:w="2023" w:type="dxa"/>
            <w:vMerge/>
            <w:tcBorders>
              <w:right w:val="single" w:sz="12" w:space="0" w:color="auto"/>
            </w:tcBorders>
          </w:tcPr>
          <w:p w14:paraId="792BC0C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1FF84A" w14:textId="77777777">
        <w:tc>
          <w:tcPr>
            <w:tcW w:w="1384" w:type="dxa"/>
            <w:vMerge/>
            <w:tcBorders>
              <w:left w:val="single" w:sz="12" w:space="0" w:color="auto"/>
            </w:tcBorders>
          </w:tcPr>
          <w:p w14:paraId="1AF5E668" w14:textId="77777777" w:rsidR="003B3105" w:rsidRDefault="003B3105" w:rsidP="001E533B">
            <w:pPr>
              <w:rPr>
                <w:rFonts w:ascii="新細明體" w:eastAsia="新細明體" w:hAnsi="新細明體"/>
              </w:rPr>
            </w:pPr>
          </w:p>
        </w:tc>
        <w:tc>
          <w:tcPr>
            <w:tcW w:w="1276" w:type="dxa"/>
            <w:vMerge/>
          </w:tcPr>
          <w:p w14:paraId="6694EF28" w14:textId="77777777" w:rsidR="003B3105" w:rsidRDefault="003B3105" w:rsidP="001E533B">
            <w:pPr>
              <w:rPr>
                <w:rFonts w:ascii="新細明體" w:eastAsia="新細明體" w:hAnsi="新細明體"/>
              </w:rPr>
            </w:pPr>
          </w:p>
        </w:tc>
        <w:tc>
          <w:tcPr>
            <w:tcW w:w="5386" w:type="dxa"/>
            <w:tcBorders>
              <w:top w:val="nil"/>
              <w:bottom w:val="nil"/>
            </w:tcBorders>
          </w:tcPr>
          <w:p w14:paraId="7AA7C76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(三)顧問業務部門所提供之研究報告經公開後一定時限內，除主管機關另有規定外，顧問業務部門以外之部門及人員是否未進行研究報告所建議標的之買賣。</w:t>
            </w:r>
          </w:p>
        </w:tc>
        <w:tc>
          <w:tcPr>
            <w:tcW w:w="5387" w:type="dxa"/>
            <w:tcBorders>
              <w:top w:val="nil"/>
              <w:bottom w:val="nil"/>
            </w:tcBorders>
          </w:tcPr>
          <w:p w14:paraId="11993CD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(三)顧問業務部門所提供之研究報告經公開後一定時限內，除主管機關另有規定外，顧問業務部門以外之部門及人員是否未進行研究報告所建議標的之買賣。</w:t>
            </w:r>
          </w:p>
        </w:tc>
        <w:tc>
          <w:tcPr>
            <w:tcW w:w="2023" w:type="dxa"/>
            <w:vMerge/>
            <w:tcBorders>
              <w:right w:val="single" w:sz="12" w:space="0" w:color="auto"/>
            </w:tcBorders>
          </w:tcPr>
          <w:p w14:paraId="3EBEF0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786DA0" w14:textId="77777777">
        <w:tc>
          <w:tcPr>
            <w:tcW w:w="1384" w:type="dxa"/>
            <w:vMerge/>
            <w:tcBorders>
              <w:left w:val="single" w:sz="12" w:space="0" w:color="auto"/>
            </w:tcBorders>
          </w:tcPr>
          <w:p w14:paraId="6B851442" w14:textId="77777777" w:rsidR="003B3105" w:rsidRDefault="003B3105" w:rsidP="001E533B">
            <w:pPr>
              <w:rPr>
                <w:rFonts w:ascii="新細明體" w:eastAsia="新細明體" w:hAnsi="新細明體"/>
              </w:rPr>
            </w:pPr>
          </w:p>
        </w:tc>
        <w:tc>
          <w:tcPr>
            <w:tcW w:w="1276" w:type="dxa"/>
            <w:vMerge/>
          </w:tcPr>
          <w:p w14:paraId="6B671EF6" w14:textId="77777777" w:rsidR="003B3105" w:rsidRDefault="003B3105" w:rsidP="001E533B">
            <w:pPr>
              <w:rPr>
                <w:rFonts w:ascii="新細明體" w:eastAsia="新細明體" w:hAnsi="新細明體"/>
              </w:rPr>
            </w:pPr>
          </w:p>
        </w:tc>
        <w:tc>
          <w:tcPr>
            <w:tcW w:w="5386" w:type="dxa"/>
            <w:tcBorders>
              <w:top w:val="nil"/>
              <w:bottom w:val="nil"/>
            </w:tcBorders>
          </w:tcPr>
          <w:p w14:paraId="6E1BAE4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(四)顧問業務部門之人員報酬或獎勵，是否未與其他部門績效直接關聯。</w:t>
            </w:r>
          </w:p>
        </w:tc>
        <w:tc>
          <w:tcPr>
            <w:tcW w:w="5387" w:type="dxa"/>
            <w:tcBorders>
              <w:top w:val="nil"/>
              <w:bottom w:val="nil"/>
            </w:tcBorders>
          </w:tcPr>
          <w:p w14:paraId="36FA2E8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(四)顧問業務部門之人員報酬或獎勵，是否未與其他部門績效直接關聯。</w:t>
            </w:r>
          </w:p>
        </w:tc>
        <w:tc>
          <w:tcPr>
            <w:tcW w:w="2023" w:type="dxa"/>
            <w:vMerge/>
            <w:tcBorders>
              <w:right w:val="single" w:sz="12" w:space="0" w:color="auto"/>
            </w:tcBorders>
          </w:tcPr>
          <w:p w14:paraId="36D74B8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C8160A" w14:textId="77777777">
        <w:tc>
          <w:tcPr>
            <w:tcW w:w="1384" w:type="dxa"/>
            <w:vMerge/>
            <w:tcBorders>
              <w:left w:val="single" w:sz="12" w:space="0" w:color="auto"/>
            </w:tcBorders>
          </w:tcPr>
          <w:p w14:paraId="33128431" w14:textId="77777777" w:rsidR="003B3105" w:rsidRDefault="003B3105" w:rsidP="001E533B">
            <w:pPr>
              <w:rPr>
                <w:rFonts w:ascii="新細明體" w:eastAsia="新細明體" w:hAnsi="新細明體"/>
              </w:rPr>
            </w:pPr>
          </w:p>
        </w:tc>
        <w:tc>
          <w:tcPr>
            <w:tcW w:w="1276" w:type="dxa"/>
            <w:vMerge/>
          </w:tcPr>
          <w:p w14:paraId="68662962" w14:textId="77777777" w:rsidR="003B3105" w:rsidRDefault="003B3105" w:rsidP="001E533B">
            <w:pPr>
              <w:rPr>
                <w:rFonts w:ascii="新細明體" w:eastAsia="新細明體" w:hAnsi="新細明體"/>
              </w:rPr>
            </w:pPr>
          </w:p>
        </w:tc>
        <w:tc>
          <w:tcPr>
            <w:tcW w:w="5386" w:type="dxa"/>
            <w:tcBorders>
              <w:top w:val="nil"/>
              <w:bottom w:val="nil"/>
            </w:tcBorders>
          </w:tcPr>
          <w:p w14:paraId="324E8FC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(五)承銷部門承銷有價證券，於輔導期間，或簽訂承銷契約至繳款截止日期間，顧問業務部門是否未建議該有價證券及其相關之衍生性金融商品之買賣。</w:t>
            </w:r>
          </w:p>
        </w:tc>
        <w:tc>
          <w:tcPr>
            <w:tcW w:w="5387" w:type="dxa"/>
            <w:tcBorders>
              <w:top w:val="nil"/>
              <w:bottom w:val="nil"/>
            </w:tcBorders>
          </w:tcPr>
          <w:p w14:paraId="0AEEDD2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(五)承銷部門承銷有價證券，於輔導期間，或簽訂承銷契約至繳款截止日期間，顧問業務部門是否未建議該有價證券及其相關之衍生性金融商品之買賣。</w:t>
            </w:r>
          </w:p>
        </w:tc>
        <w:tc>
          <w:tcPr>
            <w:tcW w:w="2023" w:type="dxa"/>
            <w:vMerge/>
            <w:tcBorders>
              <w:right w:val="single" w:sz="12" w:space="0" w:color="auto"/>
            </w:tcBorders>
          </w:tcPr>
          <w:p w14:paraId="08A7C1F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AAC968" w14:textId="77777777">
        <w:tc>
          <w:tcPr>
            <w:tcW w:w="1384" w:type="dxa"/>
            <w:vMerge/>
            <w:tcBorders>
              <w:left w:val="single" w:sz="12" w:space="0" w:color="auto"/>
            </w:tcBorders>
          </w:tcPr>
          <w:p w14:paraId="65024F27" w14:textId="77777777" w:rsidR="003B3105" w:rsidRDefault="003B3105" w:rsidP="001E533B">
            <w:pPr>
              <w:rPr>
                <w:rFonts w:ascii="新細明體" w:eastAsia="新細明體" w:hAnsi="新細明體"/>
              </w:rPr>
            </w:pPr>
          </w:p>
        </w:tc>
        <w:tc>
          <w:tcPr>
            <w:tcW w:w="1276" w:type="dxa"/>
            <w:vMerge/>
          </w:tcPr>
          <w:p w14:paraId="24A37CFC" w14:textId="77777777" w:rsidR="003B3105" w:rsidRDefault="003B3105" w:rsidP="001E533B">
            <w:pPr>
              <w:rPr>
                <w:rFonts w:ascii="新細明體" w:eastAsia="新細明體" w:hAnsi="新細明體"/>
              </w:rPr>
            </w:pPr>
          </w:p>
        </w:tc>
        <w:tc>
          <w:tcPr>
            <w:tcW w:w="5386" w:type="dxa"/>
            <w:tcBorders>
              <w:top w:val="nil"/>
              <w:bottom w:val="nil"/>
            </w:tcBorders>
          </w:tcPr>
          <w:p w14:paraId="2EFEA60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(六)包銷所取得之有價證券未處理完竣前，顧問業務部門是否未建議買進該有價證券。</w:t>
            </w:r>
          </w:p>
        </w:tc>
        <w:tc>
          <w:tcPr>
            <w:tcW w:w="5387" w:type="dxa"/>
            <w:tcBorders>
              <w:top w:val="nil"/>
              <w:bottom w:val="nil"/>
            </w:tcBorders>
          </w:tcPr>
          <w:p w14:paraId="7A33B27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(六)包銷所取得之有價證券未處理完竣前，顧問業務部門是否未建議買進該有價證券。</w:t>
            </w:r>
          </w:p>
        </w:tc>
        <w:tc>
          <w:tcPr>
            <w:tcW w:w="2023" w:type="dxa"/>
            <w:vMerge/>
            <w:tcBorders>
              <w:right w:val="single" w:sz="12" w:space="0" w:color="auto"/>
            </w:tcBorders>
          </w:tcPr>
          <w:p w14:paraId="2C5205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7D7A96" w14:textId="77777777">
        <w:tc>
          <w:tcPr>
            <w:tcW w:w="1384" w:type="dxa"/>
            <w:vMerge/>
            <w:tcBorders>
              <w:left w:val="single" w:sz="12" w:space="0" w:color="auto"/>
            </w:tcBorders>
          </w:tcPr>
          <w:p w14:paraId="6FFD91EA" w14:textId="77777777" w:rsidR="003B3105" w:rsidRDefault="003B3105" w:rsidP="001E533B">
            <w:pPr>
              <w:rPr>
                <w:rFonts w:ascii="新細明體" w:eastAsia="新細明體" w:hAnsi="新細明體"/>
              </w:rPr>
            </w:pPr>
          </w:p>
        </w:tc>
        <w:tc>
          <w:tcPr>
            <w:tcW w:w="1276" w:type="dxa"/>
            <w:vMerge/>
          </w:tcPr>
          <w:p w14:paraId="6DD3B6DD" w14:textId="77777777" w:rsidR="003B3105" w:rsidRDefault="003B3105" w:rsidP="001E533B">
            <w:pPr>
              <w:rPr>
                <w:rFonts w:ascii="新細明體" w:eastAsia="新細明體" w:hAnsi="新細明體"/>
              </w:rPr>
            </w:pPr>
          </w:p>
        </w:tc>
        <w:tc>
          <w:tcPr>
            <w:tcW w:w="5386" w:type="dxa"/>
            <w:tcBorders>
              <w:top w:val="nil"/>
              <w:bottom w:val="nil"/>
            </w:tcBorders>
          </w:tcPr>
          <w:p w14:paraId="6E1B3C0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(七)經紀部門轉介客戶，是否避免發生利益衝突之情形，並訂定轉介客戶之作業程序；經紀與顧問業務部門間如涉有佣金或類似佣金性質之獎金分配情形者，是否訂定佣金計算標準。</w:t>
            </w:r>
          </w:p>
        </w:tc>
        <w:tc>
          <w:tcPr>
            <w:tcW w:w="5387" w:type="dxa"/>
            <w:tcBorders>
              <w:top w:val="nil"/>
              <w:bottom w:val="nil"/>
            </w:tcBorders>
          </w:tcPr>
          <w:p w14:paraId="25DB19E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(七)經紀部門轉介客戶，是否避免發生利益衝突之情形，並訂定轉介客戶之作業程序；經紀與顧問業務部門間如涉有佣金或類似佣金性質之獎金分配情形者，是否訂定佣金計算標準。</w:t>
            </w:r>
          </w:p>
        </w:tc>
        <w:tc>
          <w:tcPr>
            <w:tcW w:w="2023" w:type="dxa"/>
            <w:vMerge/>
            <w:tcBorders>
              <w:right w:val="single" w:sz="12" w:space="0" w:color="auto"/>
            </w:tcBorders>
          </w:tcPr>
          <w:p w14:paraId="617EB89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005E79" w14:textId="77777777">
        <w:tc>
          <w:tcPr>
            <w:tcW w:w="1384" w:type="dxa"/>
            <w:vMerge/>
            <w:tcBorders>
              <w:left w:val="single" w:sz="12" w:space="0" w:color="auto"/>
            </w:tcBorders>
          </w:tcPr>
          <w:p w14:paraId="49D4A9A1" w14:textId="77777777" w:rsidR="003B3105" w:rsidRDefault="003B3105" w:rsidP="001E533B">
            <w:pPr>
              <w:rPr>
                <w:rFonts w:ascii="新細明體" w:eastAsia="新細明體" w:hAnsi="新細明體"/>
              </w:rPr>
            </w:pPr>
          </w:p>
        </w:tc>
        <w:tc>
          <w:tcPr>
            <w:tcW w:w="1276" w:type="dxa"/>
            <w:vMerge/>
          </w:tcPr>
          <w:p w14:paraId="7E7C56DB" w14:textId="77777777" w:rsidR="003B3105" w:rsidRDefault="003B3105" w:rsidP="001E533B">
            <w:pPr>
              <w:rPr>
                <w:rFonts w:ascii="新細明體" w:eastAsia="新細明體" w:hAnsi="新細明體"/>
              </w:rPr>
            </w:pPr>
          </w:p>
        </w:tc>
        <w:tc>
          <w:tcPr>
            <w:tcW w:w="5386" w:type="dxa"/>
            <w:tcBorders>
              <w:top w:val="nil"/>
              <w:bottom w:val="nil"/>
            </w:tcBorders>
          </w:tcPr>
          <w:p w14:paraId="031D19C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(八)公司兼營顧問業務，是否除依照各業有關之場地及設備標準規定辦理外，總公司顧問業務部門是否具備獨立並與其他部門區隔之辦公處所，並是否建立門禁管制及留</w:t>
            </w:r>
            <w:r>
              <w:rPr>
                <w:rFonts w:ascii="新細明體" w:eastAsia="新細明體" w:hAnsi="新細明體" w:cs="新細明體" w:hint="eastAsia"/>
              </w:rPr>
              <w:lastRenderedPageBreak/>
              <w:t>存進出紀錄備查。</w:t>
            </w:r>
          </w:p>
        </w:tc>
        <w:tc>
          <w:tcPr>
            <w:tcW w:w="5387" w:type="dxa"/>
            <w:tcBorders>
              <w:top w:val="nil"/>
              <w:bottom w:val="nil"/>
            </w:tcBorders>
          </w:tcPr>
          <w:p w14:paraId="0E73AC4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(八)公司兼營顧問業務，是否除依照各業有關之場地及設備標準規定辦理外，總公司顧問業務部門是否具備獨立並與其他部門區隔之辦公處所，並是否建立門禁管制及留</w:t>
            </w:r>
            <w:r>
              <w:rPr>
                <w:rFonts w:ascii="新細明體" w:eastAsia="新細明體" w:hAnsi="新細明體" w:cs="新細明體" w:hint="eastAsia"/>
              </w:rPr>
              <w:lastRenderedPageBreak/>
              <w:t>存進出紀錄備查。</w:t>
            </w:r>
          </w:p>
        </w:tc>
        <w:tc>
          <w:tcPr>
            <w:tcW w:w="2023" w:type="dxa"/>
            <w:vMerge/>
            <w:tcBorders>
              <w:right w:val="single" w:sz="12" w:space="0" w:color="auto"/>
            </w:tcBorders>
          </w:tcPr>
          <w:p w14:paraId="06A4313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DE95B4" w14:textId="77777777">
        <w:tc>
          <w:tcPr>
            <w:tcW w:w="1384" w:type="dxa"/>
            <w:vMerge/>
            <w:tcBorders>
              <w:left w:val="single" w:sz="12" w:space="0" w:color="auto"/>
            </w:tcBorders>
          </w:tcPr>
          <w:p w14:paraId="7D3525D7" w14:textId="77777777" w:rsidR="003B3105" w:rsidRDefault="003B3105" w:rsidP="001E533B">
            <w:pPr>
              <w:rPr>
                <w:rFonts w:ascii="新細明體" w:eastAsia="新細明體" w:hAnsi="新細明體"/>
              </w:rPr>
            </w:pPr>
          </w:p>
        </w:tc>
        <w:tc>
          <w:tcPr>
            <w:tcW w:w="1276" w:type="dxa"/>
            <w:vMerge/>
          </w:tcPr>
          <w:p w14:paraId="7AF999CB" w14:textId="77777777" w:rsidR="003B3105" w:rsidRDefault="003B3105" w:rsidP="001E533B">
            <w:pPr>
              <w:rPr>
                <w:rFonts w:ascii="新細明體" w:eastAsia="新細明體" w:hAnsi="新細明體"/>
              </w:rPr>
            </w:pPr>
          </w:p>
        </w:tc>
        <w:tc>
          <w:tcPr>
            <w:tcW w:w="5386" w:type="dxa"/>
            <w:tcBorders>
              <w:top w:val="nil"/>
              <w:bottom w:val="nil"/>
            </w:tcBorders>
          </w:tcPr>
          <w:p w14:paraId="548E082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(九)顧問業務部門是否配置適足、適任之經理人、業務人員，除內部稽核人員得由證券商部門登記之內部稽核人員兼任外，是否符合各業管理規則規定之資格條件。</w:t>
            </w:r>
          </w:p>
        </w:tc>
        <w:tc>
          <w:tcPr>
            <w:tcW w:w="5387" w:type="dxa"/>
            <w:tcBorders>
              <w:top w:val="nil"/>
              <w:bottom w:val="nil"/>
            </w:tcBorders>
          </w:tcPr>
          <w:p w14:paraId="67DB2F9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(九)顧問業務部門是否配置適足、適任之經理人、業務人員，除內部稽核人員得由證券商部門登記之內部稽核人員兼任外，是否符合各業管理規則規定之資格條件。</w:t>
            </w:r>
            <w:r>
              <w:rPr>
                <w:rFonts w:ascii="新細明體" w:eastAsia="新細明體" w:hAnsi="新細明體" w:cs="新細明體" w:hint="eastAsia"/>
                <w:b/>
                <w:color w:val="FF0000"/>
              </w:rPr>
              <w:t>兼營期貨顧問業務之內部稽核人員由證券商部門登記之內部稽核人員兼任者，該兼任之內部稽核人員，於初任及離職滿二年再任者，是否依規定參加職前訓練。</w:t>
            </w:r>
          </w:p>
        </w:tc>
        <w:tc>
          <w:tcPr>
            <w:tcW w:w="2023" w:type="dxa"/>
            <w:vMerge/>
            <w:tcBorders>
              <w:right w:val="single" w:sz="12" w:space="0" w:color="auto"/>
            </w:tcBorders>
          </w:tcPr>
          <w:p w14:paraId="5EBE48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0C7A8D" w14:textId="77777777">
        <w:tc>
          <w:tcPr>
            <w:tcW w:w="1384" w:type="dxa"/>
            <w:vMerge/>
            <w:tcBorders>
              <w:left w:val="single" w:sz="12" w:space="0" w:color="auto"/>
            </w:tcBorders>
          </w:tcPr>
          <w:p w14:paraId="2A21EDB6" w14:textId="77777777" w:rsidR="003B3105" w:rsidRDefault="003B3105" w:rsidP="001E533B">
            <w:pPr>
              <w:rPr>
                <w:rFonts w:ascii="新細明體" w:eastAsia="新細明體" w:hAnsi="新細明體"/>
              </w:rPr>
            </w:pPr>
          </w:p>
        </w:tc>
        <w:tc>
          <w:tcPr>
            <w:tcW w:w="1276" w:type="dxa"/>
            <w:vMerge/>
          </w:tcPr>
          <w:p w14:paraId="72A9385B" w14:textId="77777777" w:rsidR="003B3105" w:rsidRDefault="003B3105" w:rsidP="001E533B">
            <w:pPr>
              <w:rPr>
                <w:rFonts w:ascii="新細明體" w:eastAsia="新細明體" w:hAnsi="新細明體"/>
              </w:rPr>
            </w:pPr>
          </w:p>
        </w:tc>
        <w:tc>
          <w:tcPr>
            <w:tcW w:w="5386" w:type="dxa"/>
            <w:tcBorders>
              <w:top w:val="nil"/>
              <w:bottom w:val="nil"/>
            </w:tcBorders>
          </w:tcPr>
          <w:p w14:paraId="60E3E1B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公司兼營顧問業務之內部控制制度，是否載明資訊交互運用、廣告、舉辦講習或投資分析活動或提供研究分析報告或建議等經營業務有關之利益衝突防範及風險區隔作業事項；公司經營業務是否符合上開作業事項規範。</w:t>
            </w:r>
          </w:p>
        </w:tc>
        <w:tc>
          <w:tcPr>
            <w:tcW w:w="5387" w:type="dxa"/>
            <w:tcBorders>
              <w:top w:val="nil"/>
              <w:bottom w:val="nil"/>
            </w:tcBorders>
          </w:tcPr>
          <w:p w14:paraId="2156D74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公司兼營顧問業務之內部控制制度，是否載明資訊交互運用、廣告、舉辦講習或投資分析活動或提供研究分析報告或建議等經營業務有關之利益衝突防範及風險區隔作業事項；公司經營業務是否符合上開作業事項規範。</w:t>
            </w:r>
          </w:p>
        </w:tc>
        <w:tc>
          <w:tcPr>
            <w:tcW w:w="2023" w:type="dxa"/>
            <w:vMerge/>
            <w:tcBorders>
              <w:right w:val="single" w:sz="12" w:space="0" w:color="auto"/>
            </w:tcBorders>
          </w:tcPr>
          <w:p w14:paraId="1B8CFE8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一)公司兼營期貨顧問業務提供期貨交易分析意見或建議時，是否作成交易分析報告，載明分析基礎及根據。該分析意見或建議及相關資訊，於提供予委任人（客戶）之前是否未提供或傳遞予其他業務部門，且未以其他業務部門之資訊或意見為其分析基礎及根據。</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公司兼營期貨顧問業務提供期貨交易分析意見或建議時，是否作成交易分析報告，載明分析基礎及根據。該分析意見或建議及相關資訊，於提供予委任人（客戶）之前是否未提供或傳遞予其他業務部門，且未以其他業務部門之資訊或意見為其分析基礎及根據。</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27B69" w14:textId="77777777" w:rsidR="00B96F3A" w:rsidRDefault="00B96F3A" w:rsidP="00E87601">
      <w:pPr>
        <w:spacing w:line="240" w:lineRule="auto"/>
      </w:pPr>
      <w:r>
        <w:separator/>
      </w:r>
    </w:p>
  </w:endnote>
  <w:endnote w:type="continuationSeparator" w:id="0">
    <w:p w14:paraId="1FA24727" w14:textId="77777777" w:rsidR="00B96F3A" w:rsidRDefault="00B96F3A"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3F235" w14:textId="77777777" w:rsidR="00B96F3A" w:rsidRDefault="00B96F3A" w:rsidP="00E87601">
      <w:pPr>
        <w:spacing w:line="240" w:lineRule="auto"/>
      </w:pPr>
      <w:r>
        <w:separator/>
      </w:r>
    </w:p>
  </w:footnote>
  <w:footnote w:type="continuationSeparator" w:id="0">
    <w:p w14:paraId="4C0588BB" w14:textId="77777777" w:rsidR="00B96F3A" w:rsidRDefault="00B96F3A"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96F3A"/>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DD53A0"/>
    <w:rsid w:val="00DE4F81"/>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259</Words>
  <Characters>1482</Characters>
  <Application>Microsoft Office Word</Application>
  <DocSecurity>0</DocSecurity>
  <Lines>12</Lines>
  <Paragraphs>3</Paragraphs>
  <ScaleCrop>false</ScaleCrop>
  <Company>Hewlett-Packard Company</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15</cp:revision>
  <cp:lastPrinted>2004-03-09T19:20:00Z</cp:lastPrinted>
  <dcterms:created xsi:type="dcterms:W3CDTF">2025-04-18T10:47:00Z</dcterms:created>
  <dcterms:modified xsi:type="dcterms:W3CDTF">2026-05-19T03:03:00Z</dcterms:modified>
</cp:coreProperties>
</file>