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47BCE206"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1"/>
        <w:gridCol w:w="5354"/>
        <w:gridCol w:w="5355"/>
        <w:gridCol w:w="2011"/>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普通交易帳戶：開戶手續及審核作業之稽核</w:t>
            </w:r>
          </w:p>
          <w:p w14:paraId="27963442"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485FA184"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配合證券商設置標準修訂，開放證券商得設置簡易分支機構或將一般分支機構變更為簡易分支機構，爰修正之。</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(一)開戶契約之填寫內容、附件及審查程序是否完整且符合規定。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(一)開戶契約之填寫內容、附件及審查程序是否完整且符合規定。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E5A50A" w14:textId="77777777">
        <w:tc>
          <w:tcPr>
            <w:tcW w:w="1384" w:type="dxa"/>
            <w:vMerge/>
            <w:tcBorders>
              <w:left w:val="single" w:sz="12" w:space="0" w:color="auto"/>
            </w:tcBorders>
          </w:tcPr>
          <w:p w14:paraId="17C4211E" w14:textId="77777777" w:rsidR="003B3105" w:rsidRDefault="003B3105" w:rsidP="001E533B">
            <w:pPr>
              <w:rPr>
                <w:rFonts w:ascii="新細明體" w:eastAsia="新細明體" w:hAnsi="新細明體"/>
              </w:rPr>
            </w:pPr>
          </w:p>
        </w:tc>
        <w:tc>
          <w:tcPr>
            <w:tcW w:w="1276" w:type="dxa"/>
            <w:vMerge/>
          </w:tcPr>
          <w:p w14:paraId="5A373F68" w14:textId="77777777" w:rsidR="003B3105" w:rsidRDefault="003B3105" w:rsidP="001E533B">
            <w:pPr>
              <w:rPr>
                <w:rFonts w:ascii="新細明體" w:eastAsia="新細明體" w:hAnsi="新細明體"/>
              </w:rPr>
            </w:pPr>
          </w:p>
        </w:tc>
        <w:tc>
          <w:tcPr>
            <w:tcW w:w="5386" w:type="dxa"/>
            <w:tcBorders>
              <w:top w:val="nil"/>
              <w:bottom w:val="nil"/>
            </w:tcBorders>
          </w:tcPr>
          <w:p w14:paraId="14886B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(二)客戶是否無不得開戶之情事。</w:t>
            </w:r>
          </w:p>
        </w:tc>
        <w:tc>
          <w:tcPr>
            <w:tcW w:w="5387" w:type="dxa"/>
            <w:tcBorders>
              <w:top w:val="nil"/>
              <w:bottom w:val="nil"/>
            </w:tcBorders>
          </w:tcPr>
          <w:p w14:paraId="509F23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(二)客戶是否無不得開戶之情事。</w:t>
            </w:r>
          </w:p>
        </w:tc>
        <w:tc>
          <w:tcPr>
            <w:tcW w:w="2023" w:type="dxa"/>
            <w:vMerge/>
            <w:tcBorders>
              <w:right w:val="single" w:sz="12" w:space="0" w:color="auto"/>
            </w:tcBorders>
          </w:tcPr>
          <w:p w14:paraId="042F33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9B3CF7" w14:textId="77777777">
        <w:tc>
          <w:tcPr>
            <w:tcW w:w="1384" w:type="dxa"/>
            <w:vMerge/>
            <w:tcBorders>
              <w:left w:val="single" w:sz="12" w:space="0" w:color="auto"/>
            </w:tcBorders>
          </w:tcPr>
          <w:p w14:paraId="01F93EDD" w14:textId="77777777" w:rsidR="003B3105" w:rsidRDefault="003B3105" w:rsidP="001E533B">
            <w:pPr>
              <w:rPr>
                <w:rFonts w:ascii="新細明體" w:eastAsia="新細明體" w:hAnsi="新細明體"/>
              </w:rPr>
            </w:pPr>
          </w:p>
        </w:tc>
        <w:tc>
          <w:tcPr>
            <w:tcW w:w="1276" w:type="dxa"/>
            <w:vMerge/>
          </w:tcPr>
          <w:p w14:paraId="51ED49AC" w14:textId="77777777" w:rsidR="003B3105" w:rsidRDefault="003B3105" w:rsidP="001E533B">
            <w:pPr>
              <w:rPr>
                <w:rFonts w:ascii="新細明體" w:eastAsia="新細明體" w:hAnsi="新細明體"/>
              </w:rPr>
            </w:pPr>
          </w:p>
        </w:tc>
        <w:tc>
          <w:tcPr>
            <w:tcW w:w="5386" w:type="dxa"/>
            <w:tcBorders>
              <w:top w:val="nil"/>
              <w:bottom w:val="nil"/>
            </w:tcBorders>
          </w:tcPr>
          <w:p w14:paraId="17303D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(三)除因特殊情況並註明原因者，得將特定帳號予以空號處理外，帳號編列是否依順序編號且無選號、跳號、空號或重複編號情形。</w:t>
            </w:r>
          </w:p>
        </w:tc>
        <w:tc>
          <w:tcPr>
            <w:tcW w:w="5387" w:type="dxa"/>
            <w:tcBorders>
              <w:top w:val="nil"/>
              <w:bottom w:val="nil"/>
            </w:tcBorders>
          </w:tcPr>
          <w:p w14:paraId="30C0BF8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(三)除因特殊情況並註明原因者，得將特定帳號予以空號處理外，帳號編列是否依順序編號且無選號、跳號、空號或重複編號情形。</w:t>
            </w:r>
          </w:p>
        </w:tc>
        <w:tc>
          <w:tcPr>
            <w:tcW w:w="2023" w:type="dxa"/>
            <w:vMerge/>
            <w:tcBorders>
              <w:right w:val="single" w:sz="12" w:space="0" w:color="auto"/>
            </w:tcBorders>
          </w:tcPr>
          <w:p w14:paraId="6D80DC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2F7F8E" w14:textId="77777777">
        <w:tc>
          <w:tcPr>
            <w:tcW w:w="1384" w:type="dxa"/>
            <w:vMerge/>
            <w:tcBorders>
              <w:left w:val="single" w:sz="12" w:space="0" w:color="auto"/>
            </w:tcBorders>
          </w:tcPr>
          <w:p w14:paraId="757E7484" w14:textId="77777777" w:rsidR="003B3105" w:rsidRDefault="003B3105" w:rsidP="001E533B">
            <w:pPr>
              <w:rPr>
                <w:rFonts w:ascii="新細明體" w:eastAsia="新細明體" w:hAnsi="新細明體"/>
              </w:rPr>
            </w:pPr>
          </w:p>
        </w:tc>
        <w:tc>
          <w:tcPr>
            <w:tcW w:w="1276" w:type="dxa"/>
            <w:vMerge/>
          </w:tcPr>
          <w:p w14:paraId="0F48F347" w14:textId="77777777" w:rsidR="003B3105" w:rsidRDefault="003B3105" w:rsidP="001E533B">
            <w:pPr>
              <w:rPr>
                <w:rFonts w:ascii="新細明體" w:eastAsia="新細明體" w:hAnsi="新細明體"/>
              </w:rPr>
            </w:pPr>
          </w:p>
        </w:tc>
        <w:tc>
          <w:tcPr>
            <w:tcW w:w="5386" w:type="dxa"/>
            <w:tcBorders>
              <w:top w:val="nil"/>
              <w:bottom w:val="nil"/>
            </w:tcBorders>
          </w:tcPr>
          <w:p w14:paraId="7CA9A01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(四)曾註銷之帳號重新編列使用時，是否非當年度註銷之空號，並是否依序填補。</w:t>
            </w:r>
          </w:p>
        </w:tc>
        <w:tc>
          <w:tcPr>
            <w:tcW w:w="5387" w:type="dxa"/>
            <w:tcBorders>
              <w:top w:val="nil"/>
              <w:bottom w:val="nil"/>
            </w:tcBorders>
          </w:tcPr>
          <w:p w14:paraId="126E8BA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(四)曾註銷之帳號重新編列使用時，是否非當年度註銷之空號，並是否依序填補。</w:t>
            </w:r>
          </w:p>
        </w:tc>
        <w:tc>
          <w:tcPr>
            <w:tcW w:w="2023" w:type="dxa"/>
            <w:vMerge/>
            <w:tcBorders>
              <w:right w:val="single" w:sz="12" w:space="0" w:color="auto"/>
            </w:tcBorders>
          </w:tcPr>
          <w:p w14:paraId="35EFAF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60D95E" w14:textId="77777777">
        <w:tc>
          <w:tcPr>
            <w:tcW w:w="1384" w:type="dxa"/>
            <w:vMerge/>
            <w:tcBorders>
              <w:left w:val="single" w:sz="12" w:space="0" w:color="auto"/>
            </w:tcBorders>
          </w:tcPr>
          <w:p w14:paraId="043D4CAC" w14:textId="77777777" w:rsidR="003B3105" w:rsidRDefault="003B3105" w:rsidP="001E533B">
            <w:pPr>
              <w:rPr>
                <w:rFonts w:ascii="新細明體" w:eastAsia="新細明體" w:hAnsi="新細明體"/>
              </w:rPr>
            </w:pPr>
          </w:p>
        </w:tc>
        <w:tc>
          <w:tcPr>
            <w:tcW w:w="1276" w:type="dxa"/>
            <w:vMerge/>
          </w:tcPr>
          <w:p w14:paraId="3EB30D0B" w14:textId="77777777" w:rsidR="003B3105" w:rsidRDefault="003B3105" w:rsidP="001E533B">
            <w:pPr>
              <w:rPr>
                <w:rFonts w:ascii="新細明體" w:eastAsia="新細明體" w:hAnsi="新細明體"/>
              </w:rPr>
            </w:pPr>
          </w:p>
        </w:tc>
        <w:tc>
          <w:tcPr>
            <w:tcW w:w="5386" w:type="dxa"/>
            <w:tcBorders>
              <w:top w:val="nil"/>
              <w:bottom w:val="nil"/>
            </w:tcBorders>
          </w:tcPr>
          <w:p w14:paraId="76083F6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(五)代理開戶者是否去函客戶之戶籍地址查證是否親自委託開戶，函覆結果是否無冒用之情事。</w:t>
            </w:r>
          </w:p>
        </w:tc>
        <w:tc>
          <w:tcPr>
            <w:tcW w:w="5387" w:type="dxa"/>
            <w:tcBorders>
              <w:top w:val="nil"/>
              <w:bottom w:val="nil"/>
            </w:tcBorders>
          </w:tcPr>
          <w:p w14:paraId="3576300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(五)代理開戶者是否去函客戶之戶籍地址查證是否親自委託開戶，函覆結果是否無冒用之情事。</w:t>
            </w:r>
          </w:p>
        </w:tc>
        <w:tc>
          <w:tcPr>
            <w:tcW w:w="2023" w:type="dxa"/>
            <w:vMerge/>
            <w:tcBorders>
              <w:right w:val="single" w:sz="12" w:space="0" w:color="auto"/>
            </w:tcBorders>
          </w:tcPr>
          <w:p w14:paraId="121D91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40C8D9" w14:textId="77777777">
        <w:tc>
          <w:tcPr>
            <w:tcW w:w="1384" w:type="dxa"/>
            <w:vMerge/>
            <w:tcBorders>
              <w:left w:val="single" w:sz="12" w:space="0" w:color="auto"/>
            </w:tcBorders>
          </w:tcPr>
          <w:p w14:paraId="057FABAA" w14:textId="77777777" w:rsidR="003B3105" w:rsidRDefault="003B3105" w:rsidP="001E533B">
            <w:pPr>
              <w:rPr>
                <w:rFonts w:ascii="新細明體" w:eastAsia="新細明體" w:hAnsi="新細明體"/>
              </w:rPr>
            </w:pPr>
          </w:p>
        </w:tc>
        <w:tc>
          <w:tcPr>
            <w:tcW w:w="1276" w:type="dxa"/>
            <w:vMerge/>
          </w:tcPr>
          <w:p w14:paraId="0DE95B4C" w14:textId="77777777" w:rsidR="003B3105" w:rsidRDefault="003B3105" w:rsidP="001E533B">
            <w:pPr>
              <w:rPr>
                <w:rFonts w:ascii="新細明體" w:eastAsia="新細明體" w:hAnsi="新細明體"/>
              </w:rPr>
            </w:pPr>
          </w:p>
        </w:tc>
        <w:tc>
          <w:tcPr>
            <w:tcW w:w="5386" w:type="dxa"/>
            <w:tcBorders>
              <w:top w:val="nil"/>
              <w:bottom w:val="nil"/>
            </w:tcBorders>
          </w:tcPr>
          <w:p w14:paraId="4C60317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(六)內部人員開戶帳號是否與其他客戶區分，原已開立之普通交易帳戶是否已註銷。</w:t>
            </w:r>
          </w:p>
        </w:tc>
        <w:tc>
          <w:tcPr>
            <w:tcW w:w="5387" w:type="dxa"/>
            <w:tcBorders>
              <w:top w:val="nil"/>
              <w:bottom w:val="nil"/>
            </w:tcBorders>
          </w:tcPr>
          <w:p w14:paraId="2156D80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(六)內部人員開戶帳號是否與其他客戶區分，原已開立之普通交易帳戶是否已註銷。</w:t>
            </w:r>
          </w:p>
        </w:tc>
        <w:tc>
          <w:tcPr>
            <w:tcW w:w="2023" w:type="dxa"/>
            <w:vMerge/>
            <w:tcBorders>
              <w:right w:val="single" w:sz="12" w:space="0" w:color="auto"/>
            </w:tcBorders>
          </w:tcPr>
          <w:p w14:paraId="1BA991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3A0628" w14:textId="77777777">
        <w:tc>
          <w:tcPr>
            <w:tcW w:w="1384" w:type="dxa"/>
            <w:vMerge/>
            <w:tcBorders>
              <w:left w:val="single" w:sz="12" w:space="0" w:color="auto"/>
            </w:tcBorders>
          </w:tcPr>
          <w:p w14:paraId="776620BE" w14:textId="77777777" w:rsidR="003B3105" w:rsidRDefault="003B3105" w:rsidP="001E533B">
            <w:pPr>
              <w:rPr>
                <w:rFonts w:ascii="新細明體" w:eastAsia="新細明體" w:hAnsi="新細明體"/>
              </w:rPr>
            </w:pPr>
          </w:p>
        </w:tc>
        <w:tc>
          <w:tcPr>
            <w:tcW w:w="1276" w:type="dxa"/>
            <w:vMerge/>
          </w:tcPr>
          <w:p w14:paraId="24031927" w14:textId="77777777" w:rsidR="003B3105" w:rsidRDefault="003B3105" w:rsidP="001E533B">
            <w:pPr>
              <w:rPr>
                <w:rFonts w:ascii="新細明體" w:eastAsia="新細明體" w:hAnsi="新細明體"/>
              </w:rPr>
            </w:pPr>
          </w:p>
        </w:tc>
        <w:tc>
          <w:tcPr>
            <w:tcW w:w="5386" w:type="dxa"/>
            <w:tcBorders>
              <w:top w:val="nil"/>
              <w:bottom w:val="nil"/>
            </w:tcBorders>
          </w:tcPr>
          <w:p w14:paraId="25E8B80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(七)對開戶者資格之審查及查對身分證明有關項目應確實依照公司內部控制制度所定之審查程序辦理。</w:t>
            </w:r>
          </w:p>
        </w:tc>
        <w:tc>
          <w:tcPr>
            <w:tcW w:w="5387" w:type="dxa"/>
            <w:tcBorders>
              <w:top w:val="nil"/>
              <w:bottom w:val="nil"/>
            </w:tcBorders>
          </w:tcPr>
          <w:p w14:paraId="6BE8834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(七)對開戶者資格之審查及查對身分證明有關項目應確實依照公司內部控制制度所定之審查程序辦理。</w:t>
            </w:r>
          </w:p>
        </w:tc>
        <w:tc>
          <w:tcPr>
            <w:tcW w:w="2023" w:type="dxa"/>
            <w:vMerge/>
            <w:tcBorders>
              <w:right w:val="single" w:sz="12" w:space="0" w:color="auto"/>
            </w:tcBorders>
          </w:tcPr>
          <w:p w14:paraId="52008D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E3B1BA" w14:textId="77777777">
        <w:tc>
          <w:tcPr>
            <w:tcW w:w="1384" w:type="dxa"/>
            <w:vMerge/>
            <w:tcBorders>
              <w:left w:val="single" w:sz="12" w:space="0" w:color="auto"/>
            </w:tcBorders>
          </w:tcPr>
          <w:p w14:paraId="1F0B3368" w14:textId="77777777" w:rsidR="003B3105" w:rsidRDefault="003B3105" w:rsidP="001E533B">
            <w:pPr>
              <w:rPr>
                <w:rFonts w:ascii="新細明體" w:eastAsia="新細明體" w:hAnsi="新細明體"/>
              </w:rPr>
            </w:pPr>
          </w:p>
        </w:tc>
        <w:tc>
          <w:tcPr>
            <w:tcW w:w="1276" w:type="dxa"/>
            <w:vMerge/>
          </w:tcPr>
          <w:p w14:paraId="0BBFCE76" w14:textId="77777777" w:rsidR="003B3105" w:rsidRDefault="003B3105" w:rsidP="001E533B">
            <w:pPr>
              <w:rPr>
                <w:rFonts w:ascii="新細明體" w:eastAsia="新細明體" w:hAnsi="新細明體"/>
              </w:rPr>
            </w:pPr>
          </w:p>
        </w:tc>
        <w:tc>
          <w:tcPr>
            <w:tcW w:w="5386" w:type="dxa"/>
            <w:tcBorders>
              <w:top w:val="nil"/>
              <w:bottom w:val="nil"/>
            </w:tcBorders>
          </w:tcPr>
          <w:p w14:paraId="586048C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非完成開戶手續，或代理開戶之客戶名義非屬自然人者（境外外國人及公司於自己公司所設錯帳處理專戶除外）之函證確認程序，並將開戶資料(基本資料及輔助性資料)及帳號鍵入證交所或櫃檯買賣中心電腦檔案者，不得通知營業部門接受客戶之委託，並是否就鍵入資料詳予核對有無錯誤及留存覆核紀錄。</w:t>
            </w:r>
          </w:p>
        </w:tc>
        <w:tc>
          <w:tcPr>
            <w:tcW w:w="5387" w:type="dxa"/>
            <w:tcBorders>
              <w:top w:val="nil"/>
              <w:bottom w:val="nil"/>
            </w:tcBorders>
          </w:tcPr>
          <w:p w14:paraId="00D3DD5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非完成開戶手續，或代理開戶之客戶名義非屬自然人者（境外外國人及公司於自己公司所設錯帳處理專戶除外）之函證確認程序，並將開戶資料(基本資料及輔助性資料)及帳號鍵入證交所或櫃檯買賣中心電腦檔案者，不得通知營業部門接受客戶之委託，並是否就鍵入資料詳予核對有無錯誤及留存覆核紀錄。</w:t>
            </w:r>
          </w:p>
        </w:tc>
        <w:tc>
          <w:tcPr>
            <w:tcW w:w="2023" w:type="dxa"/>
            <w:vMerge/>
            <w:tcBorders>
              <w:right w:val="single" w:sz="12" w:space="0" w:color="auto"/>
            </w:tcBorders>
          </w:tcPr>
          <w:p w14:paraId="5ADE58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C26A57" w14:textId="77777777">
        <w:tc>
          <w:tcPr>
            <w:tcW w:w="1384" w:type="dxa"/>
            <w:vMerge/>
            <w:tcBorders>
              <w:left w:val="single" w:sz="12" w:space="0" w:color="auto"/>
            </w:tcBorders>
          </w:tcPr>
          <w:p w14:paraId="2025FFD1" w14:textId="77777777" w:rsidR="003B3105" w:rsidRDefault="003B3105" w:rsidP="001E533B">
            <w:pPr>
              <w:rPr>
                <w:rFonts w:ascii="新細明體" w:eastAsia="新細明體" w:hAnsi="新細明體"/>
              </w:rPr>
            </w:pPr>
          </w:p>
        </w:tc>
        <w:tc>
          <w:tcPr>
            <w:tcW w:w="1276" w:type="dxa"/>
            <w:vMerge/>
          </w:tcPr>
          <w:p w14:paraId="6CD3C732" w14:textId="77777777" w:rsidR="003B3105" w:rsidRDefault="003B3105" w:rsidP="001E533B">
            <w:pPr>
              <w:rPr>
                <w:rFonts w:ascii="新細明體" w:eastAsia="新細明體" w:hAnsi="新細明體"/>
              </w:rPr>
            </w:pPr>
          </w:p>
        </w:tc>
        <w:tc>
          <w:tcPr>
            <w:tcW w:w="5386" w:type="dxa"/>
            <w:tcBorders>
              <w:top w:val="nil"/>
              <w:bottom w:val="nil"/>
            </w:tcBorders>
          </w:tcPr>
          <w:p w14:paraId="138DB3F1"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公司受理非當面開戶，是否依相關規定及公司內部控制制度規範辦理。</w:t>
            </w:r>
          </w:p>
        </w:tc>
        <w:tc>
          <w:tcPr>
            <w:tcW w:w="5387" w:type="dxa"/>
            <w:tcBorders>
              <w:top w:val="nil"/>
              <w:bottom w:val="nil"/>
            </w:tcBorders>
          </w:tcPr>
          <w:p w14:paraId="3E3CD1E2"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公司受理非當面開戶，是否依相關規定及公司內部控制制度規範辦理。</w:t>
            </w:r>
          </w:p>
        </w:tc>
        <w:tc>
          <w:tcPr>
            <w:tcW w:w="2023" w:type="dxa"/>
            <w:vMerge/>
            <w:tcBorders>
              <w:right w:val="single" w:sz="12" w:space="0" w:color="auto"/>
            </w:tcBorders>
          </w:tcPr>
          <w:p w14:paraId="3E4CA0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41ED68" w14:textId="77777777">
        <w:tc>
          <w:tcPr>
            <w:tcW w:w="1384" w:type="dxa"/>
            <w:vMerge/>
            <w:tcBorders>
              <w:left w:val="single" w:sz="12" w:space="0" w:color="auto"/>
            </w:tcBorders>
          </w:tcPr>
          <w:p w14:paraId="69763B1C" w14:textId="77777777" w:rsidR="003B3105" w:rsidRDefault="003B3105" w:rsidP="001E533B">
            <w:pPr>
              <w:rPr>
                <w:rFonts w:ascii="新細明體" w:eastAsia="新細明體" w:hAnsi="新細明體"/>
              </w:rPr>
            </w:pPr>
          </w:p>
        </w:tc>
        <w:tc>
          <w:tcPr>
            <w:tcW w:w="1276" w:type="dxa"/>
            <w:vMerge/>
          </w:tcPr>
          <w:p w14:paraId="77C68127" w14:textId="77777777" w:rsidR="003B3105" w:rsidRDefault="003B3105" w:rsidP="001E533B">
            <w:pPr>
              <w:rPr>
                <w:rFonts w:ascii="新細明體" w:eastAsia="新細明體" w:hAnsi="新細明體"/>
              </w:rPr>
            </w:pPr>
          </w:p>
        </w:tc>
        <w:tc>
          <w:tcPr>
            <w:tcW w:w="5386" w:type="dxa"/>
            <w:tcBorders>
              <w:top w:val="nil"/>
              <w:bottom w:val="nil"/>
            </w:tcBorders>
          </w:tcPr>
          <w:p w14:paraId="1555A92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(九)客戶採通信或電子化方式辦理開戶者，是   否依「證券商受理線上開戶委託人身分認證及額度分級管理標準」辦理。</w:t>
            </w:r>
          </w:p>
        </w:tc>
        <w:tc>
          <w:tcPr>
            <w:tcW w:w="5387" w:type="dxa"/>
            <w:tcBorders>
              <w:top w:val="nil"/>
              <w:bottom w:val="nil"/>
            </w:tcBorders>
          </w:tcPr>
          <w:p w14:paraId="1247444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(九)客戶採通信或電子化方式辦理開戶者，是   否依「證券商受理線上開戶委託人身分認證及額度分級管理標準」辦理。</w:t>
            </w:r>
          </w:p>
        </w:tc>
        <w:tc>
          <w:tcPr>
            <w:tcW w:w="2023" w:type="dxa"/>
            <w:vMerge/>
            <w:tcBorders>
              <w:right w:val="single" w:sz="12" w:space="0" w:color="auto"/>
            </w:tcBorders>
          </w:tcPr>
          <w:p w14:paraId="5312AB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0CFA72" w14:textId="77777777">
        <w:tc>
          <w:tcPr>
            <w:tcW w:w="1384" w:type="dxa"/>
            <w:vMerge/>
            <w:tcBorders>
              <w:left w:val="single" w:sz="12" w:space="0" w:color="auto"/>
            </w:tcBorders>
          </w:tcPr>
          <w:p w14:paraId="123D791D" w14:textId="77777777" w:rsidR="003B3105" w:rsidRDefault="003B3105" w:rsidP="001E533B">
            <w:pPr>
              <w:rPr>
                <w:rFonts w:ascii="新細明體" w:eastAsia="新細明體" w:hAnsi="新細明體"/>
              </w:rPr>
            </w:pPr>
          </w:p>
        </w:tc>
        <w:tc>
          <w:tcPr>
            <w:tcW w:w="1276" w:type="dxa"/>
            <w:vMerge/>
          </w:tcPr>
          <w:p w14:paraId="5B5C0834" w14:textId="77777777" w:rsidR="003B3105" w:rsidRDefault="003B3105" w:rsidP="001E533B">
            <w:pPr>
              <w:rPr>
                <w:rFonts w:ascii="新細明體" w:eastAsia="新細明體" w:hAnsi="新細明體"/>
              </w:rPr>
            </w:pPr>
          </w:p>
        </w:tc>
        <w:tc>
          <w:tcPr>
            <w:tcW w:w="5386" w:type="dxa"/>
            <w:tcBorders>
              <w:top w:val="nil"/>
              <w:bottom w:val="nil"/>
            </w:tcBorders>
          </w:tcPr>
          <w:p w14:paraId="74B3955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5387" w:type="dxa"/>
            <w:tcBorders>
              <w:top w:val="nil"/>
              <w:bottom w:val="nil"/>
            </w:tcBorders>
          </w:tcPr>
          <w:p w14:paraId="287544B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2023" w:type="dxa"/>
            <w:vMerge/>
            <w:tcBorders>
              <w:right w:val="single" w:sz="12" w:space="0" w:color="auto"/>
            </w:tcBorders>
          </w:tcPr>
          <w:p w14:paraId="35DAAC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B50578" w14:textId="77777777">
        <w:tc>
          <w:tcPr>
            <w:tcW w:w="1384" w:type="dxa"/>
            <w:vMerge/>
            <w:tcBorders>
              <w:left w:val="single" w:sz="12" w:space="0" w:color="auto"/>
            </w:tcBorders>
          </w:tcPr>
          <w:p w14:paraId="09F099B2" w14:textId="77777777" w:rsidR="003B3105" w:rsidRDefault="003B3105" w:rsidP="001E533B">
            <w:pPr>
              <w:rPr>
                <w:rFonts w:ascii="新細明體" w:eastAsia="新細明體" w:hAnsi="新細明體"/>
              </w:rPr>
            </w:pPr>
          </w:p>
        </w:tc>
        <w:tc>
          <w:tcPr>
            <w:tcW w:w="1276" w:type="dxa"/>
            <w:vMerge/>
          </w:tcPr>
          <w:p w14:paraId="6E44F091" w14:textId="77777777" w:rsidR="003B3105" w:rsidRDefault="003B3105" w:rsidP="001E533B">
            <w:pPr>
              <w:rPr>
                <w:rFonts w:ascii="新細明體" w:eastAsia="新細明體" w:hAnsi="新細明體"/>
              </w:rPr>
            </w:pPr>
          </w:p>
        </w:tc>
        <w:tc>
          <w:tcPr>
            <w:tcW w:w="5386" w:type="dxa"/>
            <w:tcBorders>
              <w:top w:val="nil"/>
              <w:bottom w:val="nil"/>
            </w:tcBorders>
          </w:tcPr>
          <w:p w14:paraId="65CDDFA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(十一)客戶為非法人團體者，開戶是否符合相關規定。</w:t>
            </w:r>
          </w:p>
        </w:tc>
        <w:tc>
          <w:tcPr>
            <w:tcW w:w="5387" w:type="dxa"/>
            <w:tcBorders>
              <w:top w:val="nil"/>
              <w:bottom w:val="nil"/>
            </w:tcBorders>
          </w:tcPr>
          <w:p w14:paraId="26095E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(十一)客戶為非法人團體者，開戶是否符合相關規定。</w:t>
            </w:r>
          </w:p>
        </w:tc>
        <w:tc>
          <w:tcPr>
            <w:tcW w:w="2023" w:type="dxa"/>
            <w:vMerge/>
            <w:tcBorders>
              <w:right w:val="single" w:sz="12" w:space="0" w:color="auto"/>
            </w:tcBorders>
          </w:tcPr>
          <w:p w14:paraId="5089E8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1DB307" w14:textId="77777777">
        <w:tc>
          <w:tcPr>
            <w:tcW w:w="1384" w:type="dxa"/>
            <w:vMerge/>
            <w:tcBorders>
              <w:left w:val="single" w:sz="12" w:space="0" w:color="auto"/>
            </w:tcBorders>
          </w:tcPr>
          <w:p w14:paraId="1C9FB63F" w14:textId="77777777" w:rsidR="003B3105" w:rsidRDefault="003B3105" w:rsidP="001E533B">
            <w:pPr>
              <w:rPr>
                <w:rFonts w:ascii="新細明體" w:eastAsia="新細明體" w:hAnsi="新細明體"/>
              </w:rPr>
            </w:pPr>
          </w:p>
        </w:tc>
        <w:tc>
          <w:tcPr>
            <w:tcW w:w="1276" w:type="dxa"/>
            <w:vMerge/>
          </w:tcPr>
          <w:p w14:paraId="361F46B6" w14:textId="77777777" w:rsidR="003B3105" w:rsidRDefault="003B3105" w:rsidP="001E533B">
            <w:pPr>
              <w:rPr>
                <w:rFonts w:ascii="新細明體" w:eastAsia="新細明體" w:hAnsi="新細明體"/>
              </w:rPr>
            </w:pPr>
          </w:p>
        </w:tc>
        <w:tc>
          <w:tcPr>
            <w:tcW w:w="5386" w:type="dxa"/>
            <w:tcBorders>
              <w:top w:val="nil"/>
              <w:bottom w:val="nil"/>
            </w:tcBorders>
          </w:tcPr>
          <w:p w14:paraId="68E873F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(十二)他家證券商或公司各違約處理專戶開立於同一營業處所者，是否依規定控管。</w:t>
            </w:r>
          </w:p>
        </w:tc>
        <w:tc>
          <w:tcPr>
            <w:tcW w:w="5387" w:type="dxa"/>
            <w:tcBorders>
              <w:top w:val="nil"/>
              <w:bottom w:val="nil"/>
            </w:tcBorders>
          </w:tcPr>
          <w:p w14:paraId="38B54E8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(十二)他家證券商或公司各違約處理專戶開立於同一營業處所者，是否依規定控管。</w:t>
            </w:r>
          </w:p>
        </w:tc>
        <w:tc>
          <w:tcPr>
            <w:tcW w:w="2023" w:type="dxa"/>
            <w:vMerge/>
            <w:tcBorders>
              <w:right w:val="single" w:sz="12" w:space="0" w:color="auto"/>
            </w:tcBorders>
          </w:tcPr>
          <w:p w14:paraId="1E935B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4DF455" w14:textId="77777777">
        <w:tc>
          <w:tcPr>
            <w:tcW w:w="1384" w:type="dxa"/>
            <w:vMerge/>
            <w:tcBorders>
              <w:left w:val="single" w:sz="12" w:space="0" w:color="auto"/>
            </w:tcBorders>
          </w:tcPr>
          <w:p w14:paraId="0C69D9AE" w14:textId="77777777" w:rsidR="003B3105" w:rsidRDefault="003B3105" w:rsidP="001E533B">
            <w:pPr>
              <w:rPr>
                <w:rFonts w:ascii="新細明體" w:eastAsia="新細明體" w:hAnsi="新細明體"/>
              </w:rPr>
            </w:pPr>
          </w:p>
        </w:tc>
        <w:tc>
          <w:tcPr>
            <w:tcW w:w="1276" w:type="dxa"/>
            <w:vMerge/>
          </w:tcPr>
          <w:p w14:paraId="53D09C49" w14:textId="77777777" w:rsidR="003B3105" w:rsidRDefault="003B3105" w:rsidP="001E533B">
            <w:pPr>
              <w:rPr>
                <w:rFonts w:ascii="新細明體" w:eastAsia="新細明體" w:hAnsi="新細明體"/>
              </w:rPr>
            </w:pPr>
          </w:p>
        </w:tc>
        <w:tc>
          <w:tcPr>
            <w:tcW w:w="5386" w:type="dxa"/>
            <w:tcBorders>
              <w:top w:val="nil"/>
              <w:bottom w:val="nil"/>
            </w:tcBorders>
          </w:tcPr>
          <w:p w14:paraId="05087F9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與客戶訂立契約時，是否有適當之人員審核簽約程序及客戶所提供資訊之完整性後，始得辦理。上開契約重要內容之說明，應依「金融服務業提供金融商品或服務前說明契約重要內容及揭露風險辦法」規定辦理。</w:t>
            </w:r>
          </w:p>
        </w:tc>
        <w:tc>
          <w:tcPr>
            <w:tcW w:w="5387" w:type="dxa"/>
            <w:tcBorders>
              <w:top w:val="nil"/>
              <w:bottom w:val="nil"/>
            </w:tcBorders>
          </w:tcPr>
          <w:p w14:paraId="3213093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與客戶訂立契約時，是否有適當之人員審核簽約程序及客戶所提供資訊之完整性後，始得辦理。上開契約重要內容之說明，應依「金融服務業提供金融商品或服務前說明契約重要內容及揭露風險辦法」規定辦理。</w:t>
            </w:r>
          </w:p>
        </w:tc>
        <w:tc>
          <w:tcPr>
            <w:tcW w:w="2023" w:type="dxa"/>
            <w:vMerge/>
            <w:tcBorders>
              <w:right w:val="single" w:sz="12" w:space="0" w:color="auto"/>
            </w:tcBorders>
          </w:tcPr>
          <w:p w14:paraId="1F5447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A9BCC1" w14:textId="77777777">
        <w:tc>
          <w:tcPr>
            <w:tcW w:w="1384" w:type="dxa"/>
            <w:vMerge/>
            <w:tcBorders>
              <w:left w:val="single" w:sz="12" w:space="0" w:color="auto"/>
            </w:tcBorders>
          </w:tcPr>
          <w:p w14:paraId="6CA36E31" w14:textId="77777777" w:rsidR="003B3105" w:rsidRDefault="003B3105" w:rsidP="001E533B">
            <w:pPr>
              <w:rPr>
                <w:rFonts w:ascii="新細明體" w:eastAsia="新細明體" w:hAnsi="新細明體"/>
              </w:rPr>
            </w:pPr>
          </w:p>
        </w:tc>
        <w:tc>
          <w:tcPr>
            <w:tcW w:w="1276" w:type="dxa"/>
            <w:vMerge/>
          </w:tcPr>
          <w:p w14:paraId="54C73DD1" w14:textId="77777777" w:rsidR="003B3105" w:rsidRDefault="003B3105" w:rsidP="001E533B">
            <w:pPr>
              <w:rPr>
                <w:rFonts w:ascii="新細明體" w:eastAsia="新細明體" w:hAnsi="新細明體"/>
              </w:rPr>
            </w:pPr>
          </w:p>
        </w:tc>
        <w:tc>
          <w:tcPr>
            <w:tcW w:w="5386" w:type="dxa"/>
            <w:tcBorders>
              <w:top w:val="nil"/>
              <w:bottom w:val="nil"/>
            </w:tcBorders>
          </w:tcPr>
          <w:p w14:paraId="7A9B6A0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(十四)客戶親臨櫃檯或開戶人員陪同營業員親至客戶處辦理開戶事宜，如透過電子載具提供電子契約書及相關文件供投資人審閱簽署，是否依證交所104年11月6日臺證輔字第1040022107號函之規定辦理。</w:t>
            </w:r>
          </w:p>
        </w:tc>
        <w:tc>
          <w:tcPr>
            <w:tcW w:w="5387" w:type="dxa"/>
            <w:tcBorders>
              <w:top w:val="nil"/>
              <w:bottom w:val="nil"/>
            </w:tcBorders>
          </w:tcPr>
          <w:p w14:paraId="3740102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(十四)客戶親臨櫃檯或開戶人員陪同營業員親至客戶處辦理開戶事宜，如透過電子載具提供電子契約書及相關文件供投資人審閱簽署，是否依證交所104年11月6日臺證輔字第1040022107號函之規定辦理。</w:t>
            </w:r>
          </w:p>
        </w:tc>
        <w:tc>
          <w:tcPr>
            <w:tcW w:w="2023" w:type="dxa"/>
            <w:vMerge/>
            <w:tcBorders>
              <w:right w:val="single" w:sz="12" w:space="0" w:color="auto"/>
            </w:tcBorders>
          </w:tcPr>
          <w:p w14:paraId="2FB847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AD4950" w14:textId="77777777">
        <w:tc>
          <w:tcPr>
            <w:tcW w:w="1384" w:type="dxa"/>
            <w:vMerge/>
            <w:tcBorders>
              <w:left w:val="single" w:sz="12" w:space="0" w:color="auto"/>
            </w:tcBorders>
          </w:tcPr>
          <w:p w14:paraId="49BB1F4A" w14:textId="77777777" w:rsidR="003B3105" w:rsidRDefault="003B3105" w:rsidP="001E533B">
            <w:pPr>
              <w:rPr>
                <w:rFonts w:ascii="新細明體" w:eastAsia="新細明體" w:hAnsi="新細明體"/>
              </w:rPr>
            </w:pPr>
          </w:p>
        </w:tc>
        <w:tc>
          <w:tcPr>
            <w:tcW w:w="1276" w:type="dxa"/>
            <w:vMerge/>
          </w:tcPr>
          <w:p w14:paraId="2AAC384B" w14:textId="77777777" w:rsidR="003B3105" w:rsidRDefault="003B3105" w:rsidP="001E533B">
            <w:pPr>
              <w:rPr>
                <w:rFonts w:ascii="新細明體" w:eastAsia="新細明體" w:hAnsi="新細明體"/>
              </w:rPr>
            </w:pPr>
          </w:p>
        </w:tc>
        <w:tc>
          <w:tcPr>
            <w:tcW w:w="5386" w:type="dxa"/>
            <w:tcBorders>
              <w:top w:val="nil"/>
              <w:bottom w:val="nil"/>
            </w:tcBorders>
          </w:tcPr>
          <w:p w14:paraId="2BF869F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(十五)辦理依證交所營業細則第七十五條之六、櫃檯買賣中心業務規則第四十五條之四及相關函示規定於公司同一營業據點開立二個以上交易帳戶者，是否於委託人名稱後附加開戶理由。其中對於全</w:t>
            </w:r>
            <w:r>
              <w:rPr>
                <w:rFonts w:ascii="新細明體" w:eastAsia="新細明體" w:hAnsi="新細明體" w:cs="新細明體" w:hint="eastAsia"/>
              </w:rPr>
              <w:lastRenderedPageBreak/>
              <w:t>權委託投資帳戶是否檢附委任人與受任人指示信函，並敘明開戶原因及名稱，帳戶名稱依第一個帳戶名稱加註第二個以上帳戶開戶原因；帳戶更名、註銷等作業亦同。</w:t>
            </w:r>
          </w:p>
        </w:tc>
        <w:tc>
          <w:tcPr>
            <w:tcW w:w="5387" w:type="dxa"/>
            <w:tcBorders>
              <w:top w:val="nil"/>
              <w:bottom w:val="nil"/>
            </w:tcBorders>
          </w:tcPr>
          <w:p w14:paraId="7406F97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(十五)辦理依證交所營業細則第七十五條之六、櫃檯買賣中心業務規則第四十五條之四及相關函示規定於公司同一營業據點開立二個以上交易帳戶者，是否於委託人名稱後附加開戶理由。其中對於全</w:t>
            </w:r>
            <w:r>
              <w:rPr>
                <w:rFonts w:ascii="新細明體" w:eastAsia="新細明體" w:hAnsi="新細明體" w:cs="新細明體" w:hint="eastAsia"/>
              </w:rPr>
              <w:lastRenderedPageBreak/>
              <w:t>權委託投資帳戶是否檢附委任人與受任人指示信函，並敘明開戶原因及名稱，帳戶名稱依第一個帳戶名稱加註第二個以上帳戶開戶原因；帳戶更名、註銷等作業亦同。</w:t>
            </w:r>
          </w:p>
        </w:tc>
        <w:tc>
          <w:tcPr>
            <w:tcW w:w="2023" w:type="dxa"/>
            <w:vMerge/>
            <w:tcBorders>
              <w:right w:val="single" w:sz="12" w:space="0" w:color="auto"/>
            </w:tcBorders>
          </w:tcPr>
          <w:p w14:paraId="4A9CE2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86123F" w14:textId="77777777">
        <w:tc>
          <w:tcPr>
            <w:tcW w:w="1384" w:type="dxa"/>
            <w:vMerge/>
            <w:tcBorders>
              <w:left w:val="single" w:sz="12" w:space="0" w:color="auto"/>
            </w:tcBorders>
          </w:tcPr>
          <w:p w14:paraId="35E28470" w14:textId="77777777" w:rsidR="003B3105" w:rsidRDefault="003B3105" w:rsidP="001E533B">
            <w:pPr>
              <w:rPr>
                <w:rFonts w:ascii="新細明體" w:eastAsia="新細明體" w:hAnsi="新細明體"/>
              </w:rPr>
            </w:pPr>
          </w:p>
        </w:tc>
        <w:tc>
          <w:tcPr>
            <w:tcW w:w="1276" w:type="dxa"/>
            <w:vMerge/>
          </w:tcPr>
          <w:p w14:paraId="4DFF98A0" w14:textId="77777777" w:rsidR="003B3105" w:rsidRDefault="003B3105" w:rsidP="001E533B">
            <w:pPr>
              <w:rPr>
                <w:rFonts w:ascii="新細明體" w:eastAsia="新細明體" w:hAnsi="新細明體"/>
              </w:rPr>
            </w:pPr>
          </w:p>
        </w:tc>
        <w:tc>
          <w:tcPr>
            <w:tcW w:w="5386" w:type="dxa"/>
            <w:tcBorders>
              <w:top w:val="nil"/>
              <w:bottom w:val="nil"/>
            </w:tcBorders>
          </w:tcPr>
          <w:p w14:paraId="618F071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(十六)公司由總</w:t>
            </w:r>
            <w:r>
              <w:rPr>
                <w:rFonts w:ascii="新細明體" w:eastAsia="新細明體" w:hAnsi="新細明體" w:cs="新細明體" w:hint="eastAsia"/>
                <w:b/>
                <w:color w:val="FF0000"/>
                <w:u w:val="single"/>
              </w:rPr>
              <w:t>公司、分支機構</w:t>
            </w:r>
            <w:r>
              <w:rPr>
                <w:rFonts w:ascii="新細明體" w:eastAsia="新細明體" w:hAnsi="新細明體" w:cs="新細明體" w:hint="eastAsia"/>
              </w:rPr>
              <w:t>、</w:t>
            </w:r>
            <w:r>
              <w:rPr>
                <w:rFonts w:ascii="新細明體" w:eastAsia="新細明體" w:hAnsi="新細明體" w:cs="新細明體" w:hint="eastAsia"/>
                <w:b/>
                <w:color w:val="FF0000"/>
                <w:u w:val="single"/>
              </w:rPr>
              <w:t>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登錄開戶經辦人員跨營業據點辦理開戶之前置作業時，是否依證交所106年11月1日臺證輔字第1060019339號函辦理。</w:t>
            </w:r>
          </w:p>
        </w:tc>
        <w:tc>
          <w:tcPr>
            <w:tcW w:w="5387" w:type="dxa"/>
            <w:tcBorders>
              <w:top w:val="nil"/>
              <w:bottom w:val="nil"/>
            </w:tcBorders>
          </w:tcPr>
          <w:p w14:paraId="470FFCC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(十六)公司由總、分</w:t>
            </w:r>
            <w:r>
              <w:rPr>
                <w:rFonts w:ascii="新細明體" w:eastAsia="新細明體" w:hAnsi="新細明體" w:cs="新細明體" w:hint="eastAsia"/>
                <w:b/>
                <w:color w:val="FF0000"/>
              </w:rPr>
              <w:t>公司</w:t>
            </w:r>
            <w:r>
              <w:rPr>
                <w:rFonts w:ascii="新細明體" w:eastAsia="新細明體" w:hAnsi="新細明體" w:cs="新細明體" w:hint="eastAsia"/>
              </w:rPr>
              <w:t>登錄開戶經辦人員跨營業據點辦理開戶之前置作業時，是否依證交所106年11月1日臺證輔字第1060019339號函辦理。</w:t>
            </w:r>
          </w:p>
        </w:tc>
        <w:tc>
          <w:tcPr>
            <w:tcW w:w="2023" w:type="dxa"/>
            <w:vMerge/>
            <w:tcBorders>
              <w:right w:val="single" w:sz="12" w:space="0" w:color="auto"/>
            </w:tcBorders>
          </w:tcPr>
          <w:p w14:paraId="4B6269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(十七)客戶是否檢附金融機構防制洗錢辦法規定辨識其(含實質受益人)身分之必要文件。</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(十七)客戶是否檢附金融機構防制洗錢辦法規定辨識其(含實質受益人)身分之必要文件。</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EBED6" w14:textId="77777777" w:rsidR="00376606" w:rsidRDefault="00376606" w:rsidP="00E87601">
      <w:pPr>
        <w:spacing w:line="240" w:lineRule="auto"/>
      </w:pPr>
      <w:r>
        <w:separator/>
      </w:r>
    </w:p>
  </w:endnote>
  <w:endnote w:type="continuationSeparator" w:id="0">
    <w:p w14:paraId="6FDC60F4" w14:textId="77777777" w:rsidR="00376606" w:rsidRDefault="00376606"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7216C" w14:textId="77777777" w:rsidR="00376606" w:rsidRDefault="00376606" w:rsidP="00E87601">
      <w:pPr>
        <w:spacing w:line="240" w:lineRule="auto"/>
      </w:pPr>
      <w:r>
        <w:separator/>
      </w:r>
    </w:p>
  </w:footnote>
  <w:footnote w:type="continuationSeparator" w:id="0">
    <w:p w14:paraId="419D4D99" w14:textId="77777777" w:rsidR="00376606" w:rsidRDefault="00376606"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76606"/>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B731F"/>
    <w:rsid w:val="006C109E"/>
    <w:rsid w:val="006E7D9E"/>
    <w:rsid w:val="00731EBA"/>
    <w:rsid w:val="0073748C"/>
    <w:rsid w:val="007631C0"/>
    <w:rsid w:val="0076327E"/>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442A"/>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4620"/>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Words>
  <Characters>2017</Characters>
  <Application>Microsoft Office Word</Application>
  <DocSecurity>0</DocSecurity>
  <Lines>16</Lines>
  <Paragraphs>4</Paragraphs>
  <ScaleCrop>false</ScaleCrop>
  <Company>Hewlett-Packard Company</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2026-03-09T11:40:00Z</dcterms:created>
  <dcterms:modified xsi:type="dcterms:W3CDTF">2026-05-19T02:46:00Z</dcterms:modified>
</cp:coreProperties>
</file>