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326A3F7"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CA-11120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客戶徵授信作業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配合現行實務作業，證券經紀商除對於開市及收市前有異常大量委託後撤銷之客戶須採預收款券外，減量或改價等變更申報者亦可能有須預收款券之情事，爰修正之。</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(一)客戶交易前之徵授信作業：</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(一)客戶交易前之徵授信作業：</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945260" w14:textId="77777777">
        <w:tc>
          <w:tcPr>
            <w:tcW w:w="1384" w:type="dxa"/>
            <w:vMerge/>
            <w:tcBorders>
              <w:left w:val="single" w:sz="12" w:space="0" w:color="auto"/>
            </w:tcBorders>
          </w:tcPr>
          <w:p w14:paraId="1A3A05A1" w14:textId="77777777" w:rsidR="003B3105" w:rsidRDefault="003B3105" w:rsidP="001E533B">
            <w:pPr>
              <w:rPr>
                <w:rFonts w:ascii="新細明體" w:eastAsia="新細明體" w:hAnsi="新細明體"/>
              </w:rPr>
            </w:pPr>
          </w:p>
        </w:tc>
        <w:tc>
          <w:tcPr>
            <w:tcW w:w="1276" w:type="dxa"/>
            <w:vMerge/>
          </w:tcPr>
          <w:p w14:paraId="3EF6BC1E" w14:textId="77777777" w:rsidR="003B3105" w:rsidRDefault="003B3105" w:rsidP="001E533B">
            <w:pPr>
              <w:rPr>
                <w:rFonts w:ascii="新細明體" w:eastAsia="新細明體" w:hAnsi="新細明體"/>
              </w:rPr>
            </w:pPr>
          </w:p>
        </w:tc>
        <w:tc>
          <w:tcPr>
            <w:tcW w:w="5386" w:type="dxa"/>
            <w:tcBorders>
              <w:top w:val="nil"/>
              <w:bottom w:val="nil"/>
            </w:tcBorders>
          </w:tcPr>
          <w:p w14:paraId="1A9BA17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經辦開戶或負責徵信審查人員應在客戶申請開戶時，同時請客戶詳實填具「委託人徵信資料表」(内容涵蓋基本資料、資產狀況、投資經驗及希望單日買賣最高額度等)，評估其單日買賣額度(涵蓋信用交易)，並附於開戶契約備查。且辦理徵信人員應就表列事項詳為查證或親自拜訪，除券商公會會員受託買賣有價證券瞭解委託人及徵信與額度管理自律規則(以下簡稱自律規則)第八條第一項之國內外機構投資人、境外華僑及外國人、經專案核准之Foreign Investment Approval account（以下簡稱FIA）及經大陸地區證券主管機關核准之合格機構投資者（以下簡稱大陸機構投資人）外，同時應透過「證券商聯合徵信系統」查詢有無所列之異常情事，並留存查詢紀錄；如發現異常，應詳細查證開戶及徵信資料之正確性，並於徵信與額度審核表內具體說明評估客戶受託買賣額度之標準，且需由業務部門主管或其指派之人員複核。</w:t>
            </w:r>
          </w:p>
        </w:tc>
        <w:tc>
          <w:tcPr>
            <w:tcW w:w="5387" w:type="dxa"/>
            <w:tcBorders>
              <w:top w:val="nil"/>
              <w:bottom w:val="nil"/>
            </w:tcBorders>
          </w:tcPr>
          <w:p w14:paraId="5F8D3E0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經辦開戶或負責徵信審查人員應在客戶申請開戶時，同時請客戶詳實填具「委託人徵信資料表」(内容涵蓋基本資料、資產狀況、投資經驗及希望單日買賣最高額度等)，評估其單日買賣額度(涵蓋信用交易)，並附於開戶契約備查。且辦理徵信人員應就表列事項詳為查證或親自拜訪，除券商公會會員受託買賣有價證券瞭解委託人及徵信與額度管理自律規則(以下簡稱自律規則)第八條第一項之國內外機構投資人、境外華僑及外國人、經專案核准之Foreign Investment Approval account（以下簡稱FIA）及經大陸地區證券主管機關核准之合格機構投資者（以下簡稱大陸機構投資人）外，同時應透過「證券商聯合徵信系統」查詢有無所列之異常情事，並留存查詢紀錄；如發現異常，應詳細查證開戶及徵信資料之正確性，並於徵信與額度審核表內具體說明評估客戶受託買賣額度之標準，且需由業務部門主管或其指派之人員複核。</w:t>
            </w:r>
          </w:p>
        </w:tc>
        <w:tc>
          <w:tcPr>
            <w:tcW w:w="2023" w:type="dxa"/>
            <w:vMerge/>
            <w:tcBorders>
              <w:right w:val="single" w:sz="12" w:space="0" w:color="auto"/>
            </w:tcBorders>
          </w:tcPr>
          <w:p w14:paraId="48913B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76D47A" w14:textId="77777777">
        <w:tc>
          <w:tcPr>
            <w:tcW w:w="1384" w:type="dxa"/>
            <w:vMerge/>
            <w:tcBorders>
              <w:left w:val="single" w:sz="12" w:space="0" w:color="auto"/>
            </w:tcBorders>
          </w:tcPr>
          <w:p w14:paraId="0328D3C4" w14:textId="77777777" w:rsidR="003B3105" w:rsidRDefault="003B3105" w:rsidP="001E533B">
            <w:pPr>
              <w:rPr>
                <w:rFonts w:ascii="新細明體" w:eastAsia="新細明體" w:hAnsi="新細明體"/>
              </w:rPr>
            </w:pPr>
          </w:p>
        </w:tc>
        <w:tc>
          <w:tcPr>
            <w:tcW w:w="1276" w:type="dxa"/>
            <w:vMerge/>
          </w:tcPr>
          <w:p w14:paraId="5050C418" w14:textId="77777777" w:rsidR="003B3105" w:rsidRDefault="003B3105" w:rsidP="001E533B">
            <w:pPr>
              <w:rPr>
                <w:rFonts w:ascii="新細明體" w:eastAsia="新細明體" w:hAnsi="新細明體"/>
              </w:rPr>
            </w:pPr>
          </w:p>
        </w:tc>
        <w:tc>
          <w:tcPr>
            <w:tcW w:w="5386" w:type="dxa"/>
            <w:tcBorders>
              <w:top w:val="nil"/>
              <w:bottom w:val="nil"/>
            </w:tcBorders>
          </w:tcPr>
          <w:p w14:paraId="457FA7E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2.經評估客戶單日買賣額度在新臺幣(以下同) 伍佰萬元以上者，應請其出具或提示</w:t>
            </w:r>
            <w:r>
              <w:rPr>
                <w:rFonts w:ascii="新細明體" w:eastAsia="新細明體" w:hAnsi="新細明體" w:cs="新細明體" w:hint="eastAsia"/>
              </w:rPr>
              <w:lastRenderedPageBreak/>
              <w:t>相關資力證明文件憑核，並留存影本或抄錄相關資料備查，但評估單日買賣額度在壹仟萬元以上者，應留存影本備查。客戶提供之資力證明，得由本人或其配偶、父母、成年子女所有者提供，但非本人所有者，其財產所有人應出具連帶保證責任之聲明。</w:t>
            </w:r>
          </w:p>
        </w:tc>
        <w:tc>
          <w:tcPr>
            <w:tcW w:w="5387" w:type="dxa"/>
            <w:tcBorders>
              <w:top w:val="nil"/>
              <w:bottom w:val="nil"/>
            </w:tcBorders>
          </w:tcPr>
          <w:p w14:paraId="4D5962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2.經評估客戶單日買賣額度在新臺幣(以下同) 伍佰萬元以上者，應請其出具或提示</w:t>
            </w:r>
            <w:r>
              <w:rPr>
                <w:rFonts w:ascii="新細明體" w:eastAsia="新細明體" w:hAnsi="新細明體" w:cs="新細明體" w:hint="eastAsia"/>
              </w:rPr>
              <w:lastRenderedPageBreak/>
              <w:t>相關資力證明文件憑核，並留存影本或抄錄相關資料備查，但評估單日買賣額度在壹仟萬元以上者，應留存影本備查。客戶提供之資力證明，得由本人或其配偶、父母、成年子女所有者提供，但非本人所有者，其財產所有人應出具連帶保證責任之聲明。</w:t>
            </w:r>
          </w:p>
        </w:tc>
        <w:tc>
          <w:tcPr>
            <w:tcW w:w="2023" w:type="dxa"/>
            <w:vMerge/>
            <w:tcBorders>
              <w:right w:val="single" w:sz="12" w:space="0" w:color="auto"/>
            </w:tcBorders>
          </w:tcPr>
          <w:p w14:paraId="791CD0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B8040B" w14:textId="77777777">
        <w:tc>
          <w:tcPr>
            <w:tcW w:w="1384" w:type="dxa"/>
            <w:vMerge/>
            <w:tcBorders>
              <w:left w:val="single" w:sz="12" w:space="0" w:color="auto"/>
            </w:tcBorders>
          </w:tcPr>
          <w:p w14:paraId="26C22569" w14:textId="77777777" w:rsidR="003B3105" w:rsidRDefault="003B3105" w:rsidP="001E533B">
            <w:pPr>
              <w:rPr>
                <w:rFonts w:ascii="新細明體" w:eastAsia="新細明體" w:hAnsi="新細明體"/>
              </w:rPr>
            </w:pPr>
          </w:p>
        </w:tc>
        <w:tc>
          <w:tcPr>
            <w:tcW w:w="1276" w:type="dxa"/>
            <w:vMerge/>
          </w:tcPr>
          <w:p w14:paraId="012205DD" w14:textId="77777777" w:rsidR="003B3105" w:rsidRDefault="003B3105" w:rsidP="001E533B">
            <w:pPr>
              <w:rPr>
                <w:rFonts w:ascii="新細明體" w:eastAsia="新細明體" w:hAnsi="新細明體"/>
              </w:rPr>
            </w:pPr>
          </w:p>
        </w:tc>
        <w:tc>
          <w:tcPr>
            <w:tcW w:w="5386" w:type="dxa"/>
            <w:tcBorders>
              <w:top w:val="nil"/>
              <w:bottom w:val="nil"/>
            </w:tcBorders>
          </w:tcPr>
          <w:p w14:paraId="1147A52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3.徵信人員評估客戶單日買賣額度在伍佰萬元以上，而客戶提供之個人資力證明未達評估額度百分之三十時，應詳述具體可信之事由。</w:t>
            </w:r>
          </w:p>
        </w:tc>
        <w:tc>
          <w:tcPr>
            <w:tcW w:w="5387" w:type="dxa"/>
            <w:tcBorders>
              <w:top w:val="nil"/>
              <w:bottom w:val="nil"/>
            </w:tcBorders>
          </w:tcPr>
          <w:p w14:paraId="0497E06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3.徵信人員評估客戶單日買賣額度在伍佰萬元以上，而客戶提供之個人資力證明未達評估額度百分之三十時，應詳述具體可信之事由。</w:t>
            </w:r>
          </w:p>
        </w:tc>
        <w:tc>
          <w:tcPr>
            <w:tcW w:w="2023" w:type="dxa"/>
            <w:vMerge/>
            <w:tcBorders>
              <w:right w:val="single" w:sz="12" w:space="0" w:color="auto"/>
            </w:tcBorders>
          </w:tcPr>
          <w:p w14:paraId="518796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8A3359" w14:textId="77777777">
        <w:tc>
          <w:tcPr>
            <w:tcW w:w="1384" w:type="dxa"/>
            <w:vMerge/>
            <w:tcBorders>
              <w:left w:val="single" w:sz="12" w:space="0" w:color="auto"/>
            </w:tcBorders>
          </w:tcPr>
          <w:p w14:paraId="03800EE3" w14:textId="77777777" w:rsidR="003B3105" w:rsidRDefault="003B3105" w:rsidP="001E533B">
            <w:pPr>
              <w:rPr>
                <w:rFonts w:ascii="新細明體" w:eastAsia="新細明體" w:hAnsi="新細明體"/>
              </w:rPr>
            </w:pPr>
          </w:p>
        </w:tc>
        <w:tc>
          <w:tcPr>
            <w:tcW w:w="1276" w:type="dxa"/>
            <w:vMerge/>
          </w:tcPr>
          <w:p w14:paraId="62C7DBBA" w14:textId="77777777" w:rsidR="003B3105" w:rsidRDefault="003B3105" w:rsidP="001E533B">
            <w:pPr>
              <w:rPr>
                <w:rFonts w:ascii="新細明體" w:eastAsia="新細明體" w:hAnsi="新細明體"/>
              </w:rPr>
            </w:pPr>
          </w:p>
        </w:tc>
        <w:tc>
          <w:tcPr>
            <w:tcW w:w="5386" w:type="dxa"/>
            <w:tcBorders>
              <w:top w:val="nil"/>
              <w:bottom w:val="nil"/>
            </w:tcBorders>
          </w:tcPr>
          <w:p w14:paraId="2845506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審核書面文件，應注意其真偽。徵信與額度審核表內之「核准人員簽章」，應以受託買賣主管、營業部經理或分公司經理為限。客戶單日買賣額度之評估情形，應依內部規定，層呈核定後，交營業部門注意控制。</w:t>
            </w:r>
          </w:p>
        </w:tc>
        <w:tc>
          <w:tcPr>
            <w:tcW w:w="5387" w:type="dxa"/>
            <w:tcBorders>
              <w:top w:val="nil"/>
              <w:bottom w:val="nil"/>
            </w:tcBorders>
          </w:tcPr>
          <w:p w14:paraId="062B47F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審核書面文件，應注意其真偽。徵信與額度審核表內之「核准人員簽章」，應以受託買賣主管、營業部經理或分公司經理為限。客戶單日買賣額度之評估情形，應依內部規定，層呈核定後，交營業部門注意控制。</w:t>
            </w:r>
          </w:p>
        </w:tc>
        <w:tc>
          <w:tcPr>
            <w:tcW w:w="2023" w:type="dxa"/>
            <w:vMerge/>
            <w:tcBorders>
              <w:right w:val="single" w:sz="12" w:space="0" w:color="auto"/>
            </w:tcBorders>
          </w:tcPr>
          <w:p w14:paraId="45752E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127EF7" w14:textId="77777777">
        <w:tc>
          <w:tcPr>
            <w:tcW w:w="1384" w:type="dxa"/>
            <w:vMerge/>
            <w:tcBorders>
              <w:left w:val="single" w:sz="12" w:space="0" w:color="auto"/>
            </w:tcBorders>
          </w:tcPr>
          <w:p w14:paraId="3FE0AFE7" w14:textId="77777777" w:rsidR="003B3105" w:rsidRDefault="003B3105" w:rsidP="001E533B">
            <w:pPr>
              <w:rPr>
                <w:rFonts w:ascii="新細明體" w:eastAsia="新細明體" w:hAnsi="新細明體"/>
              </w:rPr>
            </w:pPr>
          </w:p>
        </w:tc>
        <w:tc>
          <w:tcPr>
            <w:tcW w:w="1276" w:type="dxa"/>
            <w:vMerge/>
          </w:tcPr>
          <w:p w14:paraId="29C91134" w14:textId="77777777" w:rsidR="003B3105" w:rsidRDefault="003B3105" w:rsidP="001E533B">
            <w:pPr>
              <w:rPr>
                <w:rFonts w:ascii="新細明體" w:eastAsia="新細明體" w:hAnsi="新細明體"/>
              </w:rPr>
            </w:pPr>
          </w:p>
        </w:tc>
        <w:tc>
          <w:tcPr>
            <w:tcW w:w="5386" w:type="dxa"/>
            <w:tcBorders>
              <w:top w:val="nil"/>
              <w:bottom w:val="nil"/>
            </w:tcBorders>
          </w:tcPr>
          <w:p w14:paraId="21A5BB0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經評估客戶單日買賣額度在伍佰萬元以上，須經主管核定且公司應基於專業及風險上之考量，隨時注意客戶資力狀況之變動，於得知客戶資力狀況有顯著變動時予以調查更新其徵信資料。經評估客戶單日買賣額度在壹仟萬元以上者，公司並應每年調查更新其徵信資料。</w:t>
            </w:r>
          </w:p>
        </w:tc>
        <w:tc>
          <w:tcPr>
            <w:tcW w:w="5387" w:type="dxa"/>
            <w:tcBorders>
              <w:top w:val="nil"/>
              <w:bottom w:val="nil"/>
            </w:tcBorders>
          </w:tcPr>
          <w:p w14:paraId="6E04CB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經評估客戶單日買賣額度在伍佰萬元以上，須經主管核定且公司應基於專業及風險上之考量，隨時注意客戶資力狀況之變動，於得知客戶資力狀況有顯著變動時予以調查更新其徵信資料。經評估客戶單日買賣額度在壹仟萬元以上者，公司並應每年調查更新其徵信資料。</w:t>
            </w:r>
          </w:p>
        </w:tc>
        <w:tc>
          <w:tcPr>
            <w:tcW w:w="2023" w:type="dxa"/>
            <w:vMerge/>
            <w:tcBorders>
              <w:right w:val="single" w:sz="12" w:space="0" w:color="auto"/>
            </w:tcBorders>
          </w:tcPr>
          <w:p w14:paraId="490AF2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E85840" w14:textId="77777777">
        <w:tc>
          <w:tcPr>
            <w:tcW w:w="1384" w:type="dxa"/>
            <w:vMerge/>
            <w:tcBorders>
              <w:left w:val="single" w:sz="12" w:space="0" w:color="auto"/>
            </w:tcBorders>
          </w:tcPr>
          <w:p w14:paraId="149D9C4E" w14:textId="77777777" w:rsidR="003B3105" w:rsidRDefault="003B3105" w:rsidP="001E533B">
            <w:pPr>
              <w:rPr>
                <w:rFonts w:ascii="新細明體" w:eastAsia="新細明體" w:hAnsi="新細明體"/>
              </w:rPr>
            </w:pPr>
          </w:p>
        </w:tc>
        <w:tc>
          <w:tcPr>
            <w:tcW w:w="1276" w:type="dxa"/>
            <w:vMerge/>
          </w:tcPr>
          <w:p w14:paraId="7D821641" w14:textId="77777777" w:rsidR="003B3105" w:rsidRDefault="003B3105" w:rsidP="001E533B">
            <w:pPr>
              <w:rPr>
                <w:rFonts w:ascii="新細明體" w:eastAsia="新細明體" w:hAnsi="新細明體"/>
              </w:rPr>
            </w:pPr>
          </w:p>
        </w:tc>
        <w:tc>
          <w:tcPr>
            <w:tcW w:w="5386" w:type="dxa"/>
            <w:tcBorders>
              <w:top w:val="nil"/>
              <w:bottom w:val="nil"/>
            </w:tcBorders>
          </w:tcPr>
          <w:p w14:paraId="029CA51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6.客戶屬自律規則第二十條代理開戶且同時委託代理人辦理買賣及交割者，則評估客戶單日買賣額度不得超過貳仟萬</w:t>
            </w:r>
            <w:r>
              <w:rPr>
                <w:rFonts w:ascii="新細明體" w:eastAsia="新細明體" w:hAnsi="新細明體" w:cs="新細明體" w:hint="eastAsia"/>
              </w:rPr>
              <w:lastRenderedPageBreak/>
              <w:t>元。惟客戶為法人或全權委託之投資者，應依其實際資力狀況評估其單日買賣額度，不受貳仟萬元額度之限制。</w:t>
            </w:r>
          </w:p>
        </w:tc>
        <w:tc>
          <w:tcPr>
            <w:tcW w:w="5387" w:type="dxa"/>
            <w:tcBorders>
              <w:top w:val="nil"/>
              <w:bottom w:val="nil"/>
            </w:tcBorders>
          </w:tcPr>
          <w:p w14:paraId="4E7719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6.客戶屬自律規則第二十條代理開戶且同時委託代理人辦理買賣及交割者，則評估客戶單日買賣額度不得超過貳仟萬</w:t>
            </w:r>
            <w:r>
              <w:rPr>
                <w:rFonts w:ascii="新細明體" w:eastAsia="新細明體" w:hAnsi="新細明體" w:cs="新細明體" w:hint="eastAsia"/>
              </w:rPr>
              <w:lastRenderedPageBreak/>
              <w:t>元。惟客戶為法人或全權委託之投資者，應依其實際資力狀況評估其單日買賣額度，不受貳仟萬元額度之限制。</w:t>
            </w:r>
          </w:p>
        </w:tc>
        <w:tc>
          <w:tcPr>
            <w:tcW w:w="2023" w:type="dxa"/>
            <w:vMerge/>
            <w:tcBorders>
              <w:right w:val="single" w:sz="12" w:space="0" w:color="auto"/>
            </w:tcBorders>
          </w:tcPr>
          <w:p w14:paraId="4A24FC1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392D94" w14:textId="77777777">
        <w:tc>
          <w:tcPr>
            <w:tcW w:w="1384" w:type="dxa"/>
            <w:vMerge/>
            <w:tcBorders>
              <w:left w:val="single" w:sz="12" w:space="0" w:color="auto"/>
            </w:tcBorders>
          </w:tcPr>
          <w:p w14:paraId="778E4AD1" w14:textId="77777777" w:rsidR="003B3105" w:rsidRDefault="003B3105" w:rsidP="001E533B">
            <w:pPr>
              <w:rPr>
                <w:rFonts w:ascii="新細明體" w:eastAsia="新細明體" w:hAnsi="新細明體"/>
              </w:rPr>
            </w:pPr>
          </w:p>
        </w:tc>
        <w:tc>
          <w:tcPr>
            <w:tcW w:w="1276" w:type="dxa"/>
            <w:vMerge/>
          </w:tcPr>
          <w:p w14:paraId="28D91D47" w14:textId="77777777" w:rsidR="003B3105" w:rsidRDefault="003B3105" w:rsidP="001E533B">
            <w:pPr>
              <w:rPr>
                <w:rFonts w:ascii="新細明體" w:eastAsia="新細明體" w:hAnsi="新細明體"/>
              </w:rPr>
            </w:pPr>
          </w:p>
        </w:tc>
        <w:tc>
          <w:tcPr>
            <w:tcW w:w="5386" w:type="dxa"/>
            <w:tcBorders>
              <w:top w:val="nil"/>
              <w:bottom w:val="nil"/>
            </w:tcBorders>
          </w:tcPr>
          <w:p w14:paraId="2C44EF4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境外華僑及外國自然人或外國機構投資人、經專案核准之FIA、國內機構投資人、國內上市上櫃公司、全權委託之投資人、大陸機構投資人及在境內設有分行之外國銀行、海外存託憑證存託機構、大陸地區人民等設有特殊帳號客戶應建立其基本資料詳細瞭解，惟得免檢附票據查詢資料。前述外國機構投資人、國內機構投資人，包括國內外之銀行、保險公司、票券公司、證券商、基金管理公司、政府投資機構、政府基金、退休基金、共同基金、單位信託、證券投資信託公司、證券投資顧問公司、信託業、期貨商、期貨服務事業、學術、慈善機構及其他經證券主管機關核准之機構。無行為能力或限制行為能力者，應查詢其法定代理人或監護人之票據退票資料。</w:t>
            </w:r>
          </w:p>
        </w:tc>
        <w:tc>
          <w:tcPr>
            <w:tcW w:w="5387" w:type="dxa"/>
            <w:tcBorders>
              <w:top w:val="nil"/>
              <w:bottom w:val="nil"/>
            </w:tcBorders>
          </w:tcPr>
          <w:p w14:paraId="6B9B6ED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境外華僑及外國自然人或外國機構投資人、經專案核准之FIA、國內機構投資人、國內上市上櫃公司、全權委託之投資人、大陸機構投資人及在境內設有分行之外國銀行、海外存託憑證存託機構、大陸地區人民等設有特殊帳號客戶應建立其基本資料詳細瞭解，惟得免檢附票據查詢資料。前述外國機構投資人、國內機構投資人，包括國內外之銀行、保險公司、票券公司、證券商、基金管理公司、政府投資機構、政府基金、退休基金、共同基金、單位信託、證券投資信託公司、證券投資顧問公司、信託業、期貨商、期貨服務事業、學術、慈善機構及其他經證券主管機關核准之機構。無行為能力或限制行為能力者，應查詢其法定代理人或監護人之票據退票資料。</w:t>
            </w:r>
          </w:p>
        </w:tc>
        <w:tc>
          <w:tcPr>
            <w:tcW w:w="2023" w:type="dxa"/>
            <w:vMerge/>
            <w:tcBorders>
              <w:right w:val="single" w:sz="12" w:space="0" w:color="auto"/>
            </w:tcBorders>
          </w:tcPr>
          <w:p w14:paraId="44F94E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6C4D9A" w14:textId="77777777">
        <w:tc>
          <w:tcPr>
            <w:tcW w:w="1384" w:type="dxa"/>
            <w:vMerge/>
            <w:tcBorders>
              <w:left w:val="single" w:sz="12" w:space="0" w:color="auto"/>
            </w:tcBorders>
          </w:tcPr>
          <w:p w14:paraId="4B964BB3" w14:textId="77777777" w:rsidR="003B3105" w:rsidRDefault="003B3105" w:rsidP="001E533B">
            <w:pPr>
              <w:rPr>
                <w:rFonts w:ascii="新細明體" w:eastAsia="新細明體" w:hAnsi="新細明體"/>
              </w:rPr>
            </w:pPr>
          </w:p>
        </w:tc>
        <w:tc>
          <w:tcPr>
            <w:tcW w:w="1276" w:type="dxa"/>
            <w:vMerge/>
          </w:tcPr>
          <w:p w14:paraId="5FE2F010" w14:textId="77777777" w:rsidR="003B3105" w:rsidRDefault="003B3105" w:rsidP="001E533B">
            <w:pPr>
              <w:rPr>
                <w:rFonts w:ascii="新細明體" w:eastAsia="新細明體" w:hAnsi="新細明體"/>
              </w:rPr>
            </w:pPr>
          </w:p>
        </w:tc>
        <w:tc>
          <w:tcPr>
            <w:tcW w:w="5386" w:type="dxa"/>
            <w:tcBorders>
              <w:top w:val="nil"/>
              <w:bottom w:val="nil"/>
            </w:tcBorders>
          </w:tcPr>
          <w:p w14:paraId="20206E15"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境外華僑及外國自然人或外國機構投資人、經專案核准之FIA、國內機構投資人及全權委託之投資人、大陸機構投資人及在境內設有分行之外國銀行、海外存託憑證存託機構、大陸地區人民等設有特殊帳號客戶得免提供資力證明文件。國內上市</w:t>
            </w:r>
            <w:r>
              <w:rPr>
                <w:rFonts w:ascii="新細明體" w:eastAsia="新細明體" w:hAnsi="新細明體" w:cs="新細明體" w:hint="eastAsia"/>
              </w:rPr>
              <w:lastRenderedPageBreak/>
              <w:t>上櫃公司、金融控股公司之子公司及實收資本額超過新台幣伍億元之公開發行公司得以其最近期財務報表為資力證明文件。</w:t>
            </w:r>
          </w:p>
        </w:tc>
        <w:tc>
          <w:tcPr>
            <w:tcW w:w="5387" w:type="dxa"/>
            <w:tcBorders>
              <w:top w:val="nil"/>
              <w:bottom w:val="nil"/>
            </w:tcBorders>
          </w:tcPr>
          <w:p w14:paraId="172BCE0F"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lastRenderedPageBreak/>
              <w:t>境外華僑及外國自然人或外國機構投資人、經專案核准之FIA、國內機構投資人及全權委託之投資人、大陸機構投資人及在境內設有分行之外國銀行、海外存託憑證存託機構、大陸地區人民等設有特殊帳號客戶得免提供資力證明文件。國內上市</w:t>
            </w:r>
            <w:r>
              <w:rPr>
                <w:rFonts w:ascii="新細明體" w:eastAsia="新細明體" w:hAnsi="新細明體" w:cs="新細明體" w:hint="eastAsia"/>
              </w:rPr>
              <w:lastRenderedPageBreak/>
              <w:t>上櫃公司、金融控股公司之子公司及實收資本額超過新台幣伍億元之公開發行公司得以其最近期財務報表為資力證明文件。</w:t>
            </w:r>
          </w:p>
        </w:tc>
        <w:tc>
          <w:tcPr>
            <w:tcW w:w="2023" w:type="dxa"/>
            <w:vMerge/>
            <w:tcBorders>
              <w:right w:val="single" w:sz="12" w:space="0" w:color="auto"/>
            </w:tcBorders>
          </w:tcPr>
          <w:p w14:paraId="068CD24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A53B3C" w14:textId="77777777">
        <w:tc>
          <w:tcPr>
            <w:tcW w:w="1384" w:type="dxa"/>
            <w:vMerge/>
            <w:tcBorders>
              <w:left w:val="single" w:sz="12" w:space="0" w:color="auto"/>
            </w:tcBorders>
          </w:tcPr>
          <w:p w14:paraId="4CE9FC4A" w14:textId="77777777" w:rsidR="003B3105" w:rsidRDefault="003B3105" w:rsidP="001E533B">
            <w:pPr>
              <w:rPr>
                <w:rFonts w:ascii="新細明體" w:eastAsia="新細明體" w:hAnsi="新細明體"/>
              </w:rPr>
            </w:pPr>
          </w:p>
        </w:tc>
        <w:tc>
          <w:tcPr>
            <w:tcW w:w="1276" w:type="dxa"/>
            <w:vMerge/>
          </w:tcPr>
          <w:p w14:paraId="47807993" w14:textId="77777777" w:rsidR="003B3105" w:rsidRDefault="003B3105" w:rsidP="001E533B">
            <w:pPr>
              <w:rPr>
                <w:rFonts w:ascii="新細明體" w:eastAsia="新細明體" w:hAnsi="新細明體"/>
              </w:rPr>
            </w:pPr>
          </w:p>
        </w:tc>
        <w:tc>
          <w:tcPr>
            <w:tcW w:w="5386" w:type="dxa"/>
            <w:tcBorders>
              <w:top w:val="nil"/>
              <w:bottom w:val="nil"/>
            </w:tcBorders>
          </w:tcPr>
          <w:p w14:paraId="26C4DC5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依自律規則第十二條第一項規定得免提供資力證明文件者，徵信人員應依其對該客戶徵信之瞭解，在公司對客戶之風險控管政策與範圍內，自行評估該客戶之單日買賣最高額度，不受自律規則第十條、第十五條之限制。</w:t>
            </w:r>
          </w:p>
        </w:tc>
        <w:tc>
          <w:tcPr>
            <w:tcW w:w="5387" w:type="dxa"/>
            <w:tcBorders>
              <w:top w:val="nil"/>
              <w:bottom w:val="nil"/>
            </w:tcBorders>
          </w:tcPr>
          <w:p w14:paraId="6944AFB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依自律規則第十二條第一項規定得免提供資力證明文件者，徵信人員應依其對該客戶徵信之瞭解，在公司對客戶之風險控管政策與範圍內，自行評估該客戶之單日買賣最高額度，不受自律規則第十條、第十五條之限制。</w:t>
            </w:r>
          </w:p>
        </w:tc>
        <w:tc>
          <w:tcPr>
            <w:tcW w:w="2023" w:type="dxa"/>
            <w:vMerge/>
            <w:tcBorders>
              <w:right w:val="single" w:sz="12" w:space="0" w:color="auto"/>
            </w:tcBorders>
          </w:tcPr>
          <w:p w14:paraId="0B160A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257376" w14:textId="77777777">
        <w:tc>
          <w:tcPr>
            <w:tcW w:w="1384" w:type="dxa"/>
            <w:vMerge/>
            <w:tcBorders>
              <w:left w:val="single" w:sz="12" w:space="0" w:color="auto"/>
            </w:tcBorders>
          </w:tcPr>
          <w:p w14:paraId="48DE4E34" w14:textId="77777777" w:rsidR="003B3105" w:rsidRDefault="003B3105" w:rsidP="001E533B">
            <w:pPr>
              <w:rPr>
                <w:rFonts w:ascii="新細明體" w:eastAsia="新細明體" w:hAnsi="新細明體"/>
              </w:rPr>
            </w:pPr>
          </w:p>
        </w:tc>
        <w:tc>
          <w:tcPr>
            <w:tcW w:w="1276" w:type="dxa"/>
            <w:vMerge/>
          </w:tcPr>
          <w:p w14:paraId="136AFFD4" w14:textId="77777777" w:rsidR="003B3105" w:rsidRDefault="003B3105" w:rsidP="001E533B">
            <w:pPr>
              <w:rPr>
                <w:rFonts w:ascii="新細明體" w:eastAsia="新細明體" w:hAnsi="新細明體"/>
              </w:rPr>
            </w:pPr>
          </w:p>
        </w:tc>
        <w:tc>
          <w:tcPr>
            <w:tcW w:w="5386" w:type="dxa"/>
            <w:tcBorders>
              <w:top w:val="nil"/>
              <w:bottom w:val="nil"/>
            </w:tcBorders>
          </w:tcPr>
          <w:p w14:paraId="0AE520D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客戶如係經由保管機構保管款券之境外華僑及外國自然人或外國機構投資人、國內機構投資人，在公司之風險控管政策原則內，依自行訂定之「瞭解客戶（KYC）」作業程序，執行評估客戶風險之相關程序後，得暫不設定該客戶之單日買賣最高額度。上述客戶未設定單日買賣額度而從事當日沖銷交易或資券相抵交割交易者，應分別依下列規定辦理：</w:t>
            </w:r>
          </w:p>
        </w:tc>
        <w:tc>
          <w:tcPr>
            <w:tcW w:w="5387" w:type="dxa"/>
            <w:tcBorders>
              <w:top w:val="nil"/>
              <w:bottom w:val="nil"/>
            </w:tcBorders>
          </w:tcPr>
          <w:p w14:paraId="132899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客戶如係經由保管機構保管款券之境外華僑及外國自然人或外國機構投資人、國內機構投資人，在公司之風險控管政策原則內，依自行訂定之「瞭解客戶（KYC）」作業程序，執行評估客戶風險之相關程序後，得暫不設定該客戶之單日買賣最高額度。上述客戶未設定單日買賣額度而從事當日沖銷交易或資券相抵交割交易者，應分別依下列規定辦理：</w:t>
            </w:r>
          </w:p>
        </w:tc>
        <w:tc>
          <w:tcPr>
            <w:tcW w:w="2023" w:type="dxa"/>
            <w:vMerge/>
            <w:tcBorders>
              <w:right w:val="single" w:sz="12" w:space="0" w:color="auto"/>
            </w:tcBorders>
          </w:tcPr>
          <w:p w14:paraId="178C870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2F46F4" w14:textId="77777777">
        <w:tc>
          <w:tcPr>
            <w:tcW w:w="1384" w:type="dxa"/>
            <w:vMerge/>
            <w:tcBorders>
              <w:left w:val="single" w:sz="12" w:space="0" w:color="auto"/>
            </w:tcBorders>
          </w:tcPr>
          <w:p w14:paraId="08CB2DC4" w14:textId="77777777" w:rsidR="003B3105" w:rsidRDefault="003B3105" w:rsidP="001E533B">
            <w:pPr>
              <w:rPr>
                <w:rFonts w:ascii="新細明體" w:eastAsia="新細明體" w:hAnsi="新細明體"/>
              </w:rPr>
            </w:pPr>
          </w:p>
        </w:tc>
        <w:tc>
          <w:tcPr>
            <w:tcW w:w="1276" w:type="dxa"/>
            <w:vMerge/>
          </w:tcPr>
          <w:p w14:paraId="75A77F02" w14:textId="77777777" w:rsidR="003B3105" w:rsidRDefault="003B3105" w:rsidP="001E533B">
            <w:pPr>
              <w:rPr>
                <w:rFonts w:ascii="新細明體" w:eastAsia="新細明體" w:hAnsi="新細明體"/>
              </w:rPr>
            </w:pPr>
          </w:p>
        </w:tc>
        <w:tc>
          <w:tcPr>
            <w:tcW w:w="5386" w:type="dxa"/>
            <w:tcBorders>
              <w:top w:val="nil"/>
              <w:bottom w:val="nil"/>
            </w:tcBorders>
          </w:tcPr>
          <w:p w14:paraId="35C0628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(1)依有價證券當日沖銷交易作業辦法設定及計算當日沖銷額度。</w:t>
            </w:r>
          </w:p>
        </w:tc>
        <w:tc>
          <w:tcPr>
            <w:tcW w:w="5387" w:type="dxa"/>
            <w:tcBorders>
              <w:top w:val="nil"/>
              <w:bottom w:val="nil"/>
            </w:tcBorders>
          </w:tcPr>
          <w:p w14:paraId="3090464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(1)依有價證券當日沖銷交易作業辦法設定及計算當日沖銷額度。</w:t>
            </w:r>
          </w:p>
        </w:tc>
        <w:tc>
          <w:tcPr>
            <w:tcW w:w="2023" w:type="dxa"/>
            <w:vMerge/>
            <w:tcBorders>
              <w:right w:val="single" w:sz="12" w:space="0" w:color="auto"/>
            </w:tcBorders>
          </w:tcPr>
          <w:p w14:paraId="29E51A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9452C9" w14:textId="77777777">
        <w:tc>
          <w:tcPr>
            <w:tcW w:w="1384" w:type="dxa"/>
            <w:vMerge/>
            <w:tcBorders>
              <w:left w:val="single" w:sz="12" w:space="0" w:color="auto"/>
            </w:tcBorders>
          </w:tcPr>
          <w:p w14:paraId="11C1DAF5" w14:textId="77777777" w:rsidR="003B3105" w:rsidRDefault="003B3105" w:rsidP="001E533B">
            <w:pPr>
              <w:rPr>
                <w:rFonts w:ascii="新細明體" w:eastAsia="新細明體" w:hAnsi="新細明體"/>
              </w:rPr>
            </w:pPr>
          </w:p>
        </w:tc>
        <w:tc>
          <w:tcPr>
            <w:tcW w:w="1276" w:type="dxa"/>
            <w:vMerge/>
          </w:tcPr>
          <w:p w14:paraId="54F99416" w14:textId="77777777" w:rsidR="003B3105" w:rsidRDefault="003B3105" w:rsidP="001E533B">
            <w:pPr>
              <w:rPr>
                <w:rFonts w:ascii="新細明體" w:eastAsia="新細明體" w:hAnsi="新細明體"/>
              </w:rPr>
            </w:pPr>
          </w:p>
        </w:tc>
        <w:tc>
          <w:tcPr>
            <w:tcW w:w="5386" w:type="dxa"/>
            <w:tcBorders>
              <w:top w:val="nil"/>
              <w:bottom w:val="nil"/>
            </w:tcBorders>
          </w:tcPr>
          <w:p w14:paraId="05B2FAD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(2)依信用交易資券相抵交割之交易作業要點設定及計算資券相抵交易額度。</w:t>
            </w:r>
          </w:p>
        </w:tc>
        <w:tc>
          <w:tcPr>
            <w:tcW w:w="5387" w:type="dxa"/>
            <w:tcBorders>
              <w:top w:val="nil"/>
              <w:bottom w:val="nil"/>
            </w:tcBorders>
          </w:tcPr>
          <w:p w14:paraId="3E4DE4B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(2)依信用交易資券相抵交割之交易作業要點設定及計算資券相抵交易額度。</w:t>
            </w:r>
          </w:p>
        </w:tc>
        <w:tc>
          <w:tcPr>
            <w:tcW w:w="2023" w:type="dxa"/>
            <w:vMerge/>
            <w:tcBorders>
              <w:right w:val="single" w:sz="12" w:space="0" w:color="auto"/>
            </w:tcBorders>
          </w:tcPr>
          <w:p w14:paraId="4D4B4B4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212978" w14:textId="77777777">
        <w:tc>
          <w:tcPr>
            <w:tcW w:w="1384" w:type="dxa"/>
            <w:vMerge/>
            <w:tcBorders>
              <w:left w:val="single" w:sz="12" w:space="0" w:color="auto"/>
            </w:tcBorders>
          </w:tcPr>
          <w:p w14:paraId="4138E15B" w14:textId="77777777" w:rsidR="003B3105" w:rsidRDefault="003B3105" w:rsidP="001E533B">
            <w:pPr>
              <w:rPr>
                <w:rFonts w:ascii="新細明體" w:eastAsia="新細明體" w:hAnsi="新細明體"/>
              </w:rPr>
            </w:pPr>
          </w:p>
        </w:tc>
        <w:tc>
          <w:tcPr>
            <w:tcW w:w="1276" w:type="dxa"/>
            <w:vMerge/>
          </w:tcPr>
          <w:p w14:paraId="3E2A2EF5" w14:textId="77777777" w:rsidR="003B3105" w:rsidRDefault="003B3105" w:rsidP="001E533B">
            <w:pPr>
              <w:rPr>
                <w:rFonts w:ascii="新細明體" w:eastAsia="新細明體" w:hAnsi="新細明體"/>
              </w:rPr>
            </w:pPr>
          </w:p>
        </w:tc>
        <w:tc>
          <w:tcPr>
            <w:tcW w:w="5386" w:type="dxa"/>
            <w:tcBorders>
              <w:top w:val="nil"/>
              <w:bottom w:val="nil"/>
            </w:tcBorders>
          </w:tcPr>
          <w:p w14:paraId="7358511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10.公司經營證券相關業務時，依規定如有瞭解客戶（KYC）作業規定者，應依所屬業務之KYC作業規定確實落實執行。</w:t>
            </w:r>
          </w:p>
        </w:tc>
        <w:tc>
          <w:tcPr>
            <w:tcW w:w="5387" w:type="dxa"/>
            <w:tcBorders>
              <w:top w:val="nil"/>
              <w:bottom w:val="nil"/>
            </w:tcBorders>
          </w:tcPr>
          <w:p w14:paraId="1E2C6C6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10.公司經營證券相關業務時，依規定如有瞭解客戶（KYC）作業規定者，應依所屬業務之KYC作業規定確實落實執行。</w:t>
            </w:r>
          </w:p>
        </w:tc>
        <w:tc>
          <w:tcPr>
            <w:tcW w:w="2023" w:type="dxa"/>
            <w:vMerge/>
            <w:tcBorders>
              <w:right w:val="single" w:sz="12" w:space="0" w:color="auto"/>
            </w:tcBorders>
          </w:tcPr>
          <w:p w14:paraId="29484F9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4705F1" w14:textId="77777777">
        <w:tc>
          <w:tcPr>
            <w:tcW w:w="1384" w:type="dxa"/>
            <w:vMerge/>
            <w:tcBorders>
              <w:left w:val="single" w:sz="12" w:space="0" w:color="auto"/>
            </w:tcBorders>
          </w:tcPr>
          <w:p w14:paraId="5140B87C" w14:textId="77777777" w:rsidR="003B3105" w:rsidRDefault="003B3105" w:rsidP="001E533B">
            <w:pPr>
              <w:rPr>
                <w:rFonts w:ascii="新細明體" w:eastAsia="新細明體" w:hAnsi="新細明體"/>
              </w:rPr>
            </w:pPr>
          </w:p>
        </w:tc>
        <w:tc>
          <w:tcPr>
            <w:tcW w:w="1276" w:type="dxa"/>
            <w:vMerge/>
          </w:tcPr>
          <w:p w14:paraId="3AF2495C" w14:textId="77777777" w:rsidR="003B3105" w:rsidRDefault="003B3105" w:rsidP="001E533B">
            <w:pPr>
              <w:rPr>
                <w:rFonts w:ascii="新細明體" w:eastAsia="新細明體" w:hAnsi="新細明體"/>
              </w:rPr>
            </w:pPr>
          </w:p>
        </w:tc>
        <w:tc>
          <w:tcPr>
            <w:tcW w:w="5386" w:type="dxa"/>
            <w:tcBorders>
              <w:top w:val="nil"/>
              <w:bottom w:val="nil"/>
            </w:tcBorders>
          </w:tcPr>
          <w:p w14:paraId="7BF51FD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11.公司受理非法人團體開戶、徵信及評估</w:t>
            </w:r>
            <w:r>
              <w:rPr>
                <w:rFonts w:ascii="新細明體" w:eastAsia="新細明體" w:hAnsi="新細明體" w:cs="新細明體" w:hint="eastAsia"/>
              </w:rPr>
              <w:lastRenderedPageBreak/>
              <w:t>買賣額度時，應確實依「中華民國證券商業同業公會會員辦理受託買賣業務瞭解委託人及徵信與額度管理自律規則」辦理。</w:t>
            </w:r>
          </w:p>
        </w:tc>
        <w:tc>
          <w:tcPr>
            <w:tcW w:w="5387" w:type="dxa"/>
            <w:tcBorders>
              <w:top w:val="nil"/>
              <w:bottom w:val="nil"/>
            </w:tcBorders>
          </w:tcPr>
          <w:p w14:paraId="05D4728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11.公司受理非法人團體開戶、徵信及評估</w:t>
            </w:r>
            <w:r>
              <w:rPr>
                <w:rFonts w:ascii="新細明體" w:eastAsia="新細明體" w:hAnsi="新細明體" w:cs="新細明體" w:hint="eastAsia"/>
              </w:rPr>
              <w:lastRenderedPageBreak/>
              <w:t>買賣額度時，應確實依「中華民國證券商業同業公會會員辦理受託買賣業務瞭解委託人及徵信與額度管理自律規則」辦理。</w:t>
            </w:r>
          </w:p>
        </w:tc>
        <w:tc>
          <w:tcPr>
            <w:tcW w:w="2023" w:type="dxa"/>
            <w:vMerge/>
            <w:tcBorders>
              <w:right w:val="single" w:sz="12" w:space="0" w:color="auto"/>
            </w:tcBorders>
          </w:tcPr>
          <w:p w14:paraId="42394C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D769BC" w14:textId="77777777">
        <w:tc>
          <w:tcPr>
            <w:tcW w:w="1384" w:type="dxa"/>
            <w:vMerge/>
            <w:tcBorders>
              <w:left w:val="single" w:sz="12" w:space="0" w:color="auto"/>
            </w:tcBorders>
          </w:tcPr>
          <w:p w14:paraId="5EBBBCD9" w14:textId="77777777" w:rsidR="003B3105" w:rsidRDefault="003B3105" w:rsidP="001E533B">
            <w:pPr>
              <w:rPr>
                <w:rFonts w:ascii="新細明體" w:eastAsia="新細明體" w:hAnsi="新細明體"/>
              </w:rPr>
            </w:pPr>
          </w:p>
        </w:tc>
        <w:tc>
          <w:tcPr>
            <w:tcW w:w="1276" w:type="dxa"/>
            <w:vMerge/>
          </w:tcPr>
          <w:p w14:paraId="6348C9EA" w14:textId="77777777" w:rsidR="003B3105" w:rsidRDefault="003B3105" w:rsidP="001E533B">
            <w:pPr>
              <w:rPr>
                <w:rFonts w:ascii="新細明體" w:eastAsia="新細明體" w:hAnsi="新細明體"/>
              </w:rPr>
            </w:pPr>
          </w:p>
        </w:tc>
        <w:tc>
          <w:tcPr>
            <w:tcW w:w="5386" w:type="dxa"/>
            <w:tcBorders>
              <w:top w:val="nil"/>
              <w:bottom w:val="nil"/>
            </w:tcBorders>
          </w:tcPr>
          <w:p w14:paraId="7A77043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12.客戶如發生違約，結案後仍沿用原帳戶者，即應對客戶重新徵信。</w:t>
            </w:r>
          </w:p>
        </w:tc>
        <w:tc>
          <w:tcPr>
            <w:tcW w:w="5387" w:type="dxa"/>
            <w:tcBorders>
              <w:top w:val="nil"/>
              <w:bottom w:val="nil"/>
            </w:tcBorders>
          </w:tcPr>
          <w:p w14:paraId="42EA065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12.客戶如發生違約，結案後仍沿用原帳戶者，即應對客戶重新徵信。</w:t>
            </w:r>
          </w:p>
        </w:tc>
        <w:tc>
          <w:tcPr>
            <w:tcW w:w="2023" w:type="dxa"/>
            <w:vMerge/>
            <w:tcBorders>
              <w:right w:val="single" w:sz="12" w:space="0" w:color="auto"/>
            </w:tcBorders>
          </w:tcPr>
          <w:p w14:paraId="270195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DA130A" w14:textId="77777777">
        <w:tc>
          <w:tcPr>
            <w:tcW w:w="1384" w:type="dxa"/>
            <w:vMerge/>
            <w:tcBorders>
              <w:left w:val="single" w:sz="12" w:space="0" w:color="auto"/>
            </w:tcBorders>
          </w:tcPr>
          <w:p w14:paraId="1D001602" w14:textId="77777777" w:rsidR="003B3105" w:rsidRDefault="003B3105" w:rsidP="001E533B">
            <w:pPr>
              <w:rPr>
                <w:rFonts w:ascii="新細明體" w:eastAsia="新細明體" w:hAnsi="新細明體"/>
              </w:rPr>
            </w:pPr>
          </w:p>
        </w:tc>
        <w:tc>
          <w:tcPr>
            <w:tcW w:w="1276" w:type="dxa"/>
            <w:vMerge/>
          </w:tcPr>
          <w:p w14:paraId="275913DC" w14:textId="77777777" w:rsidR="003B3105" w:rsidRDefault="003B3105" w:rsidP="001E533B">
            <w:pPr>
              <w:rPr>
                <w:rFonts w:ascii="新細明體" w:eastAsia="新細明體" w:hAnsi="新細明體"/>
              </w:rPr>
            </w:pPr>
          </w:p>
        </w:tc>
        <w:tc>
          <w:tcPr>
            <w:tcW w:w="5386" w:type="dxa"/>
            <w:tcBorders>
              <w:top w:val="nil"/>
              <w:bottom w:val="nil"/>
            </w:tcBorders>
          </w:tcPr>
          <w:p w14:paraId="1F5BB43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(二)客戶交易後之徵授信管理：</w:t>
            </w:r>
          </w:p>
        </w:tc>
        <w:tc>
          <w:tcPr>
            <w:tcW w:w="5387" w:type="dxa"/>
            <w:tcBorders>
              <w:top w:val="nil"/>
              <w:bottom w:val="nil"/>
            </w:tcBorders>
          </w:tcPr>
          <w:p w14:paraId="1C1C8A6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(二)客戶交易後之徵授信管理：</w:t>
            </w:r>
          </w:p>
        </w:tc>
        <w:tc>
          <w:tcPr>
            <w:tcW w:w="2023" w:type="dxa"/>
            <w:vMerge/>
            <w:tcBorders>
              <w:right w:val="single" w:sz="12" w:space="0" w:color="auto"/>
            </w:tcBorders>
          </w:tcPr>
          <w:p w14:paraId="0DF659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DC9B0A" w14:textId="77777777">
        <w:tc>
          <w:tcPr>
            <w:tcW w:w="1384" w:type="dxa"/>
            <w:vMerge/>
            <w:tcBorders>
              <w:left w:val="single" w:sz="12" w:space="0" w:color="auto"/>
            </w:tcBorders>
          </w:tcPr>
          <w:p w14:paraId="4F194963" w14:textId="77777777" w:rsidR="003B3105" w:rsidRDefault="003B3105" w:rsidP="001E533B">
            <w:pPr>
              <w:rPr>
                <w:rFonts w:ascii="新細明體" w:eastAsia="新細明體" w:hAnsi="新細明體"/>
              </w:rPr>
            </w:pPr>
          </w:p>
        </w:tc>
        <w:tc>
          <w:tcPr>
            <w:tcW w:w="1276" w:type="dxa"/>
            <w:vMerge/>
          </w:tcPr>
          <w:p w14:paraId="1821443E" w14:textId="77777777" w:rsidR="003B3105" w:rsidRDefault="003B3105" w:rsidP="001E533B">
            <w:pPr>
              <w:rPr>
                <w:rFonts w:ascii="新細明體" w:eastAsia="新細明體" w:hAnsi="新細明體"/>
              </w:rPr>
            </w:pPr>
          </w:p>
        </w:tc>
        <w:tc>
          <w:tcPr>
            <w:tcW w:w="5386" w:type="dxa"/>
            <w:tcBorders>
              <w:top w:val="nil"/>
              <w:bottom w:val="nil"/>
            </w:tcBorders>
          </w:tcPr>
          <w:p w14:paraId="4F43B9D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1.已開立帳戶之客戶，單日買賣額度變更，得由公司填寫徵信資料表，黏貼於開戶契約備查。</w:t>
            </w:r>
          </w:p>
        </w:tc>
        <w:tc>
          <w:tcPr>
            <w:tcW w:w="5387" w:type="dxa"/>
            <w:tcBorders>
              <w:top w:val="nil"/>
              <w:bottom w:val="nil"/>
            </w:tcBorders>
          </w:tcPr>
          <w:p w14:paraId="743E4E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1.已開立帳戶之客戶，單日買賣額度變更，得由公司填寫徵信資料表，黏貼於開戶契約備查。</w:t>
            </w:r>
          </w:p>
        </w:tc>
        <w:tc>
          <w:tcPr>
            <w:tcW w:w="2023" w:type="dxa"/>
            <w:vMerge/>
            <w:tcBorders>
              <w:right w:val="single" w:sz="12" w:space="0" w:color="auto"/>
            </w:tcBorders>
          </w:tcPr>
          <w:p w14:paraId="1546BD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548412" w14:textId="77777777">
        <w:tc>
          <w:tcPr>
            <w:tcW w:w="1384" w:type="dxa"/>
            <w:vMerge/>
            <w:tcBorders>
              <w:left w:val="single" w:sz="12" w:space="0" w:color="auto"/>
            </w:tcBorders>
          </w:tcPr>
          <w:p w14:paraId="0B34B630" w14:textId="77777777" w:rsidR="003B3105" w:rsidRDefault="003B3105" w:rsidP="001E533B">
            <w:pPr>
              <w:rPr>
                <w:rFonts w:ascii="新細明體" w:eastAsia="新細明體" w:hAnsi="新細明體"/>
              </w:rPr>
            </w:pPr>
          </w:p>
        </w:tc>
        <w:tc>
          <w:tcPr>
            <w:tcW w:w="1276" w:type="dxa"/>
            <w:vMerge/>
          </w:tcPr>
          <w:p w14:paraId="003E03F7" w14:textId="77777777" w:rsidR="003B3105" w:rsidRDefault="003B3105" w:rsidP="001E533B">
            <w:pPr>
              <w:rPr>
                <w:rFonts w:ascii="新細明體" w:eastAsia="新細明體" w:hAnsi="新細明體"/>
              </w:rPr>
            </w:pPr>
          </w:p>
        </w:tc>
        <w:tc>
          <w:tcPr>
            <w:tcW w:w="5386" w:type="dxa"/>
            <w:tcBorders>
              <w:top w:val="nil"/>
              <w:bottom w:val="nil"/>
            </w:tcBorders>
          </w:tcPr>
          <w:p w14:paraId="662ADAD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開戶後之資力狀況有顯著變更，或發生違約，或其交易集中於公布交易(注意)資訊之有價證券金額合計達壹仟伍佰萬元以上時，應先依其前述交易前之徵信程序重新評估其投資能力。公司基於專業及風險上之考量，須調整客戶單日買賣額度(含信用交易額度時)，得以適當之方式通知客戶。</w:t>
            </w:r>
          </w:p>
        </w:tc>
        <w:tc>
          <w:tcPr>
            <w:tcW w:w="5387" w:type="dxa"/>
            <w:tcBorders>
              <w:top w:val="nil"/>
              <w:bottom w:val="nil"/>
            </w:tcBorders>
          </w:tcPr>
          <w:p w14:paraId="151B631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開戶後之資力狀況有顯著變更，或發生違約，或其交易集中於公布交易(注意)資訊之有價證券金額合計達壹仟伍佰萬元以上時，應先依其前述交易前之徵信程序重新評估其投資能力。公司基於專業及風險上之考量，須調整客戶單日買賣額度(含信用交易額度時)，得以適當之方式通知客戶。</w:t>
            </w:r>
          </w:p>
        </w:tc>
        <w:tc>
          <w:tcPr>
            <w:tcW w:w="2023" w:type="dxa"/>
            <w:vMerge/>
            <w:tcBorders>
              <w:right w:val="single" w:sz="12" w:space="0" w:color="auto"/>
            </w:tcBorders>
          </w:tcPr>
          <w:p w14:paraId="56B48B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572A23" w14:textId="77777777">
        <w:tc>
          <w:tcPr>
            <w:tcW w:w="1384" w:type="dxa"/>
            <w:vMerge/>
            <w:tcBorders>
              <w:left w:val="single" w:sz="12" w:space="0" w:color="auto"/>
            </w:tcBorders>
          </w:tcPr>
          <w:p w14:paraId="305B9356" w14:textId="77777777" w:rsidR="003B3105" w:rsidRDefault="003B3105" w:rsidP="001E533B">
            <w:pPr>
              <w:rPr>
                <w:rFonts w:ascii="新細明體" w:eastAsia="新細明體" w:hAnsi="新細明體"/>
              </w:rPr>
            </w:pPr>
          </w:p>
        </w:tc>
        <w:tc>
          <w:tcPr>
            <w:tcW w:w="1276" w:type="dxa"/>
            <w:vMerge/>
          </w:tcPr>
          <w:p w14:paraId="44301A31" w14:textId="77777777" w:rsidR="003B3105" w:rsidRDefault="003B3105" w:rsidP="001E533B">
            <w:pPr>
              <w:rPr>
                <w:rFonts w:ascii="新細明體" w:eastAsia="新細明體" w:hAnsi="新細明體"/>
              </w:rPr>
            </w:pPr>
          </w:p>
        </w:tc>
        <w:tc>
          <w:tcPr>
            <w:tcW w:w="5386" w:type="dxa"/>
            <w:tcBorders>
              <w:top w:val="nil"/>
              <w:bottom w:val="nil"/>
            </w:tcBorders>
          </w:tcPr>
          <w:p w14:paraId="04699C6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每一營業據點在接受客戶委託買賣某種有價證券，若有適用自律規則第二十五條所訂之情事，且上開客戶在事實發生後之當日或次一營業日委託買賣該種證券之數量、金額亦同時符合自律規則第二十六條第一項所訂條件時，則公司對於上述客戶，除適用自律規則第二十五條第二項者外，應加強其財務徵信及蒐集買賣交割等相關資料，並進行調</w:t>
            </w:r>
            <w:r>
              <w:rPr>
                <w:rFonts w:ascii="新細明體" w:eastAsia="新細明體" w:hAnsi="新細明體" w:cs="新細明體" w:hint="eastAsia"/>
              </w:rPr>
              <w:lastRenderedPageBreak/>
              <w:t>查，作成查核報告存檔備查。</w:t>
            </w:r>
          </w:p>
        </w:tc>
        <w:tc>
          <w:tcPr>
            <w:tcW w:w="5387" w:type="dxa"/>
            <w:tcBorders>
              <w:top w:val="nil"/>
              <w:bottom w:val="nil"/>
            </w:tcBorders>
          </w:tcPr>
          <w:p w14:paraId="62A0C8C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公司每一營業據點在接受客戶委託買賣某種有價證券，若有適用自律規則第二十五條所訂之情事，且上開客戶在事實發生後之當日或次一營業日委託買賣該種證券之數量、金額亦同時符合自律規則第二十六條第一項所訂條件時，則公司對於上述客戶，除適用自律規則第二十五條第二項者外，應加強其財務徵信及蒐集買賣交割等相關資料，並進行調</w:t>
            </w:r>
            <w:r>
              <w:rPr>
                <w:rFonts w:ascii="新細明體" w:eastAsia="新細明體" w:hAnsi="新細明體" w:cs="新細明體" w:hint="eastAsia"/>
              </w:rPr>
              <w:lastRenderedPageBreak/>
              <w:t>查，作成查核報告存檔備查。</w:t>
            </w:r>
          </w:p>
        </w:tc>
        <w:tc>
          <w:tcPr>
            <w:tcW w:w="2023" w:type="dxa"/>
            <w:vMerge/>
            <w:tcBorders>
              <w:right w:val="single" w:sz="12" w:space="0" w:color="auto"/>
            </w:tcBorders>
          </w:tcPr>
          <w:p w14:paraId="4D43FD3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A02D2E" w14:textId="77777777">
        <w:tc>
          <w:tcPr>
            <w:tcW w:w="1384" w:type="dxa"/>
            <w:vMerge/>
            <w:tcBorders>
              <w:left w:val="single" w:sz="12" w:space="0" w:color="auto"/>
            </w:tcBorders>
          </w:tcPr>
          <w:p w14:paraId="5EF848CB" w14:textId="77777777" w:rsidR="003B3105" w:rsidRDefault="003B3105" w:rsidP="001E533B">
            <w:pPr>
              <w:rPr>
                <w:rFonts w:ascii="新細明體" w:eastAsia="新細明體" w:hAnsi="新細明體"/>
              </w:rPr>
            </w:pPr>
          </w:p>
        </w:tc>
        <w:tc>
          <w:tcPr>
            <w:tcW w:w="1276" w:type="dxa"/>
            <w:vMerge/>
          </w:tcPr>
          <w:p w14:paraId="760D89E8" w14:textId="77777777" w:rsidR="003B3105" w:rsidRDefault="003B3105" w:rsidP="001E533B">
            <w:pPr>
              <w:rPr>
                <w:rFonts w:ascii="新細明體" w:eastAsia="新細明體" w:hAnsi="新細明體"/>
              </w:rPr>
            </w:pPr>
          </w:p>
        </w:tc>
        <w:tc>
          <w:tcPr>
            <w:tcW w:w="5386" w:type="dxa"/>
            <w:tcBorders>
              <w:top w:val="nil"/>
              <w:bottom w:val="nil"/>
            </w:tcBorders>
          </w:tcPr>
          <w:p w14:paraId="0070744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4.上開特殊帳號之客戶，應注意其買進或賣出額度是否異常。</w:t>
            </w:r>
          </w:p>
        </w:tc>
        <w:tc>
          <w:tcPr>
            <w:tcW w:w="5387" w:type="dxa"/>
            <w:tcBorders>
              <w:top w:val="nil"/>
              <w:bottom w:val="nil"/>
            </w:tcBorders>
          </w:tcPr>
          <w:p w14:paraId="7529B0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4.上開特殊帳號之客戶，應注意其買進或賣出額度是否異常。</w:t>
            </w:r>
          </w:p>
        </w:tc>
        <w:tc>
          <w:tcPr>
            <w:tcW w:w="2023" w:type="dxa"/>
            <w:vMerge/>
            <w:tcBorders>
              <w:right w:val="single" w:sz="12" w:space="0" w:color="auto"/>
            </w:tcBorders>
          </w:tcPr>
          <w:p w14:paraId="5B5DFC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D3F3AC" w14:textId="77777777">
        <w:tc>
          <w:tcPr>
            <w:tcW w:w="1384" w:type="dxa"/>
            <w:vMerge/>
            <w:tcBorders>
              <w:left w:val="single" w:sz="12" w:space="0" w:color="auto"/>
            </w:tcBorders>
          </w:tcPr>
          <w:p w14:paraId="7EF20796" w14:textId="77777777" w:rsidR="003B3105" w:rsidRDefault="003B3105" w:rsidP="001E533B">
            <w:pPr>
              <w:rPr>
                <w:rFonts w:ascii="新細明體" w:eastAsia="新細明體" w:hAnsi="新細明體"/>
              </w:rPr>
            </w:pPr>
          </w:p>
        </w:tc>
        <w:tc>
          <w:tcPr>
            <w:tcW w:w="1276" w:type="dxa"/>
            <w:vMerge/>
          </w:tcPr>
          <w:p w14:paraId="261A0971" w14:textId="77777777" w:rsidR="003B3105" w:rsidRDefault="003B3105" w:rsidP="001E533B">
            <w:pPr>
              <w:rPr>
                <w:rFonts w:ascii="新細明體" w:eastAsia="新細明體" w:hAnsi="新細明體"/>
              </w:rPr>
            </w:pPr>
          </w:p>
        </w:tc>
        <w:tc>
          <w:tcPr>
            <w:tcW w:w="5386" w:type="dxa"/>
            <w:tcBorders>
              <w:top w:val="nil"/>
              <w:bottom w:val="nil"/>
            </w:tcBorders>
          </w:tcPr>
          <w:p w14:paraId="4FE908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5.對於客戶有當日沖銷及資券互抵之操作習性者，若有發生大幅虧損狀況者，應重新評估該客戶及其關聯戶之受託買賣額度、資券相抵交易額度及當日沖銷額度，並加強相關風險控管措施。</w:t>
            </w:r>
          </w:p>
        </w:tc>
        <w:tc>
          <w:tcPr>
            <w:tcW w:w="5387" w:type="dxa"/>
            <w:tcBorders>
              <w:top w:val="nil"/>
              <w:bottom w:val="nil"/>
            </w:tcBorders>
          </w:tcPr>
          <w:p w14:paraId="3A08FE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5.對於客戶有當日沖銷及資券互抵之操作習性者，若有發生大幅虧損狀況者，應重新評估該客戶及其關聯戶之受託買賣額度、資券相抵交易額度及當日沖銷額度，並加強相關風險控管措施。</w:t>
            </w:r>
          </w:p>
        </w:tc>
        <w:tc>
          <w:tcPr>
            <w:tcW w:w="2023" w:type="dxa"/>
            <w:vMerge/>
            <w:tcBorders>
              <w:right w:val="single" w:sz="12" w:space="0" w:color="auto"/>
            </w:tcBorders>
          </w:tcPr>
          <w:p w14:paraId="06067C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4AD13E" w14:textId="77777777">
        <w:tc>
          <w:tcPr>
            <w:tcW w:w="1384" w:type="dxa"/>
            <w:vMerge/>
            <w:tcBorders>
              <w:left w:val="single" w:sz="12" w:space="0" w:color="auto"/>
            </w:tcBorders>
          </w:tcPr>
          <w:p w14:paraId="7B37DB7B" w14:textId="77777777" w:rsidR="003B3105" w:rsidRDefault="003B3105" w:rsidP="001E533B">
            <w:pPr>
              <w:rPr>
                <w:rFonts w:ascii="新細明體" w:eastAsia="新細明體" w:hAnsi="新細明體"/>
              </w:rPr>
            </w:pPr>
          </w:p>
        </w:tc>
        <w:tc>
          <w:tcPr>
            <w:tcW w:w="1276" w:type="dxa"/>
            <w:vMerge/>
          </w:tcPr>
          <w:p w14:paraId="28EC0142" w14:textId="77777777" w:rsidR="003B3105" w:rsidRDefault="003B3105" w:rsidP="001E533B">
            <w:pPr>
              <w:rPr>
                <w:rFonts w:ascii="新細明體" w:eastAsia="新細明體" w:hAnsi="新細明體"/>
              </w:rPr>
            </w:pPr>
          </w:p>
        </w:tc>
        <w:tc>
          <w:tcPr>
            <w:tcW w:w="5386" w:type="dxa"/>
            <w:tcBorders>
              <w:top w:val="nil"/>
              <w:bottom w:val="nil"/>
            </w:tcBorders>
          </w:tcPr>
          <w:p w14:paraId="00F9195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6.經證交所(櫃</w:t>
            </w:r>
            <w:r>
              <w:rPr>
                <w:rFonts w:ascii="新細明體" w:eastAsia="新細明體" w:hAnsi="新細明體" w:cs="新細明體" w:hint="eastAsia"/>
                <w:b/>
                <w:color w:val="FF0000"/>
                <w:u w:val="single"/>
              </w:rPr>
              <w:t>檯</w:t>
            </w:r>
            <w:r>
              <w:rPr>
                <w:rFonts w:ascii="新細明體" w:eastAsia="新細明體" w:hAnsi="新細明體" w:cs="新細明體" w:hint="eastAsia"/>
              </w:rPr>
              <w:t>買</w:t>
            </w:r>
            <w:r>
              <w:rPr>
                <w:rFonts w:ascii="新細明體" w:eastAsia="新細明體" w:hAnsi="新細明體" w:cs="新細明體" w:hint="eastAsia"/>
                <w:b/>
                <w:color w:val="FF0000"/>
                <w:u w:val="single"/>
              </w:rPr>
              <w:t>賣</w:t>
            </w:r>
            <w:r>
              <w:rPr>
                <w:rFonts w:ascii="新細明體" w:eastAsia="新細明體" w:hAnsi="新細明體" w:cs="新細明體" w:hint="eastAsia"/>
              </w:rPr>
              <w:t>中心)通知，公司對於開市及收盤前有異常大量委託後撤銷</w:t>
            </w:r>
            <w:r>
              <w:rPr>
                <w:rFonts w:ascii="新細明體" w:eastAsia="新細明體" w:hAnsi="新細明體" w:cs="新細明體" w:hint="eastAsia"/>
                <w:b/>
                <w:color w:val="FF0000"/>
                <w:u w:val="single"/>
              </w:rPr>
              <w:t>或變更申報</w:t>
            </w:r>
            <w:r>
              <w:rPr>
                <w:rFonts w:ascii="新細明體" w:eastAsia="新細明體" w:hAnsi="新細明體" w:cs="新細明體" w:hint="eastAsia"/>
              </w:rPr>
              <w:t>之客戶須採預收款券，並善意提醒客戶應避免從事證券交易相關法令規定之禁止行為外，另應對該客戶落實徵信與額度管理，且執行委託買賣深入調查作業，並備妥前開所作調查之說明書函復證交所</w:t>
            </w:r>
            <w:r>
              <w:rPr>
                <w:rFonts w:ascii="新細明體" w:eastAsia="新細明體" w:hAnsi="新細明體" w:cs="新細明體" w:hint="eastAsia"/>
                <w:b/>
                <w:color w:val="FF0000"/>
                <w:u w:val="single"/>
              </w:rPr>
              <w:t>(櫃檯買賣中心)</w:t>
            </w:r>
            <w:r>
              <w:rPr>
                <w:rFonts w:ascii="新細明體" w:eastAsia="新細明體" w:hAnsi="新細明體" w:cs="新細明體" w:hint="eastAsia"/>
              </w:rPr>
              <w:t>備查。前揭委託買賣深入調查說明書應包含：</w:t>
            </w:r>
          </w:p>
        </w:tc>
        <w:tc>
          <w:tcPr>
            <w:tcW w:w="5387" w:type="dxa"/>
            <w:tcBorders>
              <w:top w:val="nil"/>
              <w:bottom w:val="nil"/>
            </w:tcBorders>
          </w:tcPr>
          <w:p w14:paraId="6F4D182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經證交所(櫃買中心)通知，公司對於開市及收盤前有異常大量委託後撤銷之客戶須採預收款券，並善意提醒客戶應避免從事證券交易相關法令規定之禁止行為外，另應對該客戶落實徵信與額度管理，且執行委託買賣深入調查作業，並備妥前開所作調查之說明書函復證交所備查。前揭委託買賣深入調查說明書應包含：</w:t>
            </w:r>
          </w:p>
        </w:tc>
        <w:tc>
          <w:tcPr>
            <w:tcW w:w="2023" w:type="dxa"/>
            <w:vMerge/>
            <w:tcBorders>
              <w:right w:val="single" w:sz="12" w:space="0" w:color="auto"/>
            </w:tcBorders>
          </w:tcPr>
          <w:p w14:paraId="7BA5A2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D08636" w14:textId="77777777">
        <w:tc>
          <w:tcPr>
            <w:tcW w:w="1384" w:type="dxa"/>
            <w:vMerge/>
            <w:tcBorders>
              <w:left w:val="single" w:sz="12" w:space="0" w:color="auto"/>
            </w:tcBorders>
          </w:tcPr>
          <w:p w14:paraId="7D4A02F9" w14:textId="77777777" w:rsidR="003B3105" w:rsidRDefault="003B3105" w:rsidP="001E533B">
            <w:pPr>
              <w:rPr>
                <w:rFonts w:ascii="新細明體" w:eastAsia="新細明體" w:hAnsi="新細明體"/>
              </w:rPr>
            </w:pPr>
          </w:p>
        </w:tc>
        <w:tc>
          <w:tcPr>
            <w:tcW w:w="1276" w:type="dxa"/>
            <w:vMerge/>
          </w:tcPr>
          <w:p w14:paraId="1B61074A" w14:textId="77777777" w:rsidR="003B3105" w:rsidRDefault="003B3105" w:rsidP="001E533B">
            <w:pPr>
              <w:rPr>
                <w:rFonts w:ascii="新細明體" w:eastAsia="新細明體" w:hAnsi="新細明體"/>
              </w:rPr>
            </w:pPr>
          </w:p>
        </w:tc>
        <w:tc>
          <w:tcPr>
            <w:tcW w:w="5386" w:type="dxa"/>
            <w:tcBorders>
              <w:top w:val="nil"/>
              <w:bottom w:val="nil"/>
            </w:tcBorders>
          </w:tcPr>
          <w:p w14:paraId="74616D0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(1)該客戶大量委託後撤銷</w:t>
            </w:r>
            <w:r>
              <w:rPr>
                <w:rFonts w:ascii="新細明體" w:eastAsia="新細明體" w:hAnsi="新細明體" w:cs="新細明體" w:hint="eastAsia"/>
                <w:b/>
                <w:color w:val="FF0000"/>
                <w:u w:val="single"/>
              </w:rPr>
              <w:t>或變更申報</w:t>
            </w:r>
            <w:r>
              <w:rPr>
                <w:rFonts w:ascii="新細明體" w:eastAsia="新細明體" w:hAnsi="新細明體" w:cs="新細明體" w:hint="eastAsia"/>
              </w:rPr>
              <w:t>之原因。</w:t>
            </w:r>
          </w:p>
        </w:tc>
        <w:tc>
          <w:tcPr>
            <w:tcW w:w="5387" w:type="dxa"/>
            <w:tcBorders>
              <w:top w:val="nil"/>
              <w:bottom w:val="nil"/>
            </w:tcBorders>
          </w:tcPr>
          <w:p w14:paraId="58A0D33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(1)該客戶大量委託後撤銷之原因。</w:t>
            </w:r>
          </w:p>
        </w:tc>
        <w:tc>
          <w:tcPr>
            <w:tcW w:w="2023" w:type="dxa"/>
            <w:vMerge/>
            <w:tcBorders>
              <w:right w:val="single" w:sz="12" w:space="0" w:color="auto"/>
            </w:tcBorders>
          </w:tcPr>
          <w:p w14:paraId="2CD433B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B762AC" w14:textId="77777777">
        <w:tc>
          <w:tcPr>
            <w:tcW w:w="1384" w:type="dxa"/>
            <w:vMerge/>
            <w:tcBorders>
              <w:left w:val="single" w:sz="12" w:space="0" w:color="auto"/>
            </w:tcBorders>
          </w:tcPr>
          <w:p w14:paraId="51B9AF31" w14:textId="77777777" w:rsidR="003B3105" w:rsidRDefault="003B3105" w:rsidP="001E533B">
            <w:pPr>
              <w:rPr>
                <w:rFonts w:ascii="新細明體" w:eastAsia="新細明體" w:hAnsi="新細明體"/>
              </w:rPr>
            </w:pPr>
          </w:p>
        </w:tc>
        <w:tc>
          <w:tcPr>
            <w:tcW w:w="1276" w:type="dxa"/>
            <w:vMerge/>
          </w:tcPr>
          <w:p w14:paraId="5B82C204" w14:textId="77777777" w:rsidR="003B3105" w:rsidRDefault="003B3105" w:rsidP="001E533B">
            <w:pPr>
              <w:rPr>
                <w:rFonts w:ascii="新細明體" w:eastAsia="新細明體" w:hAnsi="新細明體"/>
              </w:rPr>
            </w:pPr>
          </w:p>
        </w:tc>
        <w:tc>
          <w:tcPr>
            <w:tcW w:w="5386" w:type="dxa"/>
            <w:tcBorders>
              <w:top w:val="nil"/>
              <w:bottom w:val="nil"/>
            </w:tcBorders>
          </w:tcPr>
          <w:p w14:paraId="4259FDC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(2)經公司進行宣導後，該客戶是否確實知悉相關規範。</w:t>
            </w:r>
          </w:p>
        </w:tc>
        <w:tc>
          <w:tcPr>
            <w:tcW w:w="5387" w:type="dxa"/>
            <w:tcBorders>
              <w:top w:val="nil"/>
              <w:bottom w:val="nil"/>
            </w:tcBorders>
          </w:tcPr>
          <w:p w14:paraId="11698B7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(2)經公司進行宣導後，該客戶是否確實知悉相關規範。</w:t>
            </w:r>
          </w:p>
        </w:tc>
        <w:tc>
          <w:tcPr>
            <w:tcW w:w="2023" w:type="dxa"/>
            <w:vMerge/>
            <w:tcBorders>
              <w:right w:val="single" w:sz="12" w:space="0" w:color="auto"/>
            </w:tcBorders>
          </w:tcPr>
          <w:p w14:paraId="19183BB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B96F52" w14:textId="77777777">
        <w:tc>
          <w:tcPr>
            <w:tcW w:w="1384" w:type="dxa"/>
            <w:vMerge/>
            <w:tcBorders>
              <w:left w:val="single" w:sz="12" w:space="0" w:color="auto"/>
            </w:tcBorders>
          </w:tcPr>
          <w:p w14:paraId="03514B1D" w14:textId="77777777" w:rsidR="003B3105" w:rsidRDefault="003B3105" w:rsidP="001E533B">
            <w:pPr>
              <w:rPr>
                <w:rFonts w:ascii="新細明體" w:eastAsia="新細明體" w:hAnsi="新細明體"/>
              </w:rPr>
            </w:pPr>
          </w:p>
        </w:tc>
        <w:tc>
          <w:tcPr>
            <w:tcW w:w="1276" w:type="dxa"/>
            <w:vMerge/>
          </w:tcPr>
          <w:p w14:paraId="60BB36DB" w14:textId="77777777" w:rsidR="003B3105" w:rsidRDefault="003B3105" w:rsidP="001E533B">
            <w:pPr>
              <w:rPr>
                <w:rFonts w:ascii="新細明體" w:eastAsia="新細明體" w:hAnsi="新細明體"/>
              </w:rPr>
            </w:pPr>
          </w:p>
        </w:tc>
        <w:tc>
          <w:tcPr>
            <w:tcW w:w="5386" w:type="dxa"/>
            <w:tcBorders>
              <w:top w:val="nil"/>
              <w:bottom w:val="nil"/>
            </w:tcBorders>
          </w:tcPr>
          <w:p w14:paraId="0934468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(3)最近一次瞭解該客戶暨徵信與額度管理作業之執行情形。</w:t>
            </w:r>
          </w:p>
        </w:tc>
        <w:tc>
          <w:tcPr>
            <w:tcW w:w="5387" w:type="dxa"/>
            <w:tcBorders>
              <w:top w:val="nil"/>
              <w:bottom w:val="nil"/>
            </w:tcBorders>
          </w:tcPr>
          <w:p w14:paraId="35837BA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(3)最近一次瞭解該客戶暨徵信與額度管理作業之執行情形。</w:t>
            </w:r>
          </w:p>
        </w:tc>
        <w:tc>
          <w:tcPr>
            <w:tcW w:w="2023" w:type="dxa"/>
            <w:vMerge/>
            <w:tcBorders>
              <w:right w:val="single" w:sz="12" w:space="0" w:color="auto"/>
            </w:tcBorders>
          </w:tcPr>
          <w:p w14:paraId="102B3C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E3F55A" w14:textId="77777777">
        <w:tc>
          <w:tcPr>
            <w:tcW w:w="1384" w:type="dxa"/>
            <w:vMerge/>
            <w:tcBorders>
              <w:left w:val="single" w:sz="12" w:space="0" w:color="auto"/>
            </w:tcBorders>
          </w:tcPr>
          <w:p w14:paraId="15F07B34" w14:textId="77777777" w:rsidR="003B3105" w:rsidRDefault="003B3105" w:rsidP="001E533B">
            <w:pPr>
              <w:rPr>
                <w:rFonts w:ascii="新細明體" w:eastAsia="新細明體" w:hAnsi="新細明體"/>
              </w:rPr>
            </w:pPr>
          </w:p>
        </w:tc>
        <w:tc>
          <w:tcPr>
            <w:tcW w:w="1276" w:type="dxa"/>
            <w:vMerge/>
          </w:tcPr>
          <w:p w14:paraId="45B32845" w14:textId="77777777" w:rsidR="003B3105" w:rsidRDefault="003B3105" w:rsidP="001E533B">
            <w:pPr>
              <w:rPr>
                <w:rFonts w:ascii="新細明體" w:eastAsia="新細明體" w:hAnsi="新細明體"/>
              </w:rPr>
            </w:pPr>
          </w:p>
        </w:tc>
        <w:tc>
          <w:tcPr>
            <w:tcW w:w="5386" w:type="dxa"/>
            <w:tcBorders>
              <w:top w:val="nil"/>
              <w:bottom w:val="nil"/>
            </w:tcBorders>
          </w:tcPr>
          <w:p w14:paraId="051CC99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(4)受查期間(依證交所</w:t>
            </w:r>
            <w:r>
              <w:rPr>
                <w:rFonts w:ascii="新細明體" w:eastAsia="新細明體" w:hAnsi="新細明體" w:cs="新細明體" w:hint="eastAsia"/>
                <w:b/>
                <w:color w:val="FF0000"/>
                <w:u w:val="single"/>
              </w:rPr>
              <w:t>或櫃檯買賣中心</w:t>
            </w:r>
            <w:r>
              <w:rPr>
                <w:rFonts w:ascii="新細明體" w:eastAsia="新細明體" w:hAnsi="新細明體" w:cs="新細明體" w:hint="eastAsia"/>
              </w:rPr>
              <w:t>通知函所載)該客戶之委託方式、成交情形及分層負責等相關控管作業。</w:t>
            </w:r>
          </w:p>
        </w:tc>
        <w:tc>
          <w:tcPr>
            <w:tcW w:w="5387" w:type="dxa"/>
            <w:tcBorders>
              <w:top w:val="nil"/>
              <w:bottom w:val="nil"/>
            </w:tcBorders>
          </w:tcPr>
          <w:p w14:paraId="3C6F711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(4)受查期間(依證交所通知函所載)該客戶之委託方式、成交情形及分層負責等相關控管作業。</w:t>
            </w:r>
          </w:p>
        </w:tc>
        <w:tc>
          <w:tcPr>
            <w:tcW w:w="2023" w:type="dxa"/>
            <w:vMerge/>
            <w:tcBorders>
              <w:right w:val="single" w:sz="12" w:space="0" w:color="auto"/>
            </w:tcBorders>
          </w:tcPr>
          <w:p w14:paraId="1A5340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A9CC2D" w14:textId="77777777">
        <w:tc>
          <w:tcPr>
            <w:tcW w:w="1384" w:type="dxa"/>
            <w:vMerge/>
            <w:tcBorders>
              <w:left w:val="single" w:sz="12" w:space="0" w:color="auto"/>
            </w:tcBorders>
          </w:tcPr>
          <w:p w14:paraId="72483763" w14:textId="77777777" w:rsidR="003B3105" w:rsidRDefault="003B3105" w:rsidP="001E533B">
            <w:pPr>
              <w:rPr>
                <w:rFonts w:ascii="新細明體" w:eastAsia="新細明體" w:hAnsi="新細明體"/>
              </w:rPr>
            </w:pPr>
          </w:p>
        </w:tc>
        <w:tc>
          <w:tcPr>
            <w:tcW w:w="1276" w:type="dxa"/>
            <w:vMerge/>
          </w:tcPr>
          <w:p w14:paraId="5781CBEC" w14:textId="77777777" w:rsidR="003B3105" w:rsidRDefault="003B3105" w:rsidP="001E533B">
            <w:pPr>
              <w:rPr>
                <w:rFonts w:ascii="新細明體" w:eastAsia="新細明體" w:hAnsi="新細明體"/>
              </w:rPr>
            </w:pPr>
          </w:p>
        </w:tc>
        <w:tc>
          <w:tcPr>
            <w:tcW w:w="5386" w:type="dxa"/>
            <w:tcBorders>
              <w:top w:val="nil"/>
              <w:bottom w:val="nil"/>
            </w:tcBorders>
          </w:tcPr>
          <w:p w14:paraId="2978F96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(5)預收款券、融資自備款或融券保證金等</w:t>
            </w:r>
            <w:r>
              <w:rPr>
                <w:rFonts w:ascii="新細明體" w:eastAsia="新細明體" w:hAnsi="新細明體" w:cs="新細明體" w:hint="eastAsia"/>
              </w:rPr>
              <w:lastRenderedPageBreak/>
              <w:t>相關作業之設控方式。</w:t>
            </w:r>
          </w:p>
        </w:tc>
        <w:tc>
          <w:tcPr>
            <w:tcW w:w="5387" w:type="dxa"/>
            <w:tcBorders>
              <w:top w:val="nil"/>
              <w:bottom w:val="nil"/>
            </w:tcBorders>
          </w:tcPr>
          <w:p w14:paraId="2105722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(5)預收款券、融資自備款或融券保證金等</w:t>
            </w:r>
            <w:r>
              <w:rPr>
                <w:rFonts w:ascii="新細明體" w:eastAsia="新細明體" w:hAnsi="新細明體" w:cs="新細明體" w:hint="eastAsia"/>
              </w:rPr>
              <w:lastRenderedPageBreak/>
              <w:t>相關作業之設控方式。</w:t>
            </w:r>
          </w:p>
        </w:tc>
        <w:tc>
          <w:tcPr>
            <w:tcW w:w="2023" w:type="dxa"/>
            <w:vMerge/>
            <w:tcBorders>
              <w:right w:val="single" w:sz="12" w:space="0" w:color="auto"/>
            </w:tcBorders>
          </w:tcPr>
          <w:p w14:paraId="68F965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C75C85" w14:textId="77777777">
        <w:tc>
          <w:tcPr>
            <w:tcW w:w="1384" w:type="dxa"/>
            <w:vMerge/>
            <w:tcBorders>
              <w:left w:val="single" w:sz="12" w:space="0" w:color="auto"/>
            </w:tcBorders>
          </w:tcPr>
          <w:p w14:paraId="070AB9BC" w14:textId="77777777" w:rsidR="003B3105" w:rsidRDefault="003B3105" w:rsidP="001E533B">
            <w:pPr>
              <w:rPr>
                <w:rFonts w:ascii="新細明體" w:eastAsia="新細明體" w:hAnsi="新細明體"/>
              </w:rPr>
            </w:pPr>
          </w:p>
        </w:tc>
        <w:tc>
          <w:tcPr>
            <w:tcW w:w="1276" w:type="dxa"/>
            <w:vMerge/>
          </w:tcPr>
          <w:p w14:paraId="41841D8A" w14:textId="77777777" w:rsidR="003B3105" w:rsidRDefault="003B3105" w:rsidP="001E533B">
            <w:pPr>
              <w:rPr>
                <w:rFonts w:ascii="新細明體" w:eastAsia="新細明體" w:hAnsi="新細明體"/>
              </w:rPr>
            </w:pPr>
          </w:p>
        </w:tc>
        <w:tc>
          <w:tcPr>
            <w:tcW w:w="5386" w:type="dxa"/>
            <w:tcBorders>
              <w:top w:val="nil"/>
              <w:bottom w:val="nil"/>
            </w:tcBorders>
          </w:tcPr>
          <w:p w14:paraId="046E127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(6)考量相關營運成本、交易風險、合理利潤及該客戶整體貢獻度等因素評估予該客戶之手續費折讓是否妥適。</w:t>
            </w:r>
          </w:p>
        </w:tc>
        <w:tc>
          <w:tcPr>
            <w:tcW w:w="5387" w:type="dxa"/>
            <w:tcBorders>
              <w:top w:val="nil"/>
              <w:bottom w:val="nil"/>
            </w:tcBorders>
          </w:tcPr>
          <w:p w14:paraId="0DC76F8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(6)考量相關營運成本、交易風險、合理利潤及該客戶整體貢獻度等因素評估予該客戶之手續費折讓是否妥適。</w:t>
            </w:r>
          </w:p>
        </w:tc>
        <w:tc>
          <w:tcPr>
            <w:tcW w:w="2023" w:type="dxa"/>
            <w:vMerge/>
            <w:tcBorders>
              <w:right w:val="single" w:sz="12" w:space="0" w:color="auto"/>
            </w:tcBorders>
          </w:tcPr>
          <w:p w14:paraId="370EFB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28102B" w14:textId="77777777">
        <w:tc>
          <w:tcPr>
            <w:tcW w:w="1384" w:type="dxa"/>
            <w:vMerge/>
            <w:tcBorders>
              <w:left w:val="single" w:sz="12" w:space="0" w:color="auto"/>
            </w:tcBorders>
          </w:tcPr>
          <w:p w14:paraId="7F352C5C" w14:textId="77777777" w:rsidR="003B3105" w:rsidRDefault="003B3105" w:rsidP="001E533B">
            <w:pPr>
              <w:rPr>
                <w:rFonts w:ascii="新細明體" w:eastAsia="新細明體" w:hAnsi="新細明體"/>
              </w:rPr>
            </w:pPr>
          </w:p>
        </w:tc>
        <w:tc>
          <w:tcPr>
            <w:tcW w:w="1276" w:type="dxa"/>
            <w:vMerge/>
          </w:tcPr>
          <w:p w14:paraId="35F3C1A7" w14:textId="77777777" w:rsidR="003B3105" w:rsidRDefault="003B3105" w:rsidP="001E533B">
            <w:pPr>
              <w:rPr>
                <w:rFonts w:ascii="新細明體" w:eastAsia="新細明體" w:hAnsi="新細明體"/>
              </w:rPr>
            </w:pPr>
          </w:p>
        </w:tc>
        <w:tc>
          <w:tcPr>
            <w:tcW w:w="5386" w:type="dxa"/>
            <w:tcBorders>
              <w:top w:val="nil"/>
              <w:bottom w:val="nil"/>
            </w:tcBorders>
          </w:tcPr>
          <w:p w14:paraId="635903C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(三)公司受理客戶開戶、徵信及評估買賣額度時，應確實依「中華民國證券商業同業公會會員辦理受託買賣業務瞭解委託人及徵信與額度管理自律規則」辦理。</w:t>
            </w:r>
          </w:p>
        </w:tc>
        <w:tc>
          <w:tcPr>
            <w:tcW w:w="5387" w:type="dxa"/>
            <w:tcBorders>
              <w:top w:val="nil"/>
              <w:bottom w:val="nil"/>
            </w:tcBorders>
          </w:tcPr>
          <w:p w14:paraId="68F3AB0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(三)公司受理客戶開戶、徵信及評估買賣額度時，應確實依「中華民國證券商業同業公會會員辦理受託買賣業務瞭解委託人及徵信與額度管理自律規則」辦理。</w:t>
            </w:r>
          </w:p>
        </w:tc>
        <w:tc>
          <w:tcPr>
            <w:tcW w:w="2023" w:type="dxa"/>
            <w:vMerge/>
            <w:tcBorders>
              <w:right w:val="single" w:sz="12" w:space="0" w:color="auto"/>
            </w:tcBorders>
          </w:tcPr>
          <w:p w14:paraId="66F550C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ED3C75" w14:textId="77777777">
        <w:tc>
          <w:tcPr>
            <w:tcW w:w="1384" w:type="dxa"/>
            <w:vMerge/>
            <w:tcBorders>
              <w:left w:val="single" w:sz="12" w:space="0" w:color="auto"/>
            </w:tcBorders>
          </w:tcPr>
          <w:p w14:paraId="58013ED3" w14:textId="77777777" w:rsidR="003B3105" w:rsidRDefault="003B3105" w:rsidP="001E533B">
            <w:pPr>
              <w:rPr>
                <w:rFonts w:ascii="新細明體" w:eastAsia="新細明體" w:hAnsi="新細明體"/>
              </w:rPr>
            </w:pPr>
          </w:p>
        </w:tc>
        <w:tc>
          <w:tcPr>
            <w:tcW w:w="1276" w:type="dxa"/>
            <w:vMerge/>
          </w:tcPr>
          <w:p w14:paraId="42D41293" w14:textId="77777777" w:rsidR="003B3105" w:rsidRDefault="003B3105" w:rsidP="001E533B">
            <w:pPr>
              <w:rPr>
                <w:rFonts w:ascii="新細明體" w:eastAsia="新細明體" w:hAnsi="新細明體"/>
              </w:rPr>
            </w:pPr>
          </w:p>
        </w:tc>
        <w:tc>
          <w:tcPr>
            <w:tcW w:w="5386" w:type="dxa"/>
            <w:tcBorders>
              <w:top w:val="nil"/>
              <w:bottom w:val="nil"/>
            </w:tcBorders>
          </w:tcPr>
          <w:p w14:paraId="5CD956C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開戶經辦人員及營業員應對申請開戶之僑外人投資之資金及法人之組成股東，作必要之查詢，並填具「非基金型態之僑外投資人資金檢查表」留存備查。若經查疑為中資者，另應通報證交所轉報主管機關處理。</w:t>
            </w:r>
          </w:p>
        </w:tc>
        <w:tc>
          <w:tcPr>
            <w:tcW w:w="5387" w:type="dxa"/>
            <w:tcBorders>
              <w:top w:val="nil"/>
              <w:bottom w:val="nil"/>
            </w:tcBorders>
          </w:tcPr>
          <w:p w14:paraId="18E33E8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開戶經辦人員及營業員應對申請開戶之僑外人投資之資金及法人之組成股東，作必要之查詢，並填具「非基金型態之僑外投資人資金檢查表」留存備查。若經查疑為中資者，另應通報證交所轉報主管機關處理。</w:t>
            </w:r>
          </w:p>
        </w:tc>
        <w:tc>
          <w:tcPr>
            <w:tcW w:w="2023" w:type="dxa"/>
            <w:vMerge/>
            <w:tcBorders>
              <w:right w:val="single" w:sz="12" w:space="0" w:color="auto"/>
            </w:tcBorders>
          </w:tcPr>
          <w:p w14:paraId="60E19A6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rPr>
                <w:rFonts w:ascii="新細明體" w:eastAsia="新細明體" w:hAnsi="新細明體" w:cs="新細明體"/>
              </w:rPr>
            </w:pPr>
            <w:r>
              <w:rPr>
                <w:rFonts w:ascii="新細明體" w:eastAsia="新細明體" w:hAnsi="新細明體" w:cs="新細明體" w:hint="eastAsia"/>
              </w:rPr>
              <w:t>註：財富管理業務之徵信採單一窗口作業者，與本章規定如有不同，以CA-19120規定為準。</w:t>
            </w:r>
          </w:p>
        </w:tc>
        <w:tc>
          <w:tcPr>
            <w:tcW w:w="5387" w:type="dxa"/>
            <w:tcBorders>
              <w:top w:val="nil"/>
              <w:bottom w:val="single" w:sz="12" w:space="0" w:color="auto"/>
            </w:tcBorders>
          </w:tcPr>
          <w:p w14:paraId="7CBFB24A" w14:textId="08415A0E" w:rsidR="003B3105" w:rsidRPr="00F6439B" w:rsidRDefault="0027008E" w:rsidP="0027008E">
            <w:pPr>
              <w:spacing w:line="360" w:lineRule="exact"/>
              <w:rPr>
                <w:rFonts w:ascii="新細明體" w:eastAsia="新細明體" w:hAnsi="新細明體" w:cs="新細明體"/>
              </w:rPr>
            </w:pPr>
            <w:r>
              <w:rPr>
                <w:rFonts w:ascii="新細明體" w:eastAsia="新細明體" w:hAnsi="新細明體" w:cs="新細明體" w:hint="eastAsia"/>
              </w:rPr>
              <w:t>註：財富管理業務之徵信採單一窗口作業者，與本章規定如有不同，以CA-19120規定為準。</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F307D" w14:textId="77777777" w:rsidR="0064671E" w:rsidRDefault="0064671E" w:rsidP="00E87601">
      <w:pPr>
        <w:spacing w:line="240" w:lineRule="auto"/>
      </w:pPr>
      <w:r>
        <w:separator/>
      </w:r>
    </w:p>
  </w:endnote>
  <w:endnote w:type="continuationSeparator" w:id="0">
    <w:p w14:paraId="4EA789E3" w14:textId="77777777" w:rsidR="0064671E" w:rsidRDefault="0064671E"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CCDFD" w14:textId="77777777" w:rsidR="0064671E" w:rsidRDefault="0064671E" w:rsidP="00E87601">
      <w:pPr>
        <w:spacing w:line="240" w:lineRule="auto"/>
      </w:pPr>
      <w:r>
        <w:separator/>
      </w:r>
    </w:p>
  </w:footnote>
  <w:footnote w:type="continuationSeparator" w:id="0">
    <w:p w14:paraId="2E925905" w14:textId="77777777" w:rsidR="0064671E" w:rsidRDefault="0064671E"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07C4C"/>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935AE"/>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4671E"/>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919</Words>
  <Characters>5239</Characters>
  <Application>Microsoft Office Word</Application>
  <DocSecurity>0</DocSecurity>
  <Lines>43</Lines>
  <Paragraphs>12</Paragraphs>
  <ScaleCrop>false</ScaleCrop>
  <Company>Hewlett-Packard Company</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14</cp:revision>
  <cp:lastPrinted>2004-03-09T19:20:00Z</cp:lastPrinted>
  <dcterms:created xsi:type="dcterms:W3CDTF">2025-04-18T10:47:00Z</dcterms:created>
  <dcterms:modified xsi:type="dcterms:W3CDTF">2026-05-19T02:46:00Z</dcterms:modified>
</cp:coreProperties>
</file>