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2BDE80B6"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71"/>
        <w:gridCol w:w="5354"/>
        <w:gridCol w:w="5355"/>
        <w:gridCol w:w="2012"/>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AA-11120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客戶徵授信作業之稽核</w:t>
            </w:r>
          </w:p>
          <w:p w14:paraId="5828183C"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1536891F"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配合內部控制制度CA-11120修正。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(一)是否建立客戶徵信資料。</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(一)是否建立客戶徵信資料。</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7D31BA" w14:textId="77777777">
        <w:tc>
          <w:tcPr>
            <w:tcW w:w="1384" w:type="dxa"/>
            <w:vMerge/>
            <w:tcBorders>
              <w:left w:val="single" w:sz="12" w:space="0" w:color="auto"/>
            </w:tcBorders>
          </w:tcPr>
          <w:p w14:paraId="68371D23" w14:textId="77777777" w:rsidR="003B3105" w:rsidRDefault="003B3105" w:rsidP="001E533B">
            <w:pPr>
              <w:rPr>
                <w:rFonts w:ascii="新細明體" w:eastAsia="新細明體" w:hAnsi="新細明體"/>
              </w:rPr>
            </w:pPr>
          </w:p>
        </w:tc>
        <w:tc>
          <w:tcPr>
            <w:tcW w:w="1276" w:type="dxa"/>
            <w:vMerge/>
          </w:tcPr>
          <w:p w14:paraId="2565AE5E" w14:textId="77777777" w:rsidR="003B3105" w:rsidRDefault="003B3105" w:rsidP="001E533B">
            <w:pPr>
              <w:rPr>
                <w:rFonts w:ascii="新細明體" w:eastAsia="新細明體" w:hAnsi="新細明體"/>
              </w:rPr>
            </w:pPr>
          </w:p>
        </w:tc>
        <w:tc>
          <w:tcPr>
            <w:tcW w:w="5386" w:type="dxa"/>
            <w:tcBorders>
              <w:top w:val="nil"/>
              <w:bottom w:val="nil"/>
            </w:tcBorders>
          </w:tcPr>
          <w:p w14:paraId="48DF202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(二)徵信人員是否依券商公會自律規則之規定評估客戶單日買賣最高額度。</w:t>
            </w:r>
          </w:p>
        </w:tc>
        <w:tc>
          <w:tcPr>
            <w:tcW w:w="5387" w:type="dxa"/>
            <w:tcBorders>
              <w:top w:val="nil"/>
              <w:bottom w:val="nil"/>
            </w:tcBorders>
          </w:tcPr>
          <w:p w14:paraId="32E0F6A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(二)徵信人員是否依券商公會自律規則之規定評估客戶單日買賣最高額度。</w:t>
            </w:r>
          </w:p>
        </w:tc>
        <w:tc>
          <w:tcPr>
            <w:tcW w:w="2023" w:type="dxa"/>
            <w:vMerge/>
            <w:tcBorders>
              <w:right w:val="single" w:sz="12" w:space="0" w:color="auto"/>
            </w:tcBorders>
          </w:tcPr>
          <w:p w14:paraId="7B63E60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1551F1" w14:textId="77777777">
        <w:tc>
          <w:tcPr>
            <w:tcW w:w="1384" w:type="dxa"/>
            <w:vMerge/>
            <w:tcBorders>
              <w:left w:val="single" w:sz="12" w:space="0" w:color="auto"/>
            </w:tcBorders>
          </w:tcPr>
          <w:p w14:paraId="57E97E9E" w14:textId="77777777" w:rsidR="003B3105" w:rsidRDefault="003B3105" w:rsidP="001E533B">
            <w:pPr>
              <w:rPr>
                <w:rFonts w:ascii="新細明體" w:eastAsia="新細明體" w:hAnsi="新細明體"/>
              </w:rPr>
            </w:pPr>
          </w:p>
        </w:tc>
        <w:tc>
          <w:tcPr>
            <w:tcW w:w="1276" w:type="dxa"/>
            <w:vMerge/>
          </w:tcPr>
          <w:p w14:paraId="33AB4944" w14:textId="77777777" w:rsidR="003B3105" w:rsidRDefault="003B3105" w:rsidP="001E533B">
            <w:pPr>
              <w:rPr>
                <w:rFonts w:ascii="新細明體" w:eastAsia="新細明體" w:hAnsi="新細明體"/>
              </w:rPr>
            </w:pPr>
          </w:p>
        </w:tc>
        <w:tc>
          <w:tcPr>
            <w:tcW w:w="5386" w:type="dxa"/>
            <w:tcBorders>
              <w:top w:val="nil"/>
              <w:bottom w:val="nil"/>
            </w:tcBorders>
          </w:tcPr>
          <w:p w14:paraId="4D2695B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(三)評估客戶單日買賣額度在一定金額以上者，是否依券商公會自律規則之規定檢附、抄錄或留存相關證明文件。</w:t>
            </w:r>
          </w:p>
        </w:tc>
        <w:tc>
          <w:tcPr>
            <w:tcW w:w="5387" w:type="dxa"/>
            <w:tcBorders>
              <w:top w:val="nil"/>
              <w:bottom w:val="nil"/>
            </w:tcBorders>
          </w:tcPr>
          <w:p w14:paraId="5C494E9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(三)評估客戶單日買賣額度在一定金額以上者，是否依券商公會自律規則之規定檢附、抄錄或留存相關證明文件。</w:t>
            </w:r>
          </w:p>
        </w:tc>
        <w:tc>
          <w:tcPr>
            <w:tcW w:w="2023" w:type="dxa"/>
            <w:vMerge/>
            <w:tcBorders>
              <w:right w:val="single" w:sz="12" w:space="0" w:color="auto"/>
            </w:tcBorders>
          </w:tcPr>
          <w:p w14:paraId="0357CB0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CD7289" w14:textId="77777777">
        <w:tc>
          <w:tcPr>
            <w:tcW w:w="1384" w:type="dxa"/>
            <w:vMerge/>
            <w:tcBorders>
              <w:left w:val="single" w:sz="12" w:space="0" w:color="auto"/>
            </w:tcBorders>
          </w:tcPr>
          <w:p w14:paraId="7EF5686F" w14:textId="77777777" w:rsidR="003B3105" w:rsidRDefault="003B3105" w:rsidP="001E533B">
            <w:pPr>
              <w:rPr>
                <w:rFonts w:ascii="新細明體" w:eastAsia="新細明體" w:hAnsi="新細明體"/>
              </w:rPr>
            </w:pPr>
          </w:p>
        </w:tc>
        <w:tc>
          <w:tcPr>
            <w:tcW w:w="1276" w:type="dxa"/>
            <w:vMerge/>
          </w:tcPr>
          <w:p w14:paraId="27B45B05" w14:textId="77777777" w:rsidR="003B3105" w:rsidRDefault="003B3105" w:rsidP="001E533B">
            <w:pPr>
              <w:rPr>
                <w:rFonts w:ascii="新細明體" w:eastAsia="新細明體" w:hAnsi="新細明體"/>
              </w:rPr>
            </w:pPr>
          </w:p>
        </w:tc>
        <w:tc>
          <w:tcPr>
            <w:tcW w:w="5386" w:type="dxa"/>
            <w:tcBorders>
              <w:top w:val="nil"/>
              <w:bottom w:val="nil"/>
            </w:tcBorders>
          </w:tcPr>
          <w:p w14:paraId="4D14897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(四)徵信人員評估客戶單日買賣額度在伍佰萬元以上者，若客戶提供之個人資力證明未達評估額度百分之三十時，徵信人員是否詳述具體可信之事由。</w:t>
            </w:r>
          </w:p>
        </w:tc>
        <w:tc>
          <w:tcPr>
            <w:tcW w:w="5387" w:type="dxa"/>
            <w:tcBorders>
              <w:top w:val="nil"/>
              <w:bottom w:val="nil"/>
            </w:tcBorders>
          </w:tcPr>
          <w:p w14:paraId="27EB3C8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(四)徵信人員評估客戶單日買賣額度在伍佰萬元以上者，若客戶提供之個人資力證明未達評估額度百分之三十時，徵信人員是否詳述具體可信之事由。</w:t>
            </w:r>
          </w:p>
        </w:tc>
        <w:tc>
          <w:tcPr>
            <w:tcW w:w="2023" w:type="dxa"/>
            <w:vMerge/>
            <w:tcBorders>
              <w:right w:val="single" w:sz="12" w:space="0" w:color="auto"/>
            </w:tcBorders>
          </w:tcPr>
          <w:p w14:paraId="067CEE4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EB370E" w14:textId="77777777">
        <w:tc>
          <w:tcPr>
            <w:tcW w:w="1384" w:type="dxa"/>
            <w:vMerge/>
            <w:tcBorders>
              <w:left w:val="single" w:sz="12" w:space="0" w:color="auto"/>
            </w:tcBorders>
          </w:tcPr>
          <w:p w14:paraId="41AF9E5A" w14:textId="77777777" w:rsidR="003B3105" w:rsidRDefault="003B3105" w:rsidP="001E533B">
            <w:pPr>
              <w:rPr>
                <w:rFonts w:ascii="新細明體" w:eastAsia="新細明體" w:hAnsi="新細明體"/>
              </w:rPr>
            </w:pPr>
          </w:p>
        </w:tc>
        <w:tc>
          <w:tcPr>
            <w:tcW w:w="1276" w:type="dxa"/>
            <w:vMerge/>
          </w:tcPr>
          <w:p w14:paraId="095ABF76" w14:textId="77777777" w:rsidR="003B3105" w:rsidRDefault="003B3105" w:rsidP="001E533B">
            <w:pPr>
              <w:rPr>
                <w:rFonts w:ascii="新細明體" w:eastAsia="新細明體" w:hAnsi="新細明體"/>
              </w:rPr>
            </w:pPr>
          </w:p>
        </w:tc>
        <w:tc>
          <w:tcPr>
            <w:tcW w:w="5386" w:type="dxa"/>
            <w:tcBorders>
              <w:top w:val="nil"/>
              <w:bottom w:val="nil"/>
            </w:tcBorders>
          </w:tcPr>
          <w:p w14:paraId="796FD76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(五)徵信與額度審核表是否依券商公會自律規則之規定辦理。</w:t>
            </w:r>
          </w:p>
        </w:tc>
        <w:tc>
          <w:tcPr>
            <w:tcW w:w="5387" w:type="dxa"/>
            <w:tcBorders>
              <w:top w:val="nil"/>
              <w:bottom w:val="nil"/>
            </w:tcBorders>
          </w:tcPr>
          <w:p w14:paraId="52A7537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(五)徵信與額度審核表是否依券商公會自律規則之規定辦理。</w:t>
            </w:r>
          </w:p>
        </w:tc>
        <w:tc>
          <w:tcPr>
            <w:tcW w:w="2023" w:type="dxa"/>
            <w:vMerge/>
            <w:tcBorders>
              <w:right w:val="single" w:sz="12" w:space="0" w:color="auto"/>
            </w:tcBorders>
          </w:tcPr>
          <w:p w14:paraId="783A26B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06425D" w14:textId="77777777">
        <w:tc>
          <w:tcPr>
            <w:tcW w:w="1384" w:type="dxa"/>
            <w:vMerge/>
            <w:tcBorders>
              <w:left w:val="single" w:sz="12" w:space="0" w:color="auto"/>
            </w:tcBorders>
          </w:tcPr>
          <w:p w14:paraId="7FABFD82" w14:textId="77777777" w:rsidR="003B3105" w:rsidRDefault="003B3105" w:rsidP="001E533B">
            <w:pPr>
              <w:rPr>
                <w:rFonts w:ascii="新細明體" w:eastAsia="新細明體" w:hAnsi="新細明體"/>
              </w:rPr>
            </w:pPr>
          </w:p>
        </w:tc>
        <w:tc>
          <w:tcPr>
            <w:tcW w:w="1276" w:type="dxa"/>
            <w:vMerge/>
          </w:tcPr>
          <w:p w14:paraId="042953E0" w14:textId="77777777" w:rsidR="003B3105" w:rsidRDefault="003B3105" w:rsidP="001E533B">
            <w:pPr>
              <w:rPr>
                <w:rFonts w:ascii="新細明體" w:eastAsia="新細明體" w:hAnsi="新細明體"/>
              </w:rPr>
            </w:pPr>
          </w:p>
        </w:tc>
        <w:tc>
          <w:tcPr>
            <w:tcW w:w="5386" w:type="dxa"/>
            <w:tcBorders>
              <w:top w:val="nil"/>
              <w:bottom w:val="nil"/>
            </w:tcBorders>
          </w:tcPr>
          <w:p w14:paraId="40835E5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徵信人員評估客戶單日買賣額度在伍佰萬元以上者，是否基於專業及風險上之考量，隨時注意客戶資力狀況之變動，於得知客戶資力狀況有顯著變動時予以調查更新其徵信資料。經評估客戶單日買賣額度在壹仟萬元以上者，是否並應每年調查更新其徵信資料。</w:t>
            </w:r>
          </w:p>
        </w:tc>
        <w:tc>
          <w:tcPr>
            <w:tcW w:w="5387" w:type="dxa"/>
            <w:tcBorders>
              <w:top w:val="nil"/>
              <w:bottom w:val="nil"/>
            </w:tcBorders>
          </w:tcPr>
          <w:p w14:paraId="0AC7F32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徵信人員評估客戶單日買賣額度在伍佰萬元以上者，是否基於專業及風險上之考量，隨時注意客戶資力狀況之變動，於得知客戶資力狀況有顯著變動時予以調查更新其徵信資料。經評估客戶單日買賣額度在壹仟萬元以上者，是否並應每年調查更新其徵信資料。</w:t>
            </w:r>
          </w:p>
        </w:tc>
        <w:tc>
          <w:tcPr>
            <w:tcW w:w="2023" w:type="dxa"/>
            <w:vMerge/>
            <w:tcBorders>
              <w:right w:val="single" w:sz="12" w:space="0" w:color="auto"/>
            </w:tcBorders>
          </w:tcPr>
          <w:p w14:paraId="33C7B8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A5A88D" w14:textId="77777777">
        <w:tc>
          <w:tcPr>
            <w:tcW w:w="1384" w:type="dxa"/>
            <w:vMerge/>
            <w:tcBorders>
              <w:left w:val="single" w:sz="12" w:space="0" w:color="auto"/>
            </w:tcBorders>
          </w:tcPr>
          <w:p w14:paraId="5B2CA341" w14:textId="77777777" w:rsidR="003B3105" w:rsidRDefault="003B3105" w:rsidP="001E533B">
            <w:pPr>
              <w:rPr>
                <w:rFonts w:ascii="新細明體" w:eastAsia="新細明體" w:hAnsi="新細明體"/>
              </w:rPr>
            </w:pPr>
          </w:p>
        </w:tc>
        <w:tc>
          <w:tcPr>
            <w:tcW w:w="1276" w:type="dxa"/>
            <w:vMerge/>
          </w:tcPr>
          <w:p w14:paraId="5A7FDAAA" w14:textId="77777777" w:rsidR="003B3105" w:rsidRDefault="003B3105" w:rsidP="001E533B">
            <w:pPr>
              <w:rPr>
                <w:rFonts w:ascii="新細明體" w:eastAsia="新細明體" w:hAnsi="新細明體"/>
              </w:rPr>
            </w:pPr>
          </w:p>
        </w:tc>
        <w:tc>
          <w:tcPr>
            <w:tcW w:w="5386" w:type="dxa"/>
            <w:tcBorders>
              <w:top w:val="nil"/>
              <w:bottom w:val="nil"/>
            </w:tcBorders>
          </w:tcPr>
          <w:p w14:paraId="75F494B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(七)是否對申請開戶之僑外人投資之資金及法人之組成股東，作必要之查詢，並填具「非基金型態之僑外投資人資金檢查表」留存備查。若經查疑為中資者，另通報證交所或櫃檯買賣中心轉報主管機關處理。</w:t>
            </w:r>
          </w:p>
        </w:tc>
        <w:tc>
          <w:tcPr>
            <w:tcW w:w="5387" w:type="dxa"/>
            <w:tcBorders>
              <w:top w:val="nil"/>
              <w:bottom w:val="nil"/>
            </w:tcBorders>
          </w:tcPr>
          <w:p w14:paraId="42FAB62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(七)是否對申請開戶之僑外人投資之資金及法人之組成股東，作必要之查詢，並填具「非基金型態之僑外投資人資金檢查表」留存備查。若經查疑為中資者，另通報證交所或櫃檯買賣中心轉報主管機關處理。</w:t>
            </w:r>
          </w:p>
        </w:tc>
        <w:tc>
          <w:tcPr>
            <w:tcW w:w="2023" w:type="dxa"/>
            <w:vMerge/>
            <w:tcBorders>
              <w:right w:val="single" w:sz="12" w:space="0" w:color="auto"/>
            </w:tcBorders>
          </w:tcPr>
          <w:p w14:paraId="2729F4E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98C06A" w14:textId="77777777">
        <w:tc>
          <w:tcPr>
            <w:tcW w:w="1384" w:type="dxa"/>
            <w:vMerge/>
            <w:tcBorders>
              <w:left w:val="single" w:sz="12" w:space="0" w:color="auto"/>
            </w:tcBorders>
          </w:tcPr>
          <w:p w14:paraId="613FE025" w14:textId="77777777" w:rsidR="003B3105" w:rsidRDefault="003B3105" w:rsidP="001E533B">
            <w:pPr>
              <w:rPr>
                <w:rFonts w:ascii="新細明體" w:eastAsia="新細明體" w:hAnsi="新細明體"/>
              </w:rPr>
            </w:pPr>
          </w:p>
        </w:tc>
        <w:tc>
          <w:tcPr>
            <w:tcW w:w="1276" w:type="dxa"/>
            <w:vMerge/>
          </w:tcPr>
          <w:p w14:paraId="6A86CABF" w14:textId="77777777" w:rsidR="003B3105" w:rsidRDefault="003B3105" w:rsidP="001E533B">
            <w:pPr>
              <w:rPr>
                <w:rFonts w:ascii="新細明體" w:eastAsia="新細明體" w:hAnsi="新細明體"/>
              </w:rPr>
            </w:pPr>
          </w:p>
        </w:tc>
        <w:tc>
          <w:tcPr>
            <w:tcW w:w="5386" w:type="dxa"/>
            <w:tcBorders>
              <w:top w:val="nil"/>
              <w:bottom w:val="nil"/>
            </w:tcBorders>
          </w:tcPr>
          <w:p w14:paraId="501D036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(八)對於客戶有當日沖銷及資券互抵之操作習</w:t>
            </w:r>
            <w:r>
              <w:rPr>
                <w:rFonts w:ascii="新細明體" w:eastAsia="新細明體" w:hAnsi="新細明體" w:cs="新細明體" w:hint="eastAsia"/>
              </w:rPr>
              <w:lastRenderedPageBreak/>
              <w:t>性者，若有發生大幅虧損狀況者，應重新評估該客戶及其關聯戶之受託買賣額度、資券相抵交易額度及當日沖銷額度，並加強相關風險控管措施。</w:t>
            </w:r>
          </w:p>
        </w:tc>
        <w:tc>
          <w:tcPr>
            <w:tcW w:w="5387" w:type="dxa"/>
            <w:tcBorders>
              <w:top w:val="nil"/>
              <w:bottom w:val="nil"/>
            </w:tcBorders>
          </w:tcPr>
          <w:p w14:paraId="0417CC6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(八)對於客戶有當日沖銷及資券互抵之操作習</w:t>
            </w:r>
            <w:r>
              <w:rPr>
                <w:rFonts w:ascii="新細明體" w:eastAsia="新細明體" w:hAnsi="新細明體" w:cs="新細明體" w:hint="eastAsia"/>
              </w:rPr>
              <w:lastRenderedPageBreak/>
              <w:t>性者，若有發生大幅虧損狀況者，應重新評估該客戶及其關聯戶之受託買賣額度、資券相抵交易額度及當日沖銷額度，並加強相關風險控管措施。</w:t>
            </w:r>
          </w:p>
        </w:tc>
        <w:tc>
          <w:tcPr>
            <w:tcW w:w="2023" w:type="dxa"/>
            <w:vMerge/>
            <w:tcBorders>
              <w:right w:val="single" w:sz="12" w:space="0" w:color="auto"/>
            </w:tcBorders>
          </w:tcPr>
          <w:p w14:paraId="200A34D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2A8F39" w14:textId="77777777">
        <w:tc>
          <w:tcPr>
            <w:tcW w:w="1384" w:type="dxa"/>
            <w:vMerge/>
            <w:tcBorders>
              <w:left w:val="single" w:sz="12" w:space="0" w:color="auto"/>
            </w:tcBorders>
          </w:tcPr>
          <w:p w14:paraId="791A8CD4" w14:textId="77777777" w:rsidR="003B3105" w:rsidRDefault="003B3105" w:rsidP="001E533B">
            <w:pPr>
              <w:rPr>
                <w:rFonts w:ascii="新細明體" w:eastAsia="新細明體" w:hAnsi="新細明體"/>
              </w:rPr>
            </w:pPr>
          </w:p>
        </w:tc>
        <w:tc>
          <w:tcPr>
            <w:tcW w:w="1276" w:type="dxa"/>
            <w:vMerge/>
          </w:tcPr>
          <w:p w14:paraId="0A99978E" w14:textId="77777777" w:rsidR="003B3105" w:rsidRDefault="003B3105" w:rsidP="001E533B">
            <w:pPr>
              <w:rPr>
                <w:rFonts w:ascii="新細明體" w:eastAsia="新細明體" w:hAnsi="新細明體"/>
              </w:rPr>
            </w:pPr>
          </w:p>
        </w:tc>
        <w:tc>
          <w:tcPr>
            <w:tcW w:w="5386" w:type="dxa"/>
            <w:tcBorders>
              <w:top w:val="nil"/>
              <w:bottom w:val="nil"/>
            </w:tcBorders>
          </w:tcPr>
          <w:p w14:paraId="4157E3D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(九)公司受理非法人團體開戶、徵信及評估買賣額度時，是否依「中華民國證券商業同業公會會員辦理受託買賣業務瞭解委託人及徵信與額度管理自律規則」辦理。</w:t>
            </w:r>
          </w:p>
        </w:tc>
        <w:tc>
          <w:tcPr>
            <w:tcW w:w="5387" w:type="dxa"/>
            <w:tcBorders>
              <w:top w:val="nil"/>
              <w:bottom w:val="nil"/>
            </w:tcBorders>
          </w:tcPr>
          <w:p w14:paraId="63CCDDB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(九)公司受理非法人團體開戶、徵信及評估買賣額度時，是否依「中華民國證券商業同業公會會員辦理受託買賣業務瞭解委託人及徵信與額度管理自律規則」辦理。</w:t>
            </w:r>
          </w:p>
        </w:tc>
        <w:tc>
          <w:tcPr>
            <w:tcW w:w="2023" w:type="dxa"/>
            <w:vMerge/>
            <w:tcBorders>
              <w:right w:val="single" w:sz="12" w:space="0" w:color="auto"/>
            </w:tcBorders>
          </w:tcPr>
          <w:p w14:paraId="45618B5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0CBBDB" w14:textId="77777777">
        <w:tc>
          <w:tcPr>
            <w:tcW w:w="1384" w:type="dxa"/>
            <w:vMerge/>
            <w:tcBorders>
              <w:left w:val="single" w:sz="12" w:space="0" w:color="auto"/>
            </w:tcBorders>
          </w:tcPr>
          <w:p w14:paraId="5DC54DA7" w14:textId="77777777" w:rsidR="003B3105" w:rsidRDefault="003B3105" w:rsidP="001E533B">
            <w:pPr>
              <w:rPr>
                <w:rFonts w:ascii="新細明體" w:eastAsia="新細明體" w:hAnsi="新細明體"/>
              </w:rPr>
            </w:pPr>
          </w:p>
        </w:tc>
        <w:tc>
          <w:tcPr>
            <w:tcW w:w="1276" w:type="dxa"/>
            <w:vMerge/>
          </w:tcPr>
          <w:p w14:paraId="7540F899" w14:textId="77777777" w:rsidR="003B3105" w:rsidRDefault="003B3105" w:rsidP="001E533B">
            <w:pPr>
              <w:rPr>
                <w:rFonts w:ascii="新細明體" w:eastAsia="新細明體" w:hAnsi="新細明體"/>
              </w:rPr>
            </w:pPr>
          </w:p>
        </w:tc>
        <w:tc>
          <w:tcPr>
            <w:tcW w:w="5386" w:type="dxa"/>
            <w:tcBorders>
              <w:top w:val="nil"/>
              <w:bottom w:val="nil"/>
            </w:tcBorders>
          </w:tcPr>
          <w:p w14:paraId="588E0C3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(十)(刪除)</w:t>
            </w:r>
          </w:p>
        </w:tc>
        <w:tc>
          <w:tcPr>
            <w:tcW w:w="5387" w:type="dxa"/>
            <w:tcBorders>
              <w:top w:val="nil"/>
              <w:bottom w:val="nil"/>
            </w:tcBorders>
          </w:tcPr>
          <w:p w14:paraId="5C77F6A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(十)(刪除)</w:t>
            </w:r>
          </w:p>
        </w:tc>
        <w:tc>
          <w:tcPr>
            <w:tcW w:w="2023" w:type="dxa"/>
            <w:vMerge/>
            <w:tcBorders>
              <w:right w:val="single" w:sz="12" w:space="0" w:color="auto"/>
            </w:tcBorders>
          </w:tcPr>
          <w:p w14:paraId="013DEF2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(十一)經證交所(櫃</w:t>
            </w:r>
            <w:r>
              <w:rPr>
                <w:rFonts w:ascii="新細明體" w:eastAsia="新細明體" w:hAnsi="新細明體" w:cs="新細明體" w:hint="eastAsia"/>
                <w:b/>
                <w:color w:val="FF0000"/>
                <w:u w:val="single"/>
              </w:rPr>
              <w:t>檯</w:t>
            </w:r>
            <w:r>
              <w:rPr>
                <w:rFonts w:ascii="新細明體" w:eastAsia="新細明體" w:hAnsi="新細明體" w:cs="新細明體" w:hint="eastAsia"/>
              </w:rPr>
              <w:t>買</w:t>
            </w:r>
            <w:r>
              <w:rPr>
                <w:rFonts w:ascii="新細明體" w:eastAsia="新細明體" w:hAnsi="新細明體" w:cs="新細明體" w:hint="eastAsia"/>
                <w:b/>
                <w:color w:val="FF0000"/>
                <w:u w:val="single"/>
              </w:rPr>
              <w:t>賣</w:t>
            </w:r>
            <w:r>
              <w:rPr>
                <w:rFonts w:ascii="新細明體" w:eastAsia="新細明體" w:hAnsi="新細明體" w:cs="新細明體" w:hint="eastAsia"/>
              </w:rPr>
              <w:t>中心)函知，客戶於開市或收市前有異常大量撤銷</w:t>
            </w:r>
            <w:r>
              <w:rPr>
                <w:rFonts w:ascii="新細明體" w:eastAsia="新細明體" w:hAnsi="新細明體" w:cs="新細明體" w:hint="eastAsia"/>
                <w:b/>
                <w:color w:val="FF0000"/>
                <w:u w:val="single"/>
              </w:rPr>
              <w:t>或變更申報</w:t>
            </w:r>
            <w:r>
              <w:rPr>
                <w:rFonts w:ascii="新細明體" w:eastAsia="新細明體" w:hAnsi="新細明體" w:cs="新細明體" w:hint="eastAsia"/>
              </w:rPr>
              <w:t>情事，是否依證交所108年1月9日臺證輔字第1080000259號函(櫃</w:t>
            </w:r>
            <w:r>
              <w:rPr>
                <w:rFonts w:ascii="新細明體" w:eastAsia="新細明體" w:hAnsi="新細明體" w:cs="新細明體" w:hint="eastAsia"/>
                <w:b/>
                <w:color w:val="FF0000"/>
                <w:u w:val="single"/>
              </w:rPr>
              <w:t>檯</w:t>
            </w:r>
            <w:r>
              <w:rPr>
                <w:rFonts w:ascii="新細明體" w:eastAsia="新細明體" w:hAnsi="新細明體" w:cs="新細明體" w:hint="eastAsia"/>
              </w:rPr>
              <w:t>買</w:t>
            </w:r>
            <w:r>
              <w:rPr>
                <w:rFonts w:ascii="新細明體" w:eastAsia="新細明體" w:hAnsi="新細明體" w:cs="新細明體" w:hint="eastAsia"/>
                <w:b/>
                <w:color w:val="FF0000"/>
                <w:u w:val="single"/>
              </w:rPr>
              <w:t>賣</w:t>
            </w:r>
            <w:r>
              <w:rPr>
                <w:rFonts w:ascii="新細明體" w:eastAsia="新細明體" w:hAnsi="新細明體" w:cs="新細明體" w:hint="eastAsia"/>
              </w:rPr>
              <w:t>中心108年1月14日證櫃輔字第1080050178號函)辦理。</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(十一)經證交所(櫃買中心)函知，客戶於開市或收市前有異常大量撤銷情事，是否依證交所108年1月9日臺證輔字第1080000259號函(櫃買中心108年1月14日證櫃輔字第1080050178號函)辦理。</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41B61" w14:textId="77777777" w:rsidR="004353A9" w:rsidRDefault="004353A9" w:rsidP="00E87601">
      <w:pPr>
        <w:spacing w:line="240" w:lineRule="auto"/>
      </w:pPr>
      <w:r>
        <w:separator/>
      </w:r>
    </w:p>
  </w:endnote>
  <w:endnote w:type="continuationSeparator" w:id="0">
    <w:p w14:paraId="5ADAFD31" w14:textId="77777777" w:rsidR="004353A9" w:rsidRDefault="004353A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306F1" w14:textId="77777777" w:rsidR="004353A9" w:rsidRDefault="004353A9" w:rsidP="00E87601">
      <w:pPr>
        <w:spacing w:line="240" w:lineRule="auto"/>
      </w:pPr>
      <w:r>
        <w:separator/>
      </w:r>
    </w:p>
  </w:footnote>
  <w:footnote w:type="continuationSeparator" w:id="0">
    <w:p w14:paraId="34BC1055" w14:textId="77777777" w:rsidR="004353A9" w:rsidRDefault="004353A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B2AD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353A9"/>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A2BFF"/>
    <w:rsid w:val="006B1105"/>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1652C"/>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232</Words>
  <Characters>1326</Characters>
  <Application>Microsoft Office Word</Application>
  <DocSecurity>0</DocSecurity>
  <Lines>11</Lines>
  <Paragraphs>3</Paragraphs>
  <ScaleCrop>false</ScaleCrop>
  <Company>Hewlett-Packard Company</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3</cp:revision>
  <cp:lastPrinted>2004-03-09T19:20:00Z</cp:lastPrinted>
  <dcterms:created xsi:type="dcterms:W3CDTF">2026-03-10T07:55:00Z</dcterms:created>
  <dcterms:modified xsi:type="dcterms:W3CDTF">2026-05-19T02:46:00Z</dcterms:modified>
</cp:coreProperties>
</file>