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53"/>
        <w:gridCol w:w="4853"/>
        <w:gridCol w:w="4854"/>
      </w:tblGrid>
      <w:tr w:rsidR="00206453" w:rsidTr="00206453" w14:paraId="694C955B" w14:textId="77777777">
        <w:tc>
          <w:tcPr>
            <w:tcW w:w="4853" w:type="dxa"/>
          </w:tcPr>
          <w:p w:rsidR="00206453" w:rsidP="00A3347B" w:rsidRDefault="00206453" w14:paraId="57392695" w14:textId="77777777">
            <w:pPr>
              <w:spacing w:line="300" w:lineRule="auto"/>
              <w:jc w:val="center"/>
              <w:rPr>
                <w:rFonts w:ascii="新細明體" w:hAnsi="新細明體"/>
                <w:color w:val="000000" w:themeColor="text1"/>
                <w:spacing w:val="24"/>
              </w:rPr>
            </w:pPr>
          </w:p>
        </w:tc>
        <w:tc>
          <w:tcPr>
            <w:tcW w:w="4853" w:type="dxa"/>
          </w:tcPr>
          <w:p w:rsidR="00206453" w:rsidP="00A3347B" w:rsidRDefault="00206453" w14:paraId="4689FB71" w14:textId="3D8939C9">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name="Std_Type2" w:id="0"/>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rsidR="00206453" w:rsidP="00A3347B" w:rsidRDefault="00206453" w14:paraId="36800BAC" w14:textId="77777777">
            <w:pPr>
              <w:spacing w:line="300" w:lineRule="auto"/>
              <w:jc w:val="center"/>
              <w:rPr>
                <w:rFonts w:ascii="新細明體" w:hAnsi="新細明體"/>
                <w:color w:val="000000" w:themeColor="text1"/>
                <w:spacing w:val="24"/>
              </w:rPr>
            </w:pPr>
          </w:p>
        </w:tc>
      </w:tr>
      <w:tr w:rsidR="00206453" w:rsidTr="00206453" w14:paraId="564CE262" w14:textId="77777777">
        <w:tc>
          <w:tcPr>
            <w:tcW w:w="4853" w:type="dxa"/>
          </w:tcPr>
          <w:p w:rsidR="00206453" w:rsidP="00A3347B" w:rsidRDefault="00206453" w14:paraId="3A0AB606" w14:textId="77777777">
            <w:pPr>
              <w:spacing w:line="300" w:lineRule="auto"/>
              <w:jc w:val="center"/>
              <w:rPr>
                <w:rFonts w:ascii="新細明體" w:hAnsi="新細明體"/>
                <w:color w:val="000000" w:themeColor="text1"/>
                <w:spacing w:val="24"/>
              </w:rPr>
            </w:pPr>
          </w:p>
        </w:tc>
        <w:tc>
          <w:tcPr>
            <w:tcW w:w="4853" w:type="dxa"/>
          </w:tcPr>
          <w:p w:rsidRPr="00206453" w:rsidR="00206453" w:rsidP="00206453" w:rsidRDefault="00206453" w14:paraId="47F5E895" w14:textId="2AD7B4BC">
            <w:pPr>
              <w:spacing w:line="400" w:lineRule="exact"/>
              <w:jc w:val="center"/>
              <w:rPr>
                <w:rFonts w:ascii="新細明體" w:hAnsi="新細明體"/>
                <w:color w:val="000000" w:themeColor="text1"/>
                <w:spacing w:val="24"/>
                <w:u w:val="single"/>
              </w:rPr>
            </w:pPr>
            <w:r>
              <w:rPr>
                <w:rFonts w:hint="eastAsia" w:ascii="新細明體" w:hAnsi="新細明體"/>
                <w:color w:val="000000" w:themeColor="text1"/>
              </w:rPr>
              <w:t>業務及收入循環：經紀－集中、櫃檯</w:t>
            </w:r>
            <w:r>
              <w:rPr>
                <w:rFonts w:hint="eastAsia" w:ascii="新細明體" w:hAnsi="新細明體"/>
                <w:color w:val="000000" w:themeColor="text1"/>
              </w:rPr>
              <w:t xml:space="preserve"> </w:t>
            </w:r>
          </w:p>
        </w:tc>
        <w:tc>
          <w:tcPr>
            <w:tcW w:w="4854" w:type="dxa"/>
          </w:tcPr>
          <w:p w:rsidR="00206453" w:rsidP="00A3347B" w:rsidRDefault="00206453" w14:paraId="3FE88541" w14:textId="77777777">
            <w:pPr>
              <w:spacing w:line="300" w:lineRule="auto"/>
              <w:jc w:val="center"/>
              <w:rPr>
                <w:rFonts w:ascii="新細明體" w:hAnsi="新細明體"/>
                <w:color w:val="000000" w:themeColor="text1"/>
                <w:spacing w:val="24"/>
              </w:rPr>
            </w:pPr>
          </w:p>
        </w:tc>
      </w:tr>
      <w:tr w:rsidR="00206453" w:rsidTr="00206453" w14:paraId="16409C84" w14:textId="77777777">
        <w:tc>
          <w:tcPr>
            <w:tcW w:w="4853" w:type="dxa"/>
          </w:tcPr>
          <w:p w:rsidR="00206453" w:rsidP="00206453" w:rsidRDefault="00206453" w14:paraId="5E95A649" w14:textId="4620D06F">
            <w:pPr>
              <w:spacing w:line="300" w:lineRule="auto"/>
              <w:rPr>
                <w:rFonts w:ascii="新細明體" w:hAnsi="新細明體"/>
                <w:color w:val="000000" w:themeColor="text1"/>
                <w:spacing w:val="24"/>
              </w:rPr>
            </w:pPr>
            <w:r>
              <w:rPr>
                <w:rFonts w:hint="eastAsia" w:ascii="新細明體" w:hAnsi="新細明體"/>
                <w:color w:val="000000" w:themeColor="text1"/>
                <w:spacing w:val="24"/>
              </w:rPr>
              <w:t>作業週期：（每月至少查核乙次）</w:t>
            </w:r>
          </w:p>
        </w:tc>
        <w:tc>
          <w:tcPr>
            <w:tcW w:w="4853" w:type="dxa"/>
          </w:tcPr>
          <w:p w:rsidR="00206453" w:rsidP="00A3347B" w:rsidRDefault="00206453" w14:paraId="2E1932CF" w14:textId="5E498ACA">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開戶與帳戶管理查核明細表</w:t>
            </w:r>
          </w:p>
        </w:tc>
        <w:tc>
          <w:tcPr>
            <w:tcW w:w="4854" w:type="dxa"/>
          </w:tcPr>
          <w:p w:rsidR="00206453" w:rsidP="00A3347B" w:rsidRDefault="00206453" w14:paraId="17BF0572" w14:textId="77777777">
            <w:pPr>
              <w:spacing w:line="300" w:lineRule="auto"/>
              <w:jc w:val="center"/>
              <w:rPr>
                <w:rFonts w:ascii="新細明體" w:hAnsi="新細明體"/>
                <w:color w:val="000000" w:themeColor="text1"/>
                <w:spacing w:val="24"/>
              </w:rPr>
            </w:pPr>
          </w:p>
        </w:tc>
      </w:tr>
    </w:tbl>
    <w:tbl>
      <w:tblPr>
        <w:tblW w:w="1505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Pr="00367148" w:rsidR="00367148" w:rsidTr="00B77A59" w14:paraId="5902679F" w14:textId="77777777">
        <w:trPr>
          <w:cantSplit/>
          <w:trHeight w:val="522" w:hRule="exact"/>
          <w:tblHeader/>
        </w:trPr>
        <w:tc>
          <w:tcPr>
            <w:tcW w:w="1985" w:type="dxa"/>
            <w:vMerge w:val="restart"/>
            <w:tcBorders>
              <w:top w:val="single" w:color="auto" w:sz="12" w:space="0"/>
              <w:left w:val="single" w:color="auto" w:sz="12" w:space="0"/>
            </w:tcBorders>
            <w:vAlign w:val="center"/>
          </w:tcPr>
          <w:p w:rsidRPr="00367148" w:rsidR="00A1667A" w:rsidP="00647C22" w:rsidRDefault="00A1667A" w14:paraId="6B52C5CD" w14:textId="77777777">
            <w:pPr>
              <w:spacing w:line="320" w:lineRule="atLeast"/>
              <w:jc w:val="center"/>
              <w:rPr>
                <w:rFonts w:ascii="新細明體" w:hAnsi="新細明體"/>
                <w:color w:val="000000" w:themeColor="text1"/>
              </w:rPr>
            </w:pPr>
            <w:r w:rsidRPr="00367148">
              <w:rPr>
                <w:rFonts w:hint="eastAsia" w:ascii="新細明體" w:hAnsi="新細明體"/>
                <w:color w:val="000000" w:themeColor="text1"/>
              </w:rPr>
              <w:t>項</w:t>
            </w:r>
            <w:r w:rsidRPr="00367148">
              <w:rPr>
                <w:rFonts w:ascii="新細明體" w:hAnsi="新細明體"/>
                <w:color w:val="000000" w:themeColor="text1"/>
              </w:rPr>
              <w:t xml:space="preserve">     </w:t>
            </w:r>
            <w:r w:rsidRPr="00367148">
              <w:rPr>
                <w:rFonts w:hint="eastAsia" w:ascii="新細明體" w:hAnsi="新細明體"/>
                <w:color w:val="000000" w:themeColor="text1"/>
              </w:rPr>
              <w:t>目</w:t>
            </w:r>
          </w:p>
        </w:tc>
        <w:tc>
          <w:tcPr>
            <w:tcW w:w="9383" w:type="dxa"/>
            <w:vMerge w:val="restart"/>
            <w:tcBorders>
              <w:top w:val="single" w:color="auto" w:sz="12" w:space="0"/>
            </w:tcBorders>
            <w:vAlign w:val="center"/>
          </w:tcPr>
          <w:p w:rsidRPr="00367148" w:rsidR="00A1667A" w:rsidP="00647C22" w:rsidRDefault="00A1667A" w14:paraId="617B3D63" w14:textId="77777777">
            <w:pPr>
              <w:spacing w:line="320" w:lineRule="atLeast"/>
              <w:jc w:val="center"/>
              <w:rPr>
                <w:rFonts w:ascii="新細明體" w:hAnsi="新細明體"/>
                <w:color w:val="000000" w:themeColor="text1"/>
              </w:rPr>
            </w:pPr>
            <w:r w:rsidRPr="00367148">
              <w:rPr>
                <w:rFonts w:hint="eastAsia" w:ascii="新細明體" w:hAnsi="新細明體"/>
                <w:color w:val="000000" w:themeColor="text1"/>
              </w:rPr>
              <w:t>查</w:t>
            </w:r>
            <w:r w:rsidRPr="00367148">
              <w:rPr>
                <w:rFonts w:ascii="新細明體" w:hAnsi="新細明體"/>
                <w:color w:val="000000" w:themeColor="text1"/>
              </w:rPr>
              <w:t xml:space="preserve">          </w:t>
            </w:r>
            <w:r w:rsidRPr="00367148">
              <w:rPr>
                <w:rFonts w:hint="eastAsia" w:ascii="新細明體" w:hAnsi="新細明體"/>
                <w:color w:val="000000" w:themeColor="text1"/>
              </w:rPr>
              <w:t>核</w:t>
            </w:r>
            <w:r w:rsidRPr="00367148">
              <w:rPr>
                <w:rFonts w:ascii="新細明體" w:hAnsi="新細明體"/>
                <w:color w:val="000000" w:themeColor="text1"/>
              </w:rPr>
              <w:t xml:space="preserve">          </w:t>
            </w:r>
            <w:r w:rsidRPr="00367148">
              <w:rPr>
                <w:rFonts w:hint="eastAsia" w:ascii="新細明體" w:hAnsi="新細明體"/>
                <w:color w:val="000000" w:themeColor="text1"/>
              </w:rPr>
              <w:t>程</w:t>
            </w:r>
            <w:r w:rsidRPr="00367148">
              <w:rPr>
                <w:rFonts w:ascii="新細明體" w:hAnsi="新細明體"/>
                <w:color w:val="000000" w:themeColor="text1"/>
              </w:rPr>
              <w:t xml:space="preserve">          </w:t>
            </w:r>
            <w:r w:rsidRPr="00367148">
              <w:rPr>
                <w:rFonts w:hint="eastAsia" w:ascii="新細明體" w:hAnsi="新細明體"/>
                <w:color w:val="000000" w:themeColor="text1"/>
              </w:rPr>
              <w:t>序</w:t>
            </w:r>
          </w:p>
        </w:tc>
        <w:tc>
          <w:tcPr>
            <w:tcW w:w="2410" w:type="dxa"/>
            <w:gridSpan w:val="3"/>
            <w:tcBorders>
              <w:top w:val="single" w:color="auto" w:sz="12" w:space="0"/>
            </w:tcBorders>
            <w:vAlign w:val="center"/>
          </w:tcPr>
          <w:p w:rsidRPr="00367148" w:rsidR="00A1667A" w:rsidP="008600C2" w:rsidRDefault="00A1667A" w14:paraId="4FEED8CE" w14:textId="77777777">
            <w:pPr>
              <w:spacing w:line="280" w:lineRule="exact"/>
              <w:jc w:val="center"/>
              <w:rPr>
                <w:rFonts w:ascii="新細明體" w:hAnsi="新細明體"/>
                <w:color w:val="000000" w:themeColor="text1"/>
                <w:spacing w:val="60"/>
                <w:sz w:val="18"/>
                <w:szCs w:val="18"/>
              </w:rPr>
            </w:pPr>
            <w:r w:rsidRPr="00367148">
              <w:rPr>
                <w:rFonts w:hint="eastAsia" w:ascii="新細明體" w:hAnsi="新細明體"/>
                <w:color w:val="000000" w:themeColor="text1"/>
                <w:spacing w:val="60"/>
                <w:sz w:val="18"/>
                <w:szCs w:val="18"/>
              </w:rPr>
              <w:t>查核結果</w:t>
            </w:r>
          </w:p>
        </w:tc>
        <w:tc>
          <w:tcPr>
            <w:tcW w:w="1276" w:type="dxa"/>
            <w:vMerge w:val="restart"/>
            <w:tcBorders>
              <w:top w:val="single" w:color="auto" w:sz="12" w:space="0"/>
              <w:right w:val="single" w:color="auto" w:sz="12" w:space="0"/>
            </w:tcBorders>
            <w:vAlign w:val="center"/>
          </w:tcPr>
          <w:p w:rsidRPr="00367148" w:rsidR="007A0E65" w:rsidP="005E3DFF" w:rsidRDefault="00A1667A" w14:paraId="19002883" w14:textId="77777777">
            <w:pPr>
              <w:spacing w:line="320" w:lineRule="atLeast"/>
              <w:jc w:val="center"/>
              <w:rPr>
                <w:rFonts w:ascii="新細明體" w:hAnsi="新細明體"/>
                <w:color w:val="000000" w:themeColor="text1"/>
                <w:spacing w:val="60"/>
              </w:rPr>
            </w:pPr>
            <w:r w:rsidRPr="00367148">
              <w:rPr>
                <w:rFonts w:hint="eastAsia" w:ascii="新細明體" w:hAnsi="新細明體"/>
                <w:color w:val="000000" w:themeColor="text1"/>
                <w:spacing w:val="60"/>
              </w:rPr>
              <w:t>底稿</w:t>
            </w:r>
          </w:p>
          <w:p w:rsidRPr="00367148" w:rsidR="00A1667A" w:rsidP="005E3DFF" w:rsidRDefault="00A1667A" w14:paraId="361EDC9E" w14:textId="77777777">
            <w:pPr>
              <w:spacing w:line="320" w:lineRule="atLeast"/>
              <w:jc w:val="center"/>
              <w:rPr>
                <w:rFonts w:ascii="新細明體" w:hAnsi="新細明體"/>
                <w:color w:val="000000" w:themeColor="text1"/>
              </w:rPr>
            </w:pPr>
            <w:r w:rsidRPr="00367148">
              <w:rPr>
                <w:rFonts w:hint="eastAsia" w:ascii="新細明體" w:hAnsi="新細明體"/>
                <w:color w:val="000000" w:themeColor="text1"/>
                <w:spacing w:val="60"/>
              </w:rPr>
              <w:t>索引</w:t>
            </w:r>
          </w:p>
        </w:tc>
      </w:tr>
      <w:tr w:rsidRPr="00367148" w:rsidR="00367148" w:rsidTr="00B77A59" w14:paraId="5D022886" w14:textId="77777777">
        <w:trPr>
          <w:cantSplit/>
          <w:trHeight w:val="402" w:hRule="exact"/>
          <w:tblHeader/>
        </w:trPr>
        <w:tc>
          <w:tcPr>
            <w:tcW w:w="1985" w:type="dxa"/>
            <w:vMerge/>
            <w:tcBorders>
              <w:left w:val="single" w:color="auto" w:sz="12" w:space="0"/>
            </w:tcBorders>
          </w:tcPr>
          <w:p w:rsidRPr="00367148" w:rsidR="00A1667A" w:rsidP="00647C22" w:rsidRDefault="00A1667A" w14:paraId="4C4E30E1" w14:textId="77777777">
            <w:pPr>
              <w:rPr>
                <w:rFonts w:ascii="新細明體" w:hAnsi="新細明體"/>
                <w:color w:val="000000" w:themeColor="text1"/>
              </w:rPr>
            </w:pPr>
          </w:p>
        </w:tc>
        <w:tc>
          <w:tcPr>
            <w:tcW w:w="9383" w:type="dxa"/>
            <w:vMerge/>
          </w:tcPr>
          <w:p w:rsidRPr="00367148" w:rsidR="00A1667A" w:rsidP="00647C22" w:rsidRDefault="00A1667A" w14:paraId="6EB5F3B7" w14:textId="77777777">
            <w:pPr>
              <w:rPr>
                <w:rFonts w:ascii="新細明體" w:hAnsi="新細明體"/>
                <w:color w:val="000000" w:themeColor="text1"/>
              </w:rPr>
            </w:pPr>
          </w:p>
        </w:tc>
        <w:tc>
          <w:tcPr>
            <w:tcW w:w="851" w:type="dxa"/>
          </w:tcPr>
          <w:p w:rsidRPr="00367148" w:rsidR="00A1667A" w:rsidP="008600C2" w:rsidRDefault="00A1667A" w14:paraId="5553945D" w14:textId="77777777">
            <w:pPr>
              <w:spacing w:line="280" w:lineRule="exact"/>
              <w:jc w:val="center"/>
              <w:rPr>
                <w:rFonts w:ascii="新細明體" w:hAnsi="新細明體"/>
                <w:color w:val="000000" w:themeColor="text1"/>
                <w:sz w:val="18"/>
                <w:szCs w:val="18"/>
              </w:rPr>
            </w:pPr>
            <w:r w:rsidRPr="00367148">
              <w:rPr>
                <w:rFonts w:hint="eastAsia" w:ascii="新細明體" w:hAnsi="新細明體"/>
                <w:color w:val="000000" w:themeColor="text1"/>
                <w:sz w:val="18"/>
                <w:szCs w:val="18"/>
              </w:rPr>
              <w:t>是</w:t>
            </w:r>
          </w:p>
        </w:tc>
        <w:tc>
          <w:tcPr>
            <w:tcW w:w="850" w:type="dxa"/>
          </w:tcPr>
          <w:p w:rsidRPr="00367148" w:rsidR="00A1667A" w:rsidP="008600C2" w:rsidRDefault="00A1667A" w14:paraId="026F8862" w14:textId="77777777">
            <w:pPr>
              <w:spacing w:line="280" w:lineRule="exact"/>
              <w:jc w:val="center"/>
              <w:rPr>
                <w:rFonts w:ascii="新細明體" w:hAnsi="新細明體"/>
                <w:color w:val="000000" w:themeColor="text1"/>
                <w:sz w:val="18"/>
                <w:szCs w:val="18"/>
              </w:rPr>
            </w:pPr>
            <w:r w:rsidRPr="00367148">
              <w:rPr>
                <w:rFonts w:hint="eastAsia" w:ascii="新細明體" w:hAnsi="新細明體"/>
                <w:color w:val="000000" w:themeColor="text1"/>
                <w:sz w:val="18"/>
                <w:szCs w:val="18"/>
              </w:rPr>
              <w:t>否</w:t>
            </w:r>
          </w:p>
        </w:tc>
        <w:tc>
          <w:tcPr>
            <w:tcW w:w="709" w:type="dxa"/>
          </w:tcPr>
          <w:p w:rsidRPr="00367148" w:rsidR="00A1667A" w:rsidP="008600C2" w:rsidRDefault="00A1667A" w14:paraId="0BCFCDDA" w14:textId="77777777">
            <w:pPr>
              <w:spacing w:line="280" w:lineRule="exact"/>
              <w:jc w:val="center"/>
              <w:rPr>
                <w:rFonts w:ascii="新細明體" w:hAnsi="新細明體"/>
                <w:color w:val="000000" w:themeColor="text1"/>
                <w:sz w:val="18"/>
                <w:szCs w:val="18"/>
              </w:rPr>
            </w:pPr>
            <w:r w:rsidRPr="00367148">
              <w:rPr>
                <w:rFonts w:hint="eastAsia" w:ascii="新細明體" w:hAnsi="新細明體"/>
                <w:color w:val="000000" w:themeColor="text1"/>
                <w:sz w:val="18"/>
                <w:szCs w:val="18"/>
              </w:rPr>
              <w:t>不適用</w:t>
            </w:r>
          </w:p>
        </w:tc>
        <w:tc>
          <w:tcPr>
            <w:tcW w:w="1276" w:type="dxa"/>
            <w:vMerge/>
            <w:tcBorders>
              <w:right w:val="single" w:color="auto" w:sz="12" w:space="0"/>
            </w:tcBorders>
          </w:tcPr>
          <w:p w:rsidRPr="00367148" w:rsidR="00A1667A" w:rsidP="00647C22" w:rsidRDefault="00A1667A" w14:paraId="3E18EB28" w14:textId="77777777">
            <w:pPr>
              <w:rPr>
                <w:rFonts w:ascii="新細明體" w:hAnsi="新細明體"/>
                <w:color w:val="000000" w:themeColor="text1"/>
              </w:rPr>
            </w:pPr>
          </w:p>
        </w:tc>
      </w:tr>
      <w:tr w:rsidRPr="00367148" w:rsidR="00367148" w:rsidTr="00260A68" w14:paraId="025A2303" w14:textId="77777777">
        <w:trPr>
          <w:trHeight w:val="489"/>
        </w:trPr>
        <w:tc>
          <w:tcPr>
            <w:tcW w:w="1985" w:type="dxa"/>
            <w:tcBorders>
              <w:left w:val="single" w:color="auto" w:sz="12" w:space="0"/>
            </w:tcBorders>
          </w:tcPr>
          <w:p w:rsidRPr="00367148" w:rsidR="00A1667A" w:rsidP="00A76D09" w:rsidRDefault="00B77A59" w14:paraId="36D986C7" w14:textId="2E9F0700">
            <w:pPr>
              <w:spacing w:line="420" w:lineRule="exact"/>
              <w:jc w:val="both"/>
              <w:rPr>
                <w:rFonts w:ascii="新細明體" w:hAnsi="新細明體"/>
                <w:color w:val="000000" w:themeColor="text1"/>
              </w:rPr>
            </w:pPr>
            <w:r>
              <w:rPr>
                <w:rFonts w:hint="eastAsia" w:ascii="新細明體" w:hAnsi="新細明體"/>
                <w:color w:val="000000" w:themeColor="text1"/>
                <w:spacing w:val="12"/>
              </w:rPr>
              <w:t>(FA-11140-M)</w:t>
            </w:r>
          </w:p>
          <w:p w:rsidRPr="00367148" w:rsidR="00A1667A" w:rsidP="00A76D09" w:rsidRDefault="00B77A59" w14:paraId="36D986C7" w14:textId="2E9F0700">
            <w:pPr>
              <w:spacing w:line="420" w:lineRule="exact"/>
              <w:jc w:val="both"/>
              <w:rPr>
                <w:rFonts w:ascii="新細明體" w:hAnsi="新細明體"/>
                <w:color w:val="000000" w:themeColor="text1"/>
              </w:rPr>
            </w:pPr>
            <w:r>
              <w:rPr>
                <w:rFonts w:hint="eastAsia" w:ascii="新細明體" w:hAnsi="新細明體"/>
                <w:color w:val="000000" w:themeColor="text1"/>
                <w:spacing w:val="12"/>
              </w:rPr>
              <w:t>客戶帳戶之管理作業</w:t>
            </w:r>
          </w:p>
        </w:tc>
        <w:tc>
          <w:tcPr>
            <w:tcW w:w="9383" w:type="dxa"/>
          </w:tcPr>
          <w:p>
            <w:pPr>
              <w:ind w:hangingChars="187"/>
            </w:pPr>
            <w:r>
              <w:rPr/>
              <w:t>一、(刪除)</w:t>
            </w:r>
          </w:p>
          <w:p>
            <w:pPr>
              <w:ind w:hangingChars="187"/>
            </w:pPr>
            <w:r>
              <w:rPr/>
              <w:t>二、客戶基本資料變更作業：</w:t>
            </w:r>
          </w:p>
          <w:p>
            <w:pPr>
              <w:ind w:leftChars="99" w:hangingChars="167"/>
            </w:pPr>
            <w:r>
              <w:rPr/>
              <w:t>(一)客戶基本資料或輔助性資料變更時，是否同時更正開戶契約及電腦資料，並詳予核對有無錯誤及留存覆核紀錄。</w:t>
            </w:r>
          </w:p>
          <w:p>
            <w:pPr>
              <w:ind w:leftChars="99" w:hangingChars="167"/>
            </w:pPr>
            <w:r>
              <w:rPr/>
              <w:t>(二)客戶申請變更交割留存印鑑或簽名樣式，是否由其本人親持身分證並填具「委託人變更交割留存印鑑申請書」，經承辦人員核對無誤後（核對範圍應涵蓋原開戶基本資料）始得辦理。</w:t>
            </w:r>
          </w:p>
          <w:p>
            <w:pPr>
              <w:ind w:leftChars="99" w:hangingChars="167"/>
            </w:pPr>
            <w:r>
              <w:rPr/>
              <w:t>(三)客戶以非當面方式申請辦理變更戶籍地址，公司是否於收到下列資料後，向客戶查證無誤方辦理變更：</w:t>
            </w:r>
          </w:p>
          <w:p>
            <w:pPr>
              <w:ind w:leftChars="280" w:hangingChars="115"/>
            </w:pPr>
            <w:r>
              <w:rPr/>
              <w:t>1.客戶以通訊方式申請者：公司是否取得客戶身分證正反面影本，或戶政單位製發載明戶籍地址變更之新式戶口名簿影本，或其他有相同效力之證明文件，並於上開影本或文件空白處親自簽章。</w:t>
            </w:r>
          </w:p>
          <w:p>
            <w:pPr>
              <w:ind w:leftChars="280" w:hangingChars="115"/>
            </w:pPr>
            <w:r>
              <w:rPr/>
              <w:t>2.客戶以線上方式申請者：公司是否依CA-11140客戶帳戶之管理作業(九)規定確認客戶身分，並取得其可清晰辨識國民身分證之正反面影像，或戶政單位製發載明戶籍地址變更之新式戶口名簿影像，或其他有相同效力之證明文件影像。</w:t>
            </w:r>
          </w:p>
          <w:p>
            <w:pPr>
              <w:ind w:hangingChars="187"/>
            </w:pPr>
            <w:r>
              <w:rPr/>
              <w:t>三、違約案件之公告是否建檔。</w:t>
            </w:r>
          </w:p>
          <w:p>
            <w:pPr>
              <w:ind w:hangingChars="187"/>
            </w:pPr>
            <w:r>
              <w:rPr/>
              <w:t>四、註銷帳戶是否依規定程序辦理。</w:t>
            </w:r>
          </w:p>
          <w:p>
            <w:pPr>
              <w:ind w:hangingChars="187"/>
            </w:pPr>
            <w:r>
              <w:rPr/>
              <w:t>五、對帳單寄送與查對紀錄作業：</w:t>
            </w:r>
          </w:p>
          <w:p>
            <w:pPr>
              <w:ind w:leftChars="99" w:hangingChars="167"/>
            </w:pPr>
            <w:r>
              <w:rPr/>
              <w:t>(一)對帳單是否依規定期限及方式分送客戶。因特殊情事致無法於每月10日前寄送對帳單時，是否於寄送期限40日前採適當方式通知客戶，並逐次就原因、通知客戶之方式及展延期限等函報證交所備查，且展延期限不得逾次月第10個營業日。</w:t>
            </w:r>
          </w:p>
          <w:p>
            <w:pPr>
              <w:ind w:leftChars="99" w:hangingChars="167"/>
            </w:pPr>
            <w:r>
              <w:rPr/>
              <w:t>(二)公司如已建立網路認證機制，並取得網路認證機構電子簽章之客戶本人同意後，以手機簡訊、公司行動裝置應用軟體(APP)寄送對帳單及詢證信函者，其訊息內容、申請程序、寄送方式是否依112年5月4日臺證輔字第1120007082號函規定辦理。</w:t>
            </w:r>
          </w:p>
          <w:p>
            <w:pPr>
              <w:ind w:leftChars="99" w:hangingChars="167"/>
            </w:pPr>
            <w:r>
              <w:rPr/>
              <w:t>(三)對一定金額以上之客戶買賣對帳單之寄送與查對，是否依照公司內部控制制度之規定辦理。對客戶上月成交金額達伍仟萬元以上而買賣對帳單或詢證函未能送達或未函覆者，是否依規定查明原因並簽報總經理(分公司得為分公司經理人)</w:t>
            </w:r>
            <w:r>
              <w:rPr>
                <w:u w:val="single"/>
                <w:color w:val="FF0000 "/>
              </w:rPr>
              <w:t>或總經理指派之權責主管</w:t>
            </w:r>
            <w:r>
              <w:rPr/>
              <w:t>採取適當措施，且必要時得暫停接受其委託買賣有價證券。</w:t>
            </w:r>
          </w:p>
          <w:p>
            <w:pPr>
              <w:ind w:leftChars="99" w:hangingChars="167"/>
            </w:pPr>
            <w:r>
              <w:rPr/>
              <w:t>(四)對每月交易金額未達新台幣五千萬元或達五千萬元以上，並取得網路認證機構電子簽章之客戶，以電子郵件方式寄送對帳單者，相關作業程序是否依規定辦理。</w:t>
            </w:r>
          </w:p>
          <w:p>
            <w:pPr>
              <w:ind w:leftChars="99" w:hangingChars="167"/>
            </w:pPr>
            <w:r>
              <w:rPr/>
              <w:t>(五)透過證交所「資訊交換平台」，以電子檔案方式傳送接收對帳單者，相關作業是否符合規定。</w:t>
            </w:r>
          </w:p>
          <w:p>
            <w:pPr>
              <w:ind w:leftChars="99" w:hangingChars="167"/>
            </w:pPr>
            <w:r>
              <w:rPr/>
              <w:t>(六)辦理對同一客戶於總、分公司委託買賣之對帳單合併列印後交付作業，是否符合規定。</w:t>
            </w:r>
          </w:p>
          <w:p>
            <w:pPr>
              <w:ind w:leftChars="99" w:hangingChars="167"/>
            </w:pPr>
            <w:r>
              <w:rPr/>
              <w:t>(七)客戶如係透過保管機構進行款券保管、交易確認及辦理交割者，公司得以加密電子郵件寄送月對帳單，是否依證交所107年6月12日臺證輔字第1070010772號函之配套機制辦理。</w:t>
            </w:r>
          </w:p>
          <w:p>
            <w:pPr>
              <w:ind w:leftChars="99" w:hangingChars="167"/>
            </w:pPr>
            <w:r>
              <w:rPr/>
              <w:t>(八)公司為期貨交易輔助人或兼營期貨經紀業務，將期貨交易對帳單併入證券交易對帳單一併交付客戶作業，是否符合規定。</w:t>
            </w:r>
          </w:p>
          <w:p>
            <w:pPr>
              <w:ind w:leftChars="99" w:hangingChars="167"/>
            </w:pPr>
            <w:r>
              <w:rPr/>
              <w:t>(九)同一客戶於公司買賣海外複委託、債券及結構型商品之對帳單，公司如併同證券及期貨買賣之對帳單合併列印後交付作業，是否符合規定。</w:t>
            </w:r>
          </w:p>
          <w:p>
            <w:pPr>
              <w:ind w:hangingChars="187"/>
            </w:pPr>
            <w:r>
              <w:rPr/>
              <w:t>六、非本人交易帳戶作業：</w:t>
            </w:r>
          </w:p>
          <w:p>
            <w:pPr>
              <w:ind w:leftChars="99" w:hangingChars="167"/>
            </w:pPr>
            <w:r>
              <w:rPr/>
              <w:t>(一)公司是否定期清查。</w:t>
            </w:r>
          </w:p>
          <w:p>
            <w:pPr>
              <w:ind w:leftChars="99" w:hangingChars="167"/>
            </w:pPr>
            <w:r>
              <w:rPr/>
              <w:t>(二)公司如已建立網路認證機制，並取得網路認證機構電子簽章之非本人交易帳戶之自然人客戶本人同意後，以手機簡訊寄送對帳單及詢證信函者，其訊息內容、申請程序、寄送方式是否依112年5月4日臺證輔字第1120007082號函規定辦理。</w:t>
            </w:r>
          </w:p>
        </w:tc>
        <w:tc>
          <w:tcPr>
            <w:tcW w:w="851" w:type="dxa"/>
          </w:tcPr>
          <w:p w:rsidRPr="00367148" w:rsidR="00A1667A" w:rsidP="00647C22" w:rsidRDefault="00A1667A" w14:paraId="73EEE4BD" w14:textId="77777777">
            <w:pPr>
              <w:spacing w:line="260" w:lineRule="exact"/>
              <w:jc w:val="center"/>
              <w:rPr>
                <w:rFonts w:ascii="新細明體" w:hAnsi="新細明體"/>
                <w:dstrike/>
                <w:color w:val="000000" w:themeColor="text1"/>
                <w:spacing w:val="24"/>
              </w:rPr>
            </w:pPr>
          </w:p>
        </w:tc>
        <w:tc>
          <w:tcPr>
            <w:tcW w:w="850" w:type="dxa"/>
          </w:tcPr>
          <w:p w:rsidRPr="00367148" w:rsidR="00A1667A" w:rsidP="00647C22" w:rsidRDefault="00A1667A" w14:paraId="2ECA2464" w14:textId="77777777">
            <w:pPr>
              <w:spacing w:line="260" w:lineRule="exact"/>
              <w:jc w:val="center"/>
              <w:rPr>
                <w:rFonts w:ascii="新細明體" w:hAnsi="新細明體"/>
                <w:dstrike/>
                <w:color w:val="000000" w:themeColor="text1"/>
                <w:spacing w:val="24"/>
              </w:rPr>
            </w:pPr>
          </w:p>
        </w:tc>
        <w:tc>
          <w:tcPr>
            <w:tcW w:w="709" w:type="dxa"/>
          </w:tcPr>
          <w:p w:rsidRPr="00367148" w:rsidR="00A1667A" w:rsidP="00647C22" w:rsidRDefault="00A1667A" w14:paraId="1BE2E261" w14:textId="77777777">
            <w:pPr>
              <w:spacing w:line="260" w:lineRule="exact"/>
              <w:jc w:val="center"/>
              <w:rPr>
                <w:rFonts w:ascii="新細明體" w:hAnsi="新細明體"/>
                <w:dstrike/>
                <w:color w:val="000000" w:themeColor="text1"/>
                <w:spacing w:val="24"/>
              </w:rPr>
            </w:pPr>
          </w:p>
        </w:tc>
        <w:tc>
          <w:tcPr>
            <w:tcW w:w="1276" w:type="dxa"/>
            <w:tcBorders>
              <w:right w:val="single" w:color="auto" w:sz="12" w:space="0"/>
            </w:tcBorders>
          </w:tcPr>
          <w:p w:rsidRPr="00367148" w:rsidR="00A1667A" w:rsidP="00647C22" w:rsidRDefault="00A1667A" w14:paraId="6A1352BE" w14:textId="77777777">
            <w:pPr>
              <w:spacing w:line="260" w:lineRule="exact"/>
              <w:rPr>
                <w:rFonts w:ascii="新細明體" w:hAnsi="新細明體"/>
                <w:color w:val="000000" w:themeColor="text1"/>
              </w:rPr>
            </w:pPr>
          </w:p>
        </w:tc>
      </w:tr>
      <w:tr w:rsidRPr="00367148" w:rsidR="00367148" w:rsidTr="00455A5F" w14:paraId="62554A6E" w14:textId="77777777">
        <w:trPr>
          <w:cantSplit/>
        </w:trPr>
        <w:tc>
          <w:tcPr>
            <w:tcW w:w="15054" w:type="dxa"/>
            <w:gridSpan w:val="6"/>
            <w:tcBorders>
              <w:left w:val="single" w:color="auto" w:sz="12" w:space="0"/>
              <w:bottom w:val="single" w:color="auto" w:sz="12" w:space="0"/>
              <w:right w:val="single" w:color="auto" w:sz="12" w:space="0"/>
            </w:tcBorders>
          </w:tcPr>
          <w:p w:rsidRPr="00367148" w:rsidR="00A1667A" w:rsidP="00647C22" w:rsidRDefault="00A1667A" w14:paraId="56FDD15A" w14:textId="613F2EE2">
            <w:pPr>
              <w:ind w:firstLine="180"/>
              <w:rPr>
                <w:rFonts w:ascii="新細明體" w:hAnsi="新細明體"/>
                <w:color w:val="000000" w:themeColor="text1"/>
              </w:rPr>
            </w:pPr>
            <w:r w:rsidRPr="00367148">
              <w:rPr>
                <w:rFonts w:hint="eastAsia" w:ascii="新細明體" w:hAnsi="新細明體"/>
                <w:color w:val="000000" w:themeColor="text1"/>
                <w:spacing w:val="24"/>
              </w:rPr>
              <w:t>備</w:t>
            </w:r>
            <w:r w:rsidR="00055C99">
              <w:rPr>
                <w:rFonts w:hint="eastAsia" w:ascii="新細明體" w:hAnsi="新細明體"/>
                <w:color w:val="000000" w:themeColor="text1"/>
                <w:spacing w:val="24"/>
              </w:rPr>
              <w:t xml:space="preserve">  </w:t>
            </w:r>
            <w:proofErr w:type="gramStart"/>
            <w:r w:rsidRPr="00367148">
              <w:rPr>
                <w:rFonts w:hint="eastAsia" w:ascii="新細明體" w:hAnsi="新細明體"/>
                <w:color w:val="000000" w:themeColor="text1"/>
                <w:spacing w:val="24"/>
              </w:rPr>
              <w:t>註</w:t>
            </w:r>
            <w:proofErr w:type="gramEnd"/>
            <w:r w:rsidRPr="00367148">
              <w:rPr>
                <w:rFonts w:hint="eastAsia" w:ascii="新細明體" w:hAnsi="新細明體"/>
                <w:color w:val="000000" w:themeColor="text1"/>
                <w:spacing w:val="24"/>
              </w:rPr>
              <w:t>：</w:t>
            </w:r>
          </w:p>
        </w:tc>
      </w:tr>
    </w:tbl>
    <w:p w:rsidRPr="00EF3852" w:rsidR="00A24670" w:rsidP="00EF3852" w:rsidRDefault="00A3347B" w14:paraId="10E78836" w14:textId="5BCC2C61">
      <w:pPr>
        <w:spacing w:before="180" w:beforeLines="50"/>
        <w:rPr>
          <w:rFonts w:ascii="新細明體" w:hAnsi="新細明體"/>
          <w:color w:val="000000" w:themeColor="text1"/>
          <w:spacing w:val="24"/>
          <w:u w:val="single"/>
        </w:rPr>
      </w:pPr>
      <w:r w:rsidRPr="00367148">
        <w:rPr>
          <w:rFonts w:hint="eastAsia" w:ascii="新細明體" w:hAnsi="新細明體"/>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rPr>
        <w:t>日</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rPr>
        <w:t>期</w:t>
      </w:r>
      <w:r w:rsidRPr="00367148">
        <w:rPr>
          <w:rFonts w:ascii="新細明體" w:hAnsi="新細明體"/>
          <w:color w:val="000000" w:themeColor="text1"/>
          <w:spacing w:val="24"/>
        </w:rPr>
        <w:t xml:space="preserve"> </w:t>
      </w:r>
      <w:r w:rsidRPr="00367148">
        <w:rPr>
          <w:rFonts w:hint="eastAsia" w:ascii="新細明體" w:hAnsi="新細明體"/>
          <w:color w:val="000000" w:themeColor="text1"/>
          <w:spacing w:val="24"/>
          <w:u w:val="single"/>
        </w:rPr>
        <w:t xml:space="preserve">　　　　</w:t>
      </w:r>
    </w:p>
    <w:sectPr w:rsidRPr="00EF3852" w:rsidR="00A24670"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0467" w14:textId="77777777" w:rsidR="00125530" w:rsidRDefault="00125530" w:rsidP="00D253DA">
      <w:r>
        <w:separator/>
      </w:r>
    </w:p>
  </w:endnote>
  <w:endnote w:type="continuationSeparator" w:id="0">
    <w:p w14:paraId="5A6D0EED"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E524D" w14:textId="77777777" w:rsidR="00125530" w:rsidRDefault="00125530" w:rsidP="00D253DA">
      <w:r>
        <w:separator/>
      </w:r>
    </w:p>
  </w:footnote>
  <w:footnote w:type="continuationSeparator" w:id="0">
    <w:p w14:paraId="34F580D3"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367C3"/>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29</Words>
  <Characters>167</Characters>
  <Application>Microsoft Office Word</Application>
  <DocSecurity>0</DocSecurity>
  <Lines>1</Lines>
  <Paragraphs>1</Paragraphs>
  <ScaleCrop>false</ScaleCrop>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Lawrence, Cheng 程昱偉</cp:lastModifiedBy>
  <cp:revision>25</cp:revision>
  <cp:lastPrinted>2018-07-17T03:11:00Z</cp:lastPrinted>
  <dcterms:created xsi:type="dcterms:W3CDTF">2025-05-04T09:28:00Z</dcterms:created>
  <dcterms:modified xsi:type="dcterms:W3CDTF">2025-10-29T03:44:00Z</dcterms:modified>
</cp:coreProperties>
</file>