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4387931"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7"/>
        <w:gridCol w:w="5357"/>
        <w:gridCol w:w="5358"/>
        <w:gridCol w:w="2010"/>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一、配合證交所「證券經紀商受託買賣預收款券作業應行注意事項」第一點及櫃檯買賣中心「櫃檯買賣證券經紀商受託買賣預收款券有價證券應行注意事項」第二點規定修正，增訂證券商受託賣出列為處置證券之受益憑證時，須確認客戶已取得相關申購部位確認，爰予修正。 二、配合證券商設置標準修訂，酌修文字。</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(一)受託買賣作業：</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(一)受託買賣作業：</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0C707C" w14:textId="77777777">
        <w:tc>
          <w:tcPr>
            <w:tcW w:w="1384" w:type="dxa"/>
            <w:vMerge/>
            <w:tcBorders>
              <w:left w:val="single" w:sz="12" w:space="0" w:color="auto"/>
            </w:tcBorders>
          </w:tcPr>
          <w:p w14:paraId="7DE11A88" w14:textId="77777777" w:rsidR="003B3105" w:rsidRDefault="003B3105" w:rsidP="001E533B">
            <w:pPr>
              <w:rPr>
                <w:rFonts w:ascii="新細明體" w:eastAsia="新細明體" w:hAnsi="新細明體"/>
              </w:rPr>
            </w:pPr>
          </w:p>
        </w:tc>
        <w:tc>
          <w:tcPr>
            <w:tcW w:w="1276" w:type="dxa"/>
            <w:vMerge/>
          </w:tcPr>
          <w:p w14:paraId="3FC3C227" w14:textId="77777777" w:rsidR="003B3105" w:rsidRDefault="003B3105" w:rsidP="001E533B">
            <w:pPr>
              <w:rPr>
                <w:rFonts w:ascii="新細明體" w:eastAsia="新細明體" w:hAnsi="新細明體"/>
              </w:rPr>
            </w:pPr>
          </w:p>
        </w:tc>
        <w:tc>
          <w:tcPr>
            <w:tcW w:w="5386" w:type="dxa"/>
            <w:tcBorders>
              <w:top w:val="nil"/>
              <w:bottom w:val="nil"/>
            </w:tcBorders>
          </w:tcPr>
          <w:p w14:paraId="53FC17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5387" w:type="dxa"/>
            <w:tcBorders>
              <w:top w:val="nil"/>
              <w:bottom w:val="nil"/>
            </w:tcBorders>
          </w:tcPr>
          <w:p w14:paraId="09233D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2023" w:type="dxa"/>
            <w:vMerge/>
            <w:tcBorders>
              <w:right w:val="single" w:sz="12" w:space="0" w:color="auto"/>
            </w:tcBorders>
          </w:tcPr>
          <w:p w14:paraId="27FE12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6DC058" w14:textId="77777777">
        <w:tc>
          <w:tcPr>
            <w:tcW w:w="1384" w:type="dxa"/>
            <w:vMerge/>
            <w:tcBorders>
              <w:left w:val="single" w:sz="12" w:space="0" w:color="auto"/>
            </w:tcBorders>
          </w:tcPr>
          <w:p w14:paraId="4D4435F7" w14:textId="77777777" w:rsidR="003B3105" w:rsidRDefault="003B3105" w:rsidP="001E533B">
            <w:pPr>
              <w:rPr>
                <w:rFonts w:ascii="新細明體" w:eastAsia="新細明體" w:hAnsi="新細明體"/>
              </w:rPr>
            </w:pPr>
          </w:p>
        </w:tc>
        <w:tc>
          <w:tcPr>
            <w:tcW w:w="1276" w:type="dxa"/>
            <w:vMerge/>
          </w:tcPr>
          <w:p w14:paraId="4CD7144E" w14:textId="77777777" w:rsidR="003B3105" w:rsidRDefault="003B3105" w:rsidP="001E533B">
            <w:pPr>
              <w:rPr>
                <w:rFonts w:ascii="新細明體" w:eastAsia="新細明體" w:hAnsi="新細明體"/>
              </w:rPr>
            </w:pPr>
          </w:p>
        </w:tc>
        <w:tc>
          <w:tcPr>
            <w:tcW w:w="5386" w:type="dxa"/>
            <w:tcBorders>
              <w:top w:val="nil"/>
              <w:bottom w:val="nil"/>
            </w:tcBorders>
          </w:tcPr>
          <w:p w14:paraId="7232CA6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公司採主機連線者，就當面委託客戶之委託買賣時間紀錄方式，除使用印時鐘紀錄外，得採用錄影之配套機制，紀錄客戶委託時間及序號。</w:t>
            </w:r>
          </w:p>
        </w:tc>
        <w:tc>
          <w:tcPr>
            <w:tcW w:w="5387" w:type="dxa"/>
            <w:tcBorders>
              <w:top w:val="nil"/>
              <w:bottom w:val="nil"/>
            </w:tcBorders>
          </w:tcPr>
          <w:p w14:paraId="218CAC7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公司採主機連線者，就當面委託客戶之委託買賣時間紀錄方式，除使用印時鐘紀錄外，得採用錄影之配套機制，紀錄客戶委託時間及序號。</w:t>
            </w:r>
          </w:p>
        </w:tc>
        <w:tc>
          <w:tcPr>
            <w:tcW w:w="2023" w:type="dxa"/>
            <w:vMerge/>
            <w:tcBorders>
              <w:right w:val="single" w:sz="12" w:space="0" w:color="auto"/>
            </w:tcBorders>
          </w:tcPr>
          <w:p w14:paraId="2CC1F8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18C8E1" w14:textId="77777777">
        <w:tc>
          <w:tcPr>
            <w:tcW w:w="1384" w:type="dxa"/>
            <w:vMerge/>
            <w:tcBorders>
              <w:left w:val="single" w:sz="12" w:space="0" w:color="auto"/>
            </w:tcBorders>
          </w:tcPr>
          <w:p w14:paraId="1578ABFD" w14:textId="77777777" w:rsidR="003B3105" w:rsidRDefault="003B3105" w:rsidP="001E533B">
            <w:pPr>
              <w:rPr>
                <w:rFonts w:ascii="新細明體" w:eastAsia="新細明體" w:hAnsi="新細明體"/>
              </w:rPr>
            </w:pPr>
          </w:p>
        </w:tc>
        <w:tc>
          <w:tcPr>
            <w:tcW w:w="1276" w:type="dxa"/>
            <w:vMerge/>
          </w:tcPr>
          <w:p w14:paraId="516ACF58" w14:textId="77777777" w:rsidR="003B3105" w:rsidRDefault="003B3105" w:rsidP="001E533B">
            <w:pPr>
              <w:rPr>
                <w:rFonts w:ascii="新細明體" w:eastAsia="新細明體" w:hAnsi="新細明體"/>
              </w:rPr>
            </w:pPr>
          </w:p>
        </w:tc>
        <w:tc>
          <w:tcPr>
            <w:tcW w:w="5386" w:type="dxa"/>
            <w:tcBorders>
              <w:top w:val="nil"/>
              <w:bottom w:val="nil"/>
            </w:tcBorders>
          </w:tcPr>
          <w:p w14:paraId="09A132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w:t>
            </w:r>
            <w:r>
              <w:rPr>
                <w:rFonts w:ascii="新細明體" w:eastAsia="新細明體" w:hAnsi="新細明體" w:cs="新細明體" w:hint="eastAsia"/>
              </w:rPr>
              <w:lastRenderedPageBreak/>
              <w:t>公司與客戶應確保資訊平台之交易安全性與資料保存之完整性）委託者，由營業員負責填、印製委託書並簽章後，遞交終端機操作員同依上項程序輸入電腦進行交易，俟委託成交後通知客戶補辦簽章（客戶已簽訂委託人交割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106年8月24日臺證輔字第1060015757號函辦理。</w:t>
            </w:r>
          </w:p>
        </w:tc>
        <w:tc>
          <w:tcPr>
            <w:tcW w:w="5387" w:type="dxa"/>
            <w:tcBorders>
              <w:top w:val="nil"/>
              <w:bottom w:val="nil"/>
            </w:tcBorders>
          </w:tcPr>
          <w:p w14:paraId="082B33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w:t>
            </w:r>
            <w:r>
              <w:rPr>
                <w:rFonts w:ascii="新細明體" w:eastAsia="新細明體" w:hAnsi="新細明體" w:cs="新細明體" w:hint="eastAsia"/>
              </w:rPr>
              <w:lastRenderedPageBreak/>
              <w:t>公司與客戶應確保資訊平台之交易安全性與資料保存之完整性）委託者，由營業員負責填、印製委託書並簽章後，遞交終端機操作員同依上項程序輸入電腦進行交易，俟委託成交後通知客戶補辦簽章（客戶已簽訂委託人交割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106年8月24日臺證輔字第1060015757號函辦理。</w:t>
            </w:r>
          </w:p>
        </w:tc>
        <w:tc>
          <w:tcPr>
            <w:tcW w:w="2023" w:type="dxa"/>
            <w:vMerge/>
            <w:tcBorders>
              <w:right w:val="single" w:sz="12" w:space="0" w:color="auto"/>
            </w:tcBorders>
          </w:tcPr>
          <w:p w14:paraId="7C7484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C37EFE" w14:textId="77777777">
        <w:tc>
          <w:tcPr>
            <w:tcW w:w="1384" w:type="dxa"/>
            <w:vMerge/>
            <w:tcBorders>
              <w:left w:val="single" w:sz="12" w:space="0" w:color="auto"/>
            </w:tcBorders>
          </w:tcPr>
          <w:p w14:paraId="5ADF2FFC" w14:textId="77777777" w:rsidR="003B3105" w:rsidRDefault="003B3105" w:rsidP="001E533B">
            <w:pPr>
              <w:rPr>
                <w:rFonts w:ascii="新細明體" w:eastAsia="新細明體" w:hAnsi="新細明體"/>
              </w:rPr>
            </w:pPr>
          </w:p>
        </w:tc>
        <w:tc>
          <w:tcPr>
            <w:tcW w:w="1276" w:type="dxa"/>
            <w:vMerge/>
          </w:tcPr>
          <w:p w14:paraId="3F40C4FE" w14:textId="77777777" w:rsidR="003B3105" w:rsidRDefault="003B3105" w:rsidP="001E533B">
            <w:pPr>
              <w:rPr>
                <w:rFonts w:ascii="新細明體" w:eastAsia="新細明體" w:hAnsi="新細明體"/>
              </w:rPr>
            </w:pPr>
          </w:p>
        </w:tc>
        <w:tc>
          <w:tcPr>
            <w:tcW w:w="5386" w:type="dxa"/>
            <w:tcBorders>
              <w:top w:val="nil"/>
              <w:bottom w:val="nil"/>
            </w:tcBorders>
          </w:tcPr>
          <w:p w14:paraId="32D21413"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接受客戶以傳真方式委託買賣有價證券時，為避免產生交易糾紛並保護個人資料，公司應採行下列管控機制以為配套：</w:t>
            </w:r>
          </w:p>
        </w:tc>
        <w:tc>
          <w:tcPr>
            <w:tcW w:w="5387" w:type="dxa"/>
            <w:tcBorders>
              <w:top w:val="nil"/>
              <w:bottom w:val="nil"/>
            </w:tcBorders>
          </w:tcPr>
          <w:p w14:paraId="4058E18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接受客戶以傳真方式委託買賣有價證券時，為避免產生交易糾紛並保護個人資料，公司應採行下列管控機制以為配套：</w:t>
            </w:r>
          </w:p>
        </w:tc>
        <w:tc>
          <w:tcPr>
            <w:tcW w:w="2023" w:type="dxa"/>
            <w:vMerge/>
            <w:tcBorders>
              <w:right w:val="single" w:sz="12" w:space="0" w:color="auto"/>
            </w:tcBorders>
          </w:tcPr>
          <w:p w14:paraId="2CD12D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2B1080" w14:textId="77777777">
        <w:tc>
          <w:tcPr>
            <w:tcW w:w="1384" w:type="dxa"/>
            <w:vMerge/>
            <w:tcBorders>
              <w:left w:val="single" w:sz="12" w:space="0" w:color="auto"/>
            </w:tcBorders>
          </w:tcPr>
          <w:p w14:paraId="39EBD3EE" w14:textId="77777777" w:rsidR="003B3105" w:rsidRDefault="003B3105" w:rsidP="001E533B">
            <w:pPr>
              <w:rPr>
                <w:rFonts w:ascii="新細明體" w:eastAsia="新細明體" w:hAnsi="新細明體"/>
              </w:rPr>
            </w:pPr>
          </w:p>
        </w:tc>
        <w:tc>
          <w:tcPr>
            <w:tcW w:w="1276" w:type="dxa"/>
            <w:vMerge/>
          </w:tcPr>
          <w:p w14:paraId="272E1C77" w14:textId="77777777" w:rsidR="003B3105" w:rsidRDefault="003B3105" w:rsidP="001E533B">
            <w:pPr>
              <w:rPr>
                <w:rFonts w:ascii="新細明體" w:eastAsia="新細明體" w:hAnsi="新細明體"/>
              </w:rPr>
            </w:pPr>
          </w:p>
        </w:tc>
        <w:tc>
          <w:tcPr>
            <w:tcW w:w="5386" w:type="dxa"/>
            <w:tcBorders>
              <w:top w:val="nil"/>
              <w:bottom w:val="nil"/>
            </w:tcBorders>
          </w:tcPr>
          <w:p w14:paraId="2F06D4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(1)應要求客戶於傳真文件上簽章並填具隱藏後4碼之身分證字號，或要求客戶</w:t>
            </w:r>
            <w:r>
              <w:rPr>
                <w:rFonts w:ascii="新細明體" w:eastAsia="新細明體" w:hAnsi="新細明體" w:cs="新細明體" w:hint="eastAsia"/>
              </w:rPr>
              <w:lastRenderedPageBreak/>
              <w:t>於傳真文件上簽章並核對與其開戶留存簽章是否相符。</w:t>
            </w:r>
          </w:p>
        </w:tc>
        <w:tc>
          <w:tcPr>
            <w:tcW w:w="5387" w:type="dxa"/>
            <w:tcBorders>
              <w:top w:val="nil"/>
              <w:bottom w:val="nil"/>
            </w:tcBorders>
          </w:tcPr>
          <w:p w14:paraId="34097E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(1)應要求客戶於傳真文件上簽章並填具隱藏後4碼之身分證字號，或要求客戶</w:t>
            </w:r>
            <w:r>
              <w:rPr>
                <w:rFonts w:ascii="新細明體" w:eastAsia="新細明體" w:hAnsi="新細明體" w:cs="新細明體" w:hint="eastAsia"/>
              </w:rPr>
              <w:lastRenderedPageBreak/>
              <w:t>於傳真文件上簽章並核對與其開戶留存簽章是否相符。</w:t>
            </w:r>
          </w:p>
        </w:tc>
        <w:tc>
          <w:tcPr>
            <w:tcW w:w="2023" w:type="dxa"/>
            <w:vMerge/>
            <w:tcBorders>
              <w:right w:val="single" w:sz="12" w:space="0" w:color="auto"/>
            </w:tcBorders>
          </w:tcPr>
          <w:p w14:paraId="6B5933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14901B" w14:textId="77777777">
        <w:tc>
          <w:tcPr>
            <w:tcW w:w="1384" w:type="dxa"/>
            <w:vMerge/>
            <w:tcBorders>
              <w:left w:val="single" w:sz="12" w:space="0" w:color="auto"/>
            </w:tcBorders>
          </w:tcPr>
          <w:p w14:paraId="0724D7E5" w14:textId="77777777" w:rsidR="003B3105" w:rsidRDefault="003B3105" w:rsidP="001E533B">
            <w:pPr>
              <w:rPr>
                <w:rFonts w:ascii="新細明體" w:eastAsia="新細明體" w:hAnsi="新細明體"/>
              </w:rPr>
            </w:pPr>
          </w:p>
        </w:tc>
        <w:tc>
          <w:tcPr>
            <w:tcW w:w="1276" w:type="dxa"/>
            <w:vMerge/>
          </w:tcPr>
          <w:p w14:paraId="2B7B140E" w14:textId="77777777" w:rsidR="003B3105" w:rsidRDefault="003B3105" w:rsidP="001E533B">
            <w:pPr>
              <w:rPr>
                <w:rFonts w:ascii="新細明體" w:eastAsia="新細明體" w:hAnsi="新細明體"/>
              </w:rPr>
            </w:pPr>
          </w:p>
        </w:tc>
        <w:tc>
          <w:tcPr>
            <w:tcW w:w="5386" w:type="dxa"/>
            <w:tcBorders>
              <w:top w:val="nil"/>
              <w:bottom w:val="nil"/>
            </w:tcBorders>
          </w:tcPr>
          <w:p w14:paraId="2BBD28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(2)應設置專用傳真機於營業櫃檯內供使用，並應每日檢查傳真機顯示時間有無誤差。</w:t>
            </w:r>
          </w:p>
        </w:tc>
        <w:tc>
          <w:tcPr>
            <w:tcW w:w="5387" w:type="dxa"/>
            <w:tcBorders>
              <w:top w:val="nil"/>
              <w:bottom w:val="nil"/>
            </w:tcBorders>
          </w:tcPr>
          <w:p w14:paraId="12D48C1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(2)應設置專用傳真機於營業櫃檯內供使用，並應每日檢查傳真機顯示時間有無誤差。</w:t>
            </w:r>
          </w:p>
        </w:tc>
        <w:tc>
          <w:tcPr>
            <w:tcW w:w="2023" w:type="dxa"/>
            <w:vMerge/>
            <w:tcBorders>
              <w:right w:val="single" w:sz="12" w:space="0" w:color="auto"/>
            </w:tcBorders>
          </w:tcPr>
          <w:p w14:paraId="7F0EE2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448C63" w14:textId="77777777">
        <w:tc>
          <w:tcPr>
            <w:tcW w:w="1384" w:type="dxa"/>
            <w:vMerge/>
            <w:tcBorders>
              <w:left w:val="single" w:sz="12" w:space="0" w:color="auto"/>
            </w:tcBorders>
          </w:tcPr>
          <w:p w14:paraId="24E957D1" w14:textId="77777777" w:rsidR="003B3105" w:rsidRDefault="003B3105" w:rsidP="001E533B">
            <w:pPr>
              <w:rPr>
                <w:rFonts w:ascii="新細明體" w:eastAsia="新細明體" w:hAnsi="新細明體"/>
              </w:rPr>
            </w:pPr>
          </w:p>
        </w:tc>
        <w:tc>
          <w:tcPr>
            <w:tcW w:w="1276" w:type="dxa"/>
            <w:vMerge/>
          </w:tcPr>
          <w:p w14:paraId="26DAB815" w14:textId="77777777" w:rsidR="003B3105" w:rsidRDefault="003B3105" w:rsidP="001E533B">
            <w:pPr>
              <w:rPr>
                <w:rFonts w:ascii="新細明體" w:eastAsia="新細明體" w:hAnsi="新細明體"/>
              </w:rPr>
            </w:pPr>
          </w:p>
        </w:tc>
        <w:tc>
          <w:tcPr>
            <w:tcW w:w="5386" w:type="dxa"/>
            <w:tcBorders>
              <w:top w:val="nil"/>
              <w:bottom w:val="nil"/>
            </w:tcBorders>
          </w:tcPr>
          <w:p w14:paraId="2FD4B8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5387" w:type="dxa"/>
            <w:tcBorders>
              <w:top w:val="nil"/>
              <w:bottom w:val="nil"/>
            </w:tcBorders>
          </w:tcPr>
          <w:p w14:paraId="0EAC3E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2023" w:type="dxa"/>
            <w:vMerge/>
            <w:tcBorders>
              <w:right w:val="single" w:sz="12" w:space="0" w:color="auto"/>
            </w:tcBorders>
          </w:tcPr>
          <w:p w14:paraId="00DAD5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1A79C6" w14:textId="77777777">
        <w:tc>
          <w:tcPr>
            <w:tcW w:w="1384" w:type="dxa"/>
            <w:vMerge/>
            <w:tcBorders>
              <w:left w:val="single" w:sz="12" w:space="0" w:color="auto"/>
            </w:tcBorders>
          </w:tcPr>
          <w:p w14:paraId="6ECAAECB" w14:textId="77777777" w:rsidR="003B3105" w:rsidRDefault="003B3105" w:rsidP="001E533B">
            <w:pPr>
              <w:rPr>
                <w:rFonts w:ascii="新細明體" w:eastAsia="新細明體" w:hAnsi="新細明體"/>
              </w:rPr>
            </w:pPr>
          </w:p>
        </w:tc>
        <w:tc>
          <w:tcPr>
            <w:tcW w:w="1276" w:type="dxa"/>
            <w:vMerge/>
          </w:tcPr>
          <w:p w14:paraId="70A09E93" w14:textId="77777777" w:rsidR="003B3105" w:rsidRDefault="003B3105" w:rsidP="001E533B">
            <w:pPr>
              <w:rPr>
                <w:rFonts w:ascii="新細明體" w:eastAsia="新細明體" w:hAnsi="新細明體"/>
              </w:rPr>
            </w:pPr>
          </w:p>
        </w:tc>
        <w:tc>
          <w:tcPr>
            <w:tcW w:w="5386" w:type="dxa"/>
            <w:tcBorders>
              <w:top w:val="nil"/>
              <w:bottom w:val="nil"/>
            </w:tcBorders>
          </w:tcPr>
          <w:p w14:paraId="5CF05EE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4.如有推介客戶買賣有價證券，應依據證交所及櫃檯買賣中心「證券商推介客戶買賣有價證券管理辦法」辦理。</w:t>
            </w:r>
          </w:p>
        </w:tc>
        <w:tc>
          <w:tcPr>
            <w:tcW w:w="5387" w:type="dxa"/>
            <w:tcBorders>
              <w:top w:val="nil"/>
              <w:bottom w:val="nil"/>
            </w:tcBorders>
          </w:tcPr>
          <w:p w14:paraId="0C763E6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4.如有推介客戶買賣有價證券，應依據證交所及櫃檯買賣中心「證券商推介客戶買賣有價證券管理辦法」辦理。</w:t>
            </w:r>
          </w:p>
        </w:tc>
        <w:tc>
          <w:tcPr>
            <w:tcW w:w="2023" w:type="dxa"/>
            <w:vMerge/>
            <w:tcBorders>
              <w:right w:val="single" w:sz="12" w:space="0" w:color="auto"/>
            </w:tcBorders>
          </w:tcPr>
          <w:p w14:paraId="2F44D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220DC2" w14:textId="77777777">
        <w:tc>
          <w:tcPr>
            <w:tcW w:w="1384" w:type="dxa"/>
            <w:vMerge/>
            <w:tcBorders>
              <w:left w:val="single" w:sz="12" w:space="0" w:color="auto"/>
            </w:tcBorders>
          </w:tcPr>
          <w:p w14:paraId="35BE931F" w14:textId="77777777" w:rsidR="003B3105" w:rsidRDefault="003B3105" w:rsidP="001E533B">
            <w:pPr>
              <w:rPr>
                <w:rFonts w:ascii="新細明體" w:eastAsia="新細明體" w:hAnsi="新細明體"/>
              </w:rPr>
            </w:pPr>
          </w:p>
        </w:tc>
        <w:tc>
          <w:tcPr>
            <w:tcW w:w="1276" w:type="dxa"/>
            <w:vMerge/>
          </w:tcPr>
          <w:p w14:paraId="6B1EDF34" w14:textId="77777777" w:rsidR="003B3105" w:rsidRDefault="003B3105" w:rsidP="001E533B">
            <w:pPr>
              <w:rPr>
                <w:rFonts w:ascii="新細明體" w:eastAsia="新細明體" w:hAnsi="新細明體"/>
              </w:rPr>
            </w:pPr>
          </w:p>
        </w:tc>
        <w:tc>
          <w:tcPr>
            <w:tcW w:w="5386" w:type="dxa"/>
            <w:tcBorders>
              <w:top w:val="nil"/>
              <w:bottom w:val="nil"/>
            </w:tcBorders>
          </w:tcPr>
          <w:p w14:paraId="1A65D1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5.採用電腦交易作業之股票其申報價格以不超逾當日漲跌停板之升降幅度為限。</w:t>
            </w:r>
          </w:p>
        </w:tc>
        <w:tc>
          <w:tcPr>
            <w:tcW w:w="5387" w:type="dxa"/>
            <w:tcBorders>
              <w:top w:val="nil"/>
              <w:bottom w:val="nil"/>
            </w:tcBorders>
          </w:tcPr>
          <w:p w14:paraId="4F105B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5.採用電腦交易作業之股票其申報價格以不超逾當日漲跌停板之升降幅度為限。</w:t>
            </w:r>
          </w:p>
        </w:tc>
        <w:tc>
          <w:tcPr>
            <w:tcW w:w="2023" w:type="dxa"/>
            <w:vMerge/>
            <w:tcBorders>
              <w:right w:val="single" w:sz="12" w:space="0" w:color="auto"/>
            </w:tcBorders>
          </w:tcPr>
          <w:p w14:paraId="4192F7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730866" w14:textId="77777777">
        <w:tc>
          <w:tcPr>
            <w:tcW w:w="1384" w:type="dxa"/>
            <w:vMerge/>
            <w:tcBorders>
              <w:left w:val="single" w:sz="12" w:space="0" w:color="auto"/>
            </w:tcBorders>
          </w:tcPr>
          <w:p w14:paraId="3B76A817" w14:textId="77777777" w:rsidR="003B3105" w:rsidRDefault="003B3105" w:rsidP="001E533B">
            <w:pPr>
              <w:rPr>
                <w:rFonts w:ascii="新細明體" w:eastAsia="新細明體" w:hAnsi="新細明體"/>
              </w:rPr>
            </w:pPr>
          </w:p>
        </w:tc>
        <w:tc>
          <w:tcPr>
            <w:tcW w:w="1276" w:type="dxa"/>
            <w:vMerge/>
          </w:tcPr>
          <w:p w14:paraId="521B4150" w14:textId="77777777" w:rsidR="003B3105" w:rsidRDefault="003B3105" w:rsidP="001E533B">
            <w:pPr>
              <w:rPr>
                <w:rFonts w:ascii="新細明體" w:eastAsia="新細明體" w:hAnsi="新細明體"/>
              </w:rPr>
            </w:pPr>
          </w:p>
        </w:tc>
        <w:tc>
          <w:tcPr>
            <w:tcW w:w="5386" w:type="dxa"/>
            <w:tcBorders>
              <w:top w:val="nil"/>
              <w:bottom w:val="nil"/>
            </w:tcBorders>
          </w:tcPr>
          <w:p w14:paraId="7AA574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6.買賣之委託，得自開盤時間開始前半小時輸入，但若屬零股、鉅額買賣及有價證券除債券(不含可轉換公司債)外之盤後定價等交易，其委託買賣之輸入時間則另依證交所及櫃檯買賣中心相關規定辦理。</w:t>
            </w:r>
          </w:p>
        </w:tc>
        <w:tc>
          <w:tcPr>
            <w:tcW w:w="5387" w:type="dxa"/>
            <w:tcBorders>
              <w:top w:val="nil"/>
              <w:bottom w:val="nil"/>
            </w:tcBorders>
          </w:tcPr>
          <w:p w14:paraId="387055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6.買賣之委託，得自開盤時間開始前半小時輸入，但若屬零股、鉅額買賣及有價證券除債券(不含可轉換公司債)外之盤後定價等交易，其委託買賣之輸入時間則另依證交所及櫃檯買賣中心相關規定辦理。</w:t>
            </w:r>
          </w:p>
        </w:tc>
        <w:tc>
          <w:tcPr>
            <w:tcW w:w="2023" w:type="dxa"/>
            <w:vMerge/>
            <w:tcBorders>
              <w:right w:val="single" w:sz="12" w:space="0" w:color="auto"/>
            </w:tcBorders>
          </w:tcPr>
          <w:p w14:paraId="4893FD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993016" w14:textId="77777777">
        <w:tc>
          <w:tcPr>
            <w:tcW w:w="1384" w:type="dxa"/>
            <w:vMerge/>
            <w:tcBorders>
              <w:left w:val="single" w:sz="12" w:space="0" w:color="auto"/>
            </w:tcBorders>
          </w:tcPr>
          <w:p w14:paraId="08162CC4" w14:textId="77777777" w:rsidR="003B3105" w:rsidRDefault="003B3105" w:rsidP="001E533B">
            <w:pPr>
              <w:rPr>
                <w:rFonts w:ascii="新細明體" w:eastAsia="新細明體" w:hAnsi="新細明體"/>
              </w:rPr>
            </w:pPr>
          </w:p>
        </w:tc>
        <w:tc>
          <w:tcPr>
            <w:tcW w:w="1276" w:type="dxa"/>
            <w:vMerge/>
          </w:tcPr>
          <w:p w14:paraId="55C00A7B" w14:textId="77777777" w:rsidR="003B3105" w:rsidRDefault="003B3105" w:rsidP="001E533B">
            <w:pPr>
              <w:rPr>
                <w:rFonts w:ascii="新細明體" w:eastAsia="新細明體" w:hAnsi="新細明體"/>
              </w:rPr>
            </w:pPr>
          </w:p>
        </w:tc>
        <w:tc>
          <w:tcPr>
            <w:tcW w:w="5386" w:type="dxa"/>
            <w:tcBorders>
              <w:top w:val="nil"/>
              <w:bottom w:val="nil"/>
            </w:tcBorders>
          </w:tcPr>
          <w:p w14:paraId="435F02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7.經證交所及櫃檯買賣中心電腦交易撮合成交後由專用列表機列印成交回報單，營業員以電話、廣播或客戶自行由刷卡</w:t>
            </w:r>
            <w:r>
              <w:rPr>
                <w:rFonts w:ascii="新細明體" w:eastAsia="新細明體" w:hAnsi="新細明體" w:cs="新細明體" w:hint="eastAsia"/>
              </w:rPr>
              <w:lastRenderedPageBreak/>
              <w:t>成交回報系統得知成交。</w:t>
            </w:r>
          </w:p>
        </w:tc>
        <w:tc>
          <w:tcPr>
            <w:tcW w:w="5387" w:type="dxa"/>
            <w:tcBorders>
              <w:top w:val="nil"/>
              <w:bottom w:val="nil"/>
            </w:tcBorders>
          </w:tcPr>
          <w:p w14:paraId="2EE15F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7.經證交所及櫃檯買賣中心電腦交易撮合成交後由專用列表機列印成交回報單，營業員以電話、廣播或客戶自行由刷卡</w:t>
            </w:r>
            <w:r>
              <w:rPr>
                <w:rFonts w:ascii="新細明體" w:eastAsia="新細明體" w:hAnsi="新細明體" w:cs="新細明體" w:hint="eastAsia"/>
              </w:rPr>
              <w:lastRenderedPageBreak/>
              <w:t>成交回報系統得知成交。</w:t>
            </w:r>
          </w:p>
        </w:tc>
        <w:tc>
          <w:tcPr>
            <w:tcW w:w="2023" w:type="dxa"/>
            <w:vMerge/>
            <w:tcBorders>
              <w:right w:val="single" w:sz="12" w:space="0" w:color="auto"/>
            </w:tcBorders>
          </w:tcPr>
          <w:p w14:paraId="171DE9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3E6440" w14:textId="77777777">
        <w:tc>
          <w:tcPr>
            <w:tcW w:w="1384" w:type="dxa"/>
            <w:vMerge/>
            <w:tcBorders>
              <w:left w:val="single" w:sz="12" w:space="0" w:color="auto"/>
            </w:tcBorders>
          </w:tcPr>
          <w:p w14:paraId="1CD6B155" w14:textId="77777777" w:rsidR="003B3105" w:rsidRDefault="003B3105" w:rsidP="001E533B">
            <w:pPr>
              <w:rPr>
                <w:rFonts w:ascii="新細明體" w:eastAsia="新細明體" w:hAnsi="新細明體"/>
              </w:rPr>
            </w:pPr>
          </w:p>
        </w:tc>
        <w:tc>
          <w:tcPr>
            <w:tcW w:w="1276" w:type="dxa"/>
            <w:vMerge/>
          </w:tcPr>
          <w:p w14:paraId="735DCEBC" w14:textId="77777777" w:rsidR="003B3105" w:rsidRDefault="003B3105" w:rsidP="001E533B">
            <w:pPr>
              <w:rPr>
                <w:rFonts w:ascii="新細明體" w:eastAsia="新細明體" w:hAnsi="新細明體"/>
              </w:rPr>
            </w:pPr>
          </w:p>
        </w:tc>
        <w:tc>
          <w:tcPr>
            <w:tcW w:w="5386" w:type="dxa"/>
            <w:tcBorders>
              <w:top w:val="nil"/>
              <w:bottom w:val="nil"/>
            </w:tcBorders>
          </w:tcPr>
          <w:p w14:paraId="70D0FF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8.將委託書與成交回報單核對後（俗稱勾單），在已成交之委託書上蓋「已成交」戳記，另未成交之委託書亦須加蓋「未成交」或「註銷」戳記，並依規定期限保存，而於期限屆滿後，如無爭議，得自行銷毀。</w:t>
            </w:r>
          </w:p>
        </w:tc>
        <w:tc>
          <w:tcPr>
            <w:tcW w:w="5387" w:type="dxa"/>
            <w:tcBorders>
              <w:top w:val="nil"/>
              <w:bottom w:val="nil"/>
            </w:tcBorders>
          </w:tcPr>
          <w:p w14:paraId="1CEF5F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8.將委託書與成交回報單核對後（俗稱勾單），在已成交之委託書上蓋「已成交」戳記，另未成交之委託書亦須加蓋「未成交」或「註銷」戳記，並依規定期限保存，而於期限屆滿後，如無爭議，得自行銷毀。</w:t>
            </w:r>
          </w:p>
        </w:tc>
        <w:tc>
          <w:tcPr>
            <w:tcW w:w="2023" w:type="dxa"/>
            <w:vMerge/>
            <w:tcBorders>
              <w:right w:val="single" w:sz="12" w:space="0" w:color="auto"/>
            </w:tcBorders>
          </w:tcPr>
          <w:p w14:paraId="262075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2D781B" w14:textId="77777777">
        <w:tc>
          <w:tcPr>
            <w:tcW w:w="1384" w:type="dxa"/>
            <w:vMerge/>
            <w:tcBorders>
              <w:left w:val="single" w:sz="12" w:space="0" w:color="auto"/>
            </w:tcBorders>
          </w:tcPr>
          <w:p w14:paraId="6298C2D7" w14:textId="77777777" w:rsidR="003B3105" w:rsidRDefault="003B3105" w:rsidP="001E533B">
            <w:pPr>
              <w:rPr>
                <w:rFonts w:ascii="新細明體" w:eastAsia="新細明體" w:hAnsi="新細明體"/>
              </w:rPr>
            </w:pPr>
          </w:p>
        </w:tc>
        <w:tc>
          <w:tcPr>
            <w:tcW w:w="1276" w:type="dxa"/>
            <w:vMerge/>
          </w:tcPr>
          <w:p w14:paraId="197798E9" w14:textId="77777777" w:rsidR="003B3105" w:rsidRDefault="003B3105" w:rsidP="001E533B">
            <w:pPr>
              <w:rPr>
                <w:rFonts w:ascii="新細明體" w:eastAsia="新細明體" w:hAnsi="新細明體"/>
              </w:rPr>
            </w:pPr>
          </w:p>
        </w:tc>
        <w:tc>
          <w:tcPr>
            <w:tcW w:w="5386" w:type="dxa"/>
            <w:tcBorders>
              <w:top w:val="nil"/>
              <w:bottom w:val="nil"/>
            </w:tcBorders>
          </w:tcPr>
          <w:p w14:paraId="1C31DE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各營業員對往來金額較鉅且受託買賣達一定金額以上之客戶，應填寫受託買賣金額分層負責表，客戶單日委託買賣金額累計達到公司自行訂定之分層負責表所列各級金額時，始經權責主管簽核，至各級間之買賣金額，則無須逐筆送請權責主管批准。惟對於達公司所定最高級距之客戶之每筆委託金額，累計達一定金額者，須再取得最高級距主管簽核後始得交易（上開一定金額由公司自訂）。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受託買賣金額分層負責表所列各級金額，得由總公司授權分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負責人簽認，惟應依職務授權及代理人制度，建立管理控制作業。採主機連線之公司若採由營業員直接輸入委託單者，將委託買賣金額分層負責表負責層級及評估客戶投資能力資料建檔於電腦內部控管時，主管授權之紀錄須列印留存備查；但使用無法修改與消除之電子媒體儲存，並可隨時將電子媒體資料轉換成書</w:t>
            </w:r>
            <w:r>
              <w:rPr>
                <w:rFonts w:ascii="新細明體" w:eastAsia="新細明體" w:hAnsi="新細明體" w:cs="新細明體" w:hint="eastAsia"/>
              </w:rPr>
              <w:lastRenderedPageBreak/>
              <w:t>面格式者，得採行全面於盤中經由電腦系統控管額度且透過電子簽核逐級報請權責主管批准之方式，經主管授權之紀錄毋須列印留存備查。</w:t>
            </w:r>
          </w:p>
        </w:tc>
        <w:tc>
          <w:tcPr>
            <w:tcW w:w="5387" w:type="dxa"/>
            <w:tcBorders>
              <w:top w:val="nil"/>
              <w:bottom w:val="nil"/>
            </w:tcBorders>
          </w:tcPr>
          <w:p w14:paraId="4026A6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9.各營業員對往來金額較鉅且受託買賣達一定金額以上之客戶，應填寫受託買賣金額分層負責表，客戶單日委託買賣金額累計達到公司自行訂定之分層負責表所列各級金額時，始經權責主管簽核，至各級間之買賣金額，則無須逐筆送請權責主管批准。惟對於達公司所定最高級距之客戶之每筆委託金額，累計達一定金額者，須再取得最高級距主管簽核後始得交易（上開一定金額由公司自訂）。分</w:t>
            </w:r>
            <w:r>
              <w:rPr>
                <w:rFonts w:ascii="新細明體" w:eastAsia="新細明體" w:hAnsi="新細明體" w:cs="新細明體" w:hint="eastAsia"/>
                <w:b/>
                <w:color w:val="FF0000"/>
              </w:rPr>
              <w:t>公司</w:t>
            </w:r>
            <w:r>
              <w:rPr>
                <w:rFonts w:ascii="新細明體" w:eastAsia="新細明體" w:hAnsi="新細明體" w:cs="新細明體" w:hint="eastAsia"/>
              </w:rPr>
              <w:t>受託買賣金額分層負責表所列各級金額，得由總公司授權分</w:t>
            </w:r>
            <w:r>
              <w:rPr>
                <w:rFonts w:ascii="新細明體" w:eastAsia="新細明體" w:hAnsi="新細明體" w:cs="新細明體" w:hint="eastAsia"/>
                <w:b/>
                <w:color w:val="FF0000"/>
              </w:rPr>
              <w:t>公司</w:t>
            </w:r>
            <w:r>
              <w:rPr>
                <w:rFonts w:ascii="新細明體" w:eastAsia="新細明體" w:hAnsi="新細明體" w:cs="新細明體" w:hint="eastAsia"/>
              </w:rPr>
              <w:t>負責人簽認，惟應依職務授權及代理人制度，建立管理控制作業。採主機連線之公司若採由營業員直接輸入委託單者，將委託買賣金額分層負責表負責層級及評估客戶投資能力資料建檔於電腦內部控管時，主管授權之紀錄須列印留存備查；但使用無法修改與消除之電子媒體儲存，並可隨時將電子媒體資料轉換成書面格</w:t>
            </w:r>
            <w:r>
              <w:rPr>
                <w:rFonts w:ascii="新細明體" w:eastAsia="新細明體" w:hAnsi="新細明體" w:cs="新細明體" w:hint="eastAsia"/>
              </w:rPr>
              <w:lastRenderedPageBreak/>
              <w:t>式者，得採行全面於盤中經由電腦系統控管額度且透過電子簽核逐級報請權責主管批准之方式，經主管授權之紀錄毋須列印留存備查。</w:t>
            </w:r>
          </w:p>
        </w:tc>
        <w:tc>
          <w:tcPr>
            <w:tcW w:w="2023" w:type="dxa"/>
            <w:vMerge/>
            <w:tcBorders>
              <w:right w:val="single" w:sz="12" w:space="0" w:color="auto"/>
            </w:tcBorders>
          </w:tcPr>
          <w:p w14:paraId="25E03A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E58D28" w14:textId="77777777">
        <w:tc>
          <w:tcPr>
            <w:tcW w:w="1384" w:type="dxa"/>
            <w:vMerge/>
            <w:tcBorders>
              <w:left w:val="single" w:sz="12" w:space="0" w:color="auto"/>
            </w:tcBorders>
          </w:tcPr>
          <w:p w14:paraId="396572DC" w14:textId="77777777" w:rsidR="003B3105" w:rsidRDefault="003B3105" w:rsidP="001E533B">
            <w:pPr>
              <w:rPr>
                <w:rFonts w:ascii="新細明體" w:eastAsia="新細明體" w:hAnsi="新細明體"/>
              </w:rPr>
            </w:pPr>
          </w:p>
        </w:tc>
        <w:tc>
          <w:tcPr>
            <w:tcW w:w="1276" w:type="dxa"/>
            <w:vMerge/>
          </w:tcPr>
          <w:p w14:paraId="03F42D9A" w14:textId="77777777" w:rsidR="003B3105" w:rsidRDefault="003B3105" w:rsidP="001E533B">
            <w:pPr>
              <w:rPr>
                <w:rFonts w:ascii="新細明體" w:eastAsia="新細明體" w:hAnsi="新細明體"/>
              </w:rPr>
            </w:pPr>
          </w:p>
        </w:tc>
        <w:tc>
          <w:tcPr>
            <w:tcW w:w="5386" w:type="dxa"/>
            <w:tcBorders>
              <w:top w:val="nil"/>
              <w:bottom w:val="nil"/>
            </w:tcBorders>
          </w:tcPr>
          <w:p w14:paraId="498631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5387" w:type="dxa"/>
            <w:tcBorders>
              <w:top w:val="nil"/>
              <w:bottom w:val="nil"/>
            </w:tcBorders>
          </w:tcPr>
          <w:p w14:paraId="3C3742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2023" w:type="dxa"/>
            <w:vMerge/>
            <w:tcBorders>
              <w:right w:val="single" w:sz="12" w:space="0" w:color="auto"/>
            </w:tcBorders>
          </w:tcPr>
          <w:p w14:paraId="2F0488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6930A8" w14:textId="77777777">
        <w:tc>
          <w:tcPr>
            <w:tcW w:w="1384" w:type="dxa"/>
            <w:vMerge/>
            <w:tcBorders>
              <w:left w:val="single" w:sz="12" w:space="0" w:color="auto"/>
            </w:tcBorders>
          </w:tcPr>
          <w:p w14:paraId="10651738" w14:textId="77777777" w:rsidR="003B3105" w:rsidRDefault="003B3105" w:rsidP="001E533B">
            <w:pPr>
              <w:rPr>
                <w:rFonts w:ascii="新細明體" w:eastAsia="新細明體" w:hAnsi="新細明體"/>
              </w:rPr>
            </w:pPr>
          </w:p>
        </w:tc>
        <w:tc>
          <w:tcPr>
            <w:tcW w:w="1276" w:type="dxa"/>
            <w:vMerge/>
          </w:tcPr>
          <w:p w14:paraId="11387119" w14:textId="77777777" w:rsidR="003B3105" w:rsidRDefault="003B3105" w:rsidP="001E533B">
            <w:pPr>
              <w:rPr>
                <w:rFonts w:ascii="新細明體" w:eastAsia="新細明體" w:hAnsi="新細明體"/>
              </w:rPr>
            </w:pPr>
          </w:p>
        </w:tc>
        <w:tc>
          <w:tcPr>
            <w:tcW w:w="5386" w:type="dxa"/>
            <w:tcBorders>
              <w:top w:val="nil"/>
              <w:bottom w:val="nil"/>
            </w:tcBorders>
          </w:tcPr>
          <w:p w14:paraId="3D5796F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11.不得接受已轉讓且未向發行公司辦理過戶登記之記名股票借用他人交易帳戶賣出(註：遺產管理人行使法定職權不在此限)。</w:t>
            </w:r>
          </w:p>
        </w:tc>
        <w:tc>
          <w:tcPr>
            <w:tcW w:w="5387" w:type="dxa"/>
            <w:tcBorders>
              <w:top w:val="nil"/>
              <w:bottom w:val="nil"/>
            </w:tcBorders>
          </w:tcPr>
          <w:p w14:paraId="64463A4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11.不得接受已轉讓且未向發行公司辦理過戶登記之記名股票借用他人交易帳戶賣出(註：遺產管理人行使法定職權不在此限)。</w:t>
            </w:r>
          </w:p>
        </w:tc>
        <w:tc>
          <w:tcPr>
            <w:tcW w:w="2023" w:type="dxa"/>
            <w:vMerge/>
            <w:tcBorders>
              <w:right w:val="single" w:sz="12" w:space="0" w:color="auto"/>
            </w:tcBorders>
          </w:tcPr>
          <w:p w14:paraId="753655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DAB9D4" w14:textId="77777777">
        <w:tc>
          <w:tcPr>
            <w:tcW w:w="1384" w:type="dxa"/>
            <w:vMerge/>
            <w:tcBorders>
              <w:left w:val="single" w:sz="12" w:space="0" w:color="auto"/>
            </w:tcBorders>
          </w:tcPr>
          <w:p w14:paraId="1E7C7693" w14:textId="77777777" w:rsidR="003B3105" w:rsidRDefault="003B3105" w:rsidP="001E533B">
            <w:pPr>
              <w:rPr>
                <w:rFonts w:ascii="新細明體" w:eastAsia="新細明體" w:hAnsi="新細明體"/>
              </w:rPr>
            </w:pPr>
          </w:p>
        </w:tc>
        <w:tc>
          <w:tcPr>
            <w:tcW w:w="1276" w:type="dxa"/>
            <w:vMerge/>
          </w:tcPr>
          <w:p w14:paraId="27DD9B34" w14:textId="77777777" w:rsidR="003B3105" w:rsidRDefault="003B3105" w:rsidP="001E533B">
            <w:pPr>
              <w:rPr>
                <w:rFonts w:ascii="新細明體" w:eastAsia="新細明體" w:hAnsi="新細明體"/>
              </w:rPr>
            </w:pPr>
          </w:p>
        </w:tc>
        <w:tc>
          <w:tcPr>
            <w:tcW w:w="5386" w:type="dxa"/>
            <w:tcBorders>
              <w:top w:val="nil"/>
              <w:bottom w:val="nil"/>
            </w:tcBorders>
          </w:tcPr>
          <w:p w14:paraId="7B97DD6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受託買賣有價證券遇有券商公會自律規則第二十五條所訂之情事者，為降低公司之經營風險，各營業員於接受客戶委託時，除適用該自律規則第二十五條第二項者外，應依該自律規則第二十六條之相關規定辦理。</w:t>
            </w:r>
          </w:p>
        </w:tc>
        <w:tc>
          <w:tcPr>
            <w:tcW w:w="5387" w:type="dxa"/>
            <w:tcBorders>
              <w:top w:val="nil"/>
              <w:bottom w:val="nil"/>
            </w:tcBorders>
          </w:tcPr>
          <w:p w14:paraId="0C15852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受託買賣有價證券遇有券商公會自律規則第二十五條所訂之情事者，為降低公司之經營風險，各營業員於接受客戶委託時，除適用該自律規則第二十五條第二項者外，應依該自律規則第二十六條之相關規定辦理。</w:t>
            </w:r>
          </w:p>
        </w:tc>
        <w:tc>
          <w:tcPr>
            <w:tcW w:w="2023" w:type="dxa"/>
            <w:vMerge/>
            <w:tcBorders>
              <w:right w:val="single" w:sz="12" w:space="0" w:color="auto"/>
            </w:tcBorders>
          </w:tcPr>
          <w:p w14:paraId="30A1B6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74594F" w14:textId="77777777">
        <w:tc>
          <w:tcPr>
            <w:tcW w:w="1384" w:type="dxa"/>
            <w:vMerge/>
            <w:tcBorders>
              <w:left w:val="single" w:sz="12" w:space="0" w:color="auto"/>
            </w:tcBorders>
          </w:tcPr>
          <w:p w14:paraId="5017D368" w14:textId="77777777" w:rsidR="003B3105" w:rsidRDefault="003B3105" w:rsidP="001E533B">
            <w:pPr>
              <w:rPr>
                <w:rFonts w:ascii="新細明體" w:eastAsia="新細明體" w:hAnsi="新細明體"/>
              </w:rPr>
            </w:pPr>
          </w:p>
        </w:tc>
        <w:tc>
          <w:tcPr>
            <w:tcW w:w="1276" w:type="dxa"/>
            <w:vMerge/>
          </w:tcPr>
          <w:p w14:paraId="3D160B02" w14:textId="77777777" w:rsidR="003B3105" w:rsidRDefault="003B3105" w:rsidP="001E533B">
            <w:pPr>
              <w:rPr>
                <w:rFonts w:ascii="新細明體" w:eastAsia="新細明體" w:hAnsi="新細明體"/>
              </w:rPr>
            </w:pPr>
          </w:p>
        </w:tc>
        <w:tc>
          <w:tcPr>
            <w:tcW w:w="5386" w:type="dxa"/>
            <w:tcBorders>
              <w:top w:val="nil"/>
              <w:bottom w:val="nil"/>
            </w:tcBorders>
          </w:tcPr>
          <w:p w14:paraId="11B1177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13.客戶如係依規得為委託代理開戶或上</w:t>
            </w:r>
            <w:r>
              <w:rPr>
                <w:rFonts w:ascii="新細明體" w:eastAsia="新細明體" w:hAnsi="新細明體" w:cs="新細明體" w:hint="eastAsia"/>
              </w:rPr>
              <w:lastRenderedPageBreak/>
              <w:t>月成交金額達五千萬元以上，經依規定函證未能送達或未覆函者，營業員應注意控管其委託買賣。</w:t>
            </w:r>
          </w:p>
        </w:tc>
        <w:tc>
          <w:tcPr>
            <w:tcW w:w="5387" w:type="dxa"/>
            <w:tcBorders>
              <w:top w:val="nil"/>
              <w:bottom w:val="nil"/>
            </w:tcBorders>
          </w:tcPr>
          <w:p w14:paraId="51DE95A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13.客戶如係依規得為委託代理開戶或上</w:t>
            </w:r>
            <w:r>
              <w:rPr>
                <w:rFonts w:ascii="新細明體" w:eastAsia="新細明體" w:hAnsi="新細明體" w:cs="新細明體" w:hint="eastAsia"/>
              </w:rPr>
              <w:lastRenderedPageBreak/>
              <w:t>月成交金額達五千萬元以上，經依規定函證未能送達或未覆函者，營業員應注意控管其委託買賣。</w:t>
            </w:r>
          </w:p>
        </w:tc>
        <w:tc>
          <w:tcPr>
            <w:tcW w:w="2023" w:type="dxa"/>
            <w:vMerge/>
            <w:tcBorders>
              <w:right w:val="single" w:sz="12" w:space="0" w:color="auto"/>
            </w:tcBorders>
          </w:tcPr>
          <w:p w14:paraId="632055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7CB21A" w14:textId="77777777">
        <w:tc>
          <w:tcPr>
            <w:tcW w:w="1384" w:type="dxa"/>
            <w:vMerge/>
            <w:tcBorders>
              <w:left w:val="single" w:sz="12" w:space="0" w:color="auto"/>
            </w:tcBorders>
          </w:tcPr>
          <w:p w14:paraId="0C9327B6" w14:textId="77777777" w:rsidR="003B3105" w:rsidRDefault="003B3105" w:rsidP="001E533B">
            <w:pPr>
              <w:rPr>
                <w:rFonts w:ascii="新細明體" w:eastAsia="新細明體" w:hAnsi="新細明體"/>
              </w:rPr>
            </w:pPr>
          </w:p>
        </w:tc>
        <w:tc>
          <w:tcPr>
            <w:tcW w:w="1276" w:type="dxa"/>
            <w:vMerge/>
          </w:tcPr>
          <w:p w14:paraId="046715D6" w14:textId="77777777" w:rsidR="003B3105" w:rsidRDefault="003B3105" w:rsidP="001E533B">
            <w:pPr>
              <w:rPr>
                <w:rFonts w:ascii="新細明體" w:eastAsia="新細明體" w:hAnsi="新細明體"/>
              </w:rPr>
            </w:pPr>
          </w:p>
        </w:tc>
        <w:tc>
          <w:tcPr>
            <w:tcW w:w="5386" w:type="dxa"/>
            <w:tcBorders>
              <w:top w:val="nil"/>
              <w:bottom w:val="nil"/>
            </w:tcBorders>
          </w:tcPr>
          <w:p w14:paraId="01BD665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每一帳戶當日成交金額達五百萬元(得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5387" w:type="dxa"/>
            <w:tcBorders>
              <w:top w:val="nil"/>
              <w:bottom w:val="nil"/>
            </w:tcBorders>
          </w:tcPr>
          <w:p w14:paraId="5A0D03C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每一帳戶當日成交金額達五百萬元(得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2023" w:type="dxa"/>
            <w:vMerge/>
            <w:tcBorders>
              <w:right w:val="single" w:sz="12" w:space="0" w:color="auto"/>
            </w:tcBorders>
          </w:tcPr>
          <w:p w14:paraId="4055FA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98D697" w14:textId="77777777">
        <w:tc>
          <w:tcPr>
            <w:tcW w:w="1384" w:type="dxa"/>
            <w:vMerge/>
            <w:tcBorders>
              <w:left w:val="single" w:sz="12" w:space="0" w:color="auto"/>
            </w:tcBorders>
          </w:tcPr>
          <w:p w14:paraId="73C97173" w14:textId="77777777" w:rsidR="003B3105" w:rsidRDefault="003B3105" w:rsidP="001E533B">
            <w:pPr>
              <w:rPr>
                <w:rFonts w:ascii="新細明體" w:eastAsia="新細明體" w:hAnsi="新細明體"/>
              </w:rPr>
            </w:pPr>
          </w:p>
        </w:tc>
        <w:tc>
          <w:tcPr>
            <w:tcW w:w="1276" w:type="dxa"/>
            <w:vMerge/>
          </w:tcPr>
          <w:p w14:paraId="12123919" w14:textId="77777777" w:rsidR="003B3105" w:rsidRDefault="003B3105" w:rsidP="001E533B">
            <w:pPr>
              <w:rPr>
                <w:rFonts w:ascii="新細明體" w:eastAsia="新細明體" w:hAnsi="新細明體"/>
              </w:rPr>
            </w:pPr>
          </w:p>
        </w:tc>
        <w:tc>
          <w:tcPr>
            <w:tcW w:w="5386" w:type="dxa"/>
            <w:tcBorders>
              <w:top w:val="nil"/>
              <w:bottom w:val="nil"/>
            </w:tcBorders>
          </w:tcPr>
          <w:p w14:paraId="6025325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15.受託買賣如有下列情事之一者，不得受理：</w:t>
            </w:r>
          </w:p>
        </w:tc>
        <w:tc>
          <w:tcPr>
            <w:tcW w:w="5387" w:type="dxa"/>
            <w:tcBorders>
              <w:top w:val="nil"/>
              <w:bottom w:val="nil"/>
            </w:tcBorders>
          </w:tcPr>
          <w:p w14:paraId="0E09580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15.受託買賣如有下列情事之一者，不得受理：</w:t>
            </w:r>
          </w:p>
        </w:tc>
        <w:tc>
          <w:tcPr>
            <w:tcW w:w="2023" w:type="dxa"/>
            <w:vMerge/>
            <w:tcBorders>
              <w:right w:val="single" w:sz="12" w:space="0" w:color="auto"/>
            </w:tcBorders>
          </w:tcPr>
          <w:p w14:paraId="1781BF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65F21C" w14:textId="77777777">
        <w:tc>
          <w:tcPr>
            <w:tcW w:w="1384" w:type="dxa"/>
            <w:vMerge/>
            <w:tcBorders>
              <w:left w:val="single" w:sz="12" w:space="0" w:color="auto"/>
            </w:tcBorders>
          </w:tcPr>
          <w:p w14:paraId="6D6D4894" w14:textId="77777777" w:rsidR="003B3105" w:rsidRDefault="003B3105" w:rsidP="001E533B">
            <w:pPr>
              <w:rPr>
                <w:rFonts w:ascii="新細明體" w:eastAsia="新細明體" w:hAnsi="新細明體"/>
              </w:rPr>
            </w:pPr>
          </w:p>
        </w:tc>
        <w:tc>
          <w:tcPr>
            <w:tcW w:w="1276" w:type="dxa"/>
            <w:vMerge/>
          </w:tcPr>
          <w:p w14:paraId="14863AEC" w14:textId="77777777" w:rsidR="003B3105" w:rsidRDefault="003B3105" w:rsidP="001E533B">
            <w:pPr>
              <w:rPr>
                <w:rFonts w:ascii="新細明體" w:eastAsia="新細明體" w:hAnsi="新細明體"/>
              </w:rPr>
            </w:pPr>
          </w:p>
        </w:tc>
        <w:tc>
          <w:tcPr>
            <w:tcW w:w="5386" w:type="dxa"/>
            <w:tcBorders>
              <w:top w:val="nil"/>
              <w:bottom w:val="nil"/>
            </w:tcBorders>
          </w:tcPr>
          <w:p w14:paraId="7C8F2B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(1)全權選擇證券種類之委託買賣。</w:t>
            </w:r>
          </w:p>
        </w:tc>
        <w:tc>
          <w:tcPr>
            <w:tcW w:w="5387" w:type="dxa"/>
            <w:tcBorders>
              <w:top w:val="nil"/>
              <w:bottom w:val="nil"/>
            </w:tcBorders>
          </w:tcPr>
          <w:p w14:paraId="1B8891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(1)全權選擇證券種類之委託買賣。</w:t>
            </w:r>
          </w:p>
        </w:tc>
        <w:tc>
          <w:tcPr>
            <w:tcW w:w="2023" w:type="dxa"/>
            <w:vMerge/>
            <w:tcBorders>
              <w:right w:val="single" w:sz="12" w:space="0" w:color="auto"/>
            </w:tcBorders>
          </w:tcPr>
          <w:p w14:paraId="614E64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056523" w14:textId="77777777">
        <w:tc>
          <w:tcPr>
            <w:tcW w:w="1384" w:type="dxa"/>
            <w:vMerge/>
            <w:tcBorders>
              <w:left w:val="single" w:sz="12" w:space="0" w:color="auto"/>
            </w:tcBorders>
          </w:tcPr>
          <w:p w14:paraId="3D05D4E5" w14:textId="77777777" w:rsidR="003B3105" w:rsidRDefault="003B3105" w:rsidP="001E533B">
            <w:pPr>
              <w:rPr>
                <w:rFonts w:ascii="新細明體" w:eastAsia="新細明體" w:hAnsi="新細明體"/>
              </w:rPr>
            </w:pPr>
          </w:p>
        </w:tc>
        <w:tc>
          <w:tcPr>
            <w:tcW w:w="1276" w:type="dxa"/>
            <w:vMerge/>
          </w:tcPr>
          <w:p w14:paraId="23C51BED" w14:textId="77777777" w:rsidR="003B3105" w:rsidRDefault="003B3105" w:rsidP="001E533B">
            <w:pPr>
              <w:rPr>
                <w:rFonts w:ascii="新細明體" w:eastAsia="新細明體" w:hAnsi="新細明體"/>
              </w:rPr>
            </w:pPr>
          </w:p>
        </w:tc>
        <w:tc>
          <w:tcPr>
            <w:tcW w:w="5386" w:type="dxa"/>
            <w:tcBorders>
              <w:top w:val="nil"/>
              <w:bottom w:val="nil"/>
            </w:tcBorders>
          </w:tcPr>
          <w:p w14:paraId="5BCD188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(2)全權決定買賣數量之委託買賣。</w:t>
            </w:r>
          </w:p>
        </w:tc>
        <w:tc>
          <w:tcPr>
            <w:tcW w:w="5387" w:type="dxa"/>
            <w:tcBorders>
              <w:top w:val="nil"/>
              <w:bottom w:val="nil"/>
            </w:tcBorders>
          </w:tcPr>
          <w:p w14:paraId="6633E8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(2)全權決定買賣數量之委託買賣。</w:t>
            </w:r>
          </w:p>
        </w:tc>
        <w:tc>
          <w:tcPr>
            <w:tcW w:w="2023" w:type="dxa"/>
            <w:vMerge/>
            <w:tcBorders>
              <w:right w:val="single" w:sz="12" w:space="0" w:color="auto"/>
            </w:tcBorders>
          </w:tcPr>
          <w:p w14:paraId="705983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C2848D" w14:textId="77777777">
        <w:tc>
          <w:tcPr>
            <w:tcW w:w="1384" w:type="dxa"/>
            <w:vMerge/>
            <w:tcBorders>
              <w:left w:val="single" w:sz="12" w:space="0" w:color="auto"/>
            </w:tcBorders>
          </w:tcPr>
          <w:p w14:paraId="2B05BA45" w14:textId="77777777" w:rsidR="003B3105" w:rsidRDefault="003B3105" w:rsidP="001E533B">
            <w:pPr>
              <w:rPr>
                <w:rFonts w:ascii="新細明體" w:eastAsia="新細明體" w:hAnsi="新細明體"/>
              </w:rPr>
            </w:pPr>
          </w:p>
        </w:tc>
        <w:tc>
          <w:tcPr>
            <w:tcW w:w="1276" w:type="dxa"/>
            <w:vMerge/>
          </w:tcPr>
          <w:p w14:paraId="15C7B8A5" w14:textId="77777777" w:rsidR="003B3105" w:rsidRDefault="003B3105" w:rsidP="001E533B">
            <w:pPr>
              <w:rPr>
                <w:rFonts w:ascii="新細明體" w:eastAsia="新細明體" w:hAnsi="新細明體"/>
              </w:rPr>
            </w:pPr>
          </w:p>
        </w:tc>
        <w:tc>
          <w:tcPr>
            <w:tcW w:w="5386" w:type="dxa"/>
            <w:tcBorders>
              <w:top w:val="nil"/>
              <w:bottom w:val="nil"/>
            </w:tcBorders>
          </w:tcPr>
          <w:p w14:paraId="2A0341A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(3)全權決定買賣價格之委託買賣。</w:t>
            </w:r>
          </w:p>
        </w:tc>
        <w:tc>
          <w:tcPr>
            <w:tcW w:w="5387" w:type="dxa"/>
            <w:tcBorders>
              <w:top w:val="nil"/>
              <w:bottom w:val="nil"/>
            </w:tcBorders>
          </w:tcPr>
          <w:p w14:paraId="59FB32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(3)全權決定買賣價格之委託買賣。</w:t>
            </w:r>
          </w:p>
        </w:tc>
        <w:tc>
          <w:tcPr>
            <w:tcW w:w="2023" w:type="dxa"/>
            <w:vMerge/>
            <w:tcBorders>
              <w:right w:val="single" w:sz="12" w:space="0" w:color="auto"/>
            </w:tcBorders>
          </w:tcPr>
          <w:p w14:paraId="14BA5E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D9D23B" w14:textId="77777777">
        <w:tc>
          <w:tcPr>
            <w:tcW w:w="1384" w:type="dxa"/>
            <w:vMerge/>
            <w:tcBorders>
              <w:left w:val="single" w:sz="12" w:space="0" w:color="auto"/>
            </w:tcBorders>
          </w:tcPr>
          <w:p w14:paraId="5D63F79A" w14:textId="77777777" w:rsidR="003B3105" w:rsidRDefault="003B3105" w:rsidP="001E533B">
            <w:pPr>
              <w:rPr>
                <w:rFonts w:ascii="新細明體" w:eastAsia="新細明體" w:hAnsi="新細明體"/>
              </w:rPr>
            </w:pPr>
          </w:p>
        </w:tc>
        <w:tc>
          <w:tcPr>
            <w:tcW w:w="1276" w:type="dxa"/>
            <w:vMerge/>
          </w:tcPr>
          <w:p w14:paraId="5F1EBBBD" w14:textId="77777777" w:rsidR="003B3105" w:rsidRDefault="003B3105" w:rsidP="001E533B">
            <w:pPr>
              <w:rPr>
                <w:rFonts w:ascii="新細明體" w:eastAsia="新細明體" w:hAnsi="新細明體"/>
              </w:rPr>
            </w:pPr>
          </w:p>
        </w:tc>
        <w:tc>
          <w:tcPr>
            <w:tcW w:w="5386" w:type="dxa"/>
            <w:tcBorders>
              <w:top w:val="nil"/>
              <w:bottom w:val="nil"/>
            </w:tcBorders>
          </w:tcPr>
          <w:p w14:paraId="391537F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(4)全權決定賣出或買入之委託買賣。</w:t>
            </w:r>
          </w:p>
        </w:tc>
        <w:tc>
          <w:tcPr>
            <w:tcW w:w="5387" w:type="dxa"/>
            <w:tcBorders>
              <w:top w:val="nil"/>
              <w:bottom w:val="nil"/>
            </w:tcBorders>
          </w:tcPr>
          <w:p w14:paraId="7E111E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(4)全權決定賣出或買入之委託買賣。</w:t>
            </w:r>
          </w:p>
        </w:tc>
        <w:tc>
          <w:tcPr>
            <w:tcW w:w="2023" w:type="dxa"/>
            <w:vMerge/>
            <w:tcBorders>
              <w:right w:val="single" w:sz="12" w:space="0" w:color="auto"/>
            </w:tcBorders>
          </w:tcPr>
          <w:p w14:paraId="71B9D2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9B38EA" w14:textId="77777777">
        <w:tc>
          <w:tcPr>
            <w:tcW w:w="1384" w:type="dxa"/>
            <w:vMerge/>
            <w:tcBorders>
              <w:left w:val="single" w:sz="12" w:space="0" w:color="auto"/>
            </w:tcBorders>
          </w:tcPr>
          <w:p w14:paraId="3F62D25D" w14:textId="77777777" w:rsidR="003B3105" w:rsidRDefault="003B3105" w:rsidP="001E533B">
            <w:pPr>
              <w:rPr>
                <w:rFonts w:ascii="新細明體" w:eastAsia="新細明體" w:hAnsi="新細明體"/>
              </w:rPr>
            </w:pPr>
          </w:p>
        </w:tc>
        <w:tc>
          <w:tcPr>
            <w:tcW w:w="1276" w:type="dxa"/>
            <w:vMerge/>
          </w:tcPr>
          <w:p w14:paraId="4D2D04B7" w14:textId="77777777" w:rsidR="003B3105" w:rsidRDefault="003B3105" w:rsidP="001E533B">
            <w:pPr>
              <w:rPr>
                <w:rFonts w:ascii="新細明體" w:eastAsia="新細明體" w:hAnsi="新細明體"/>
              </w:rPr>
            </w:pPr>
          </w:p>
        </w:tc>
        <w:tc>
          <w:tcPr>
            <w:tcW w:w="5386" w:type="dxa"/>
            <w:tcBorders>
              <w:top w:val="nil"/>
              <w:bottom w:val="nil"/>
            </w:tcBorders>
          </w:tcPr>
          <w:p w14:paraId="531AB7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(5)未經核准上市櫃或暫停交易之證券買賣。</w:t>
            </w:r>
          </w:p>
        </w:tc>
        <w:tc>
          <w:tcPr>
            <w:tcW w:w="5387" w:type="dxa"/>
            <w:tcBorders>
              <w:top w:val="nil"/>
              <w:bottom w:val="nil"/>
            </w:tcBorders>
          </w:tcPr>
          <w:p w14:paraId="431191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(5)未經核准上市櫃或暫停交易之證券買賣。</w:t>
            </w:r>
          </w:p>
        </w:tc>
        <w:tc>
          <w:tcPr>
            <w:tcW w:w="2023" w:type="dxa"/>
            <w:vMerge/>
            <w:tcBorders>
              <w:right w:val="single" w:sz="12" w:space="0" w:color="auto"/>
            </w:tcBorders>
          </w:tcPr>
          <w:p w14:paraId="14068E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343BFA" w14:textId="77777777">
        <w:tc>
          <w:tcPr>
            <w:tcW w:w="1384" w:type="dxa"/>
            <w:vMerge/>
            <w:tcBorders>
              <w:left w:val="single" w:sz="12" w:space="0" w:color="auto"/>
            </w:tcBorders>
          </w:tcPr>
          <w:p w14:paraId="0FE35535" w14:textId="77777777" w:rsidR="003B3105" w:rsidRDefault="003B3105" w:rsidP="001E533B">
            <w:pPr>
              <w:rPr>
                <w:rFonts w:ascii="新細明體" w:eastAsia="新細明體" w:hAnsi="新細明體"/>
              </w:rPr>
            </w:pPr>
          </w:p>
        </w:tc>
        <w:tc>
          <w:tcPr>
            <w:tcW w:w="1276" w:type="dxa"/>
            <w:vMerge/>
          </w:tcPr>
          <w:p w14:paraId="1F4890D2" w14:textId="77777777" w:rsidR="003B3105" w:rsidRDefault="003B3105" w:rsidP="001E533B">
            <w:pPr>
              <w:rPr>
                <w:rFonts w:ascii="新細明體" w:eastAsia="新細明體" w:hAnsi="新細明體"/>
              </w:rPr>
            </w:pPr>
          </w:p>
        </w:tc>
        <w:tc>
          <w:tcPr>
            <w:tcW w:w="5386" w:type="dxa"/>
            <w:tcBorders>
              <w:top w:val="nil"/>
              <w:bottom w:val="nil"/>
            </w:tcBorders>
          </w:tcPr>
          <w:p w14:paraId="3DE895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(6)已停止上市櫃之證券買賣。</w:t>
            </w:r>
          </w:p>
        </w:tc>
        <w:tc>
          <w:tcPr>
            <w:tcW w:w="5387" w:type="dxa"/>
            <w:tcBorders>
              <w:top w:val="nil"/>
              <w:bottom w:val="nil"/>
            </w:tcBorders>
          </w:tcPr>
          <w:p w14:paraId="1EBAD38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(6)已停止上市櫃之證券買賣。</w:t>
            </w:r>
          </w:p>
        </w:tc>
        <w:tc>
          <w:tcPr>
            <w:tcW w:w="2023" w:type="dxa"/>
            <w:vMerge/>
            <w:tcBorders>
              <w:right w:val="single" w:sz="12" w:space="0" w:color="auto"/>
            </w:tcBorders>
          </w:tcPr>
          <w:p w14:paraId="00514E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ABA14B" w14:textId="77777777">
        <w:tc>
          <w:tcPr>
            <w:tcW w:w="1384" w:type="dxa"/>
            <w:vMerge/>
            <w:tcBorders>
              <w:left w:val="single" w:sz="12" w:space="0" w:color="auto"/>
            </w:tcBorders>
          </w:tcPr>
          <w:p w14:paraId="50EDC548" w14:textId="77777777" w:rsidR="003B3105" w:rsidRDefault="003B3105" w:rsidP="001E533B">
            <w:pPr>
              <w:rPr>
                <w:rFonts w:ascii="新細明體" w:eastAsia="新細明體" w:hAnsi="新細明體"/>
              </w:rPr>
            </w:pPr>
          </w:p>
        </w:tc>
        <w:tc>
          <w:tcPr>
            <w:tcW w:w="1276" w:type="dxa"/>
            <w:vMerge/>
          </w:tcPr>
          <w:p w14:paraId="4CB62CC1" w14:textId="77777777" w:rsidR="003B3105" w:rsidRDefault="003B3105" w:rsidP="001E533B">
            <w:pPr>
              <w:rPr>
                <w:rFonts w:ascii="新細明體" w:eastAsia="新細明體" w:hAnsi="新細明體"/>
              </w:rPr>
            </w:pPr>
          </w:p>
        </w:tc>
        <w:tc>
          <w:tcPr>
            <w:tcW w:w="5386" w:type="dxa"/>
            <w:tcBorders>
              <w:top w:val="nil"/>
              <w:bottom w:val="nil"/>
            </w:tcBorders>
          </w:tcPr>
          <w:p w14:paraId="03DFBA8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(7)分期付款方式之證券買賣。</w:t>
            </w:r>
          </w:p>
        </w:tc>
        <w:tc>
          <w:tcPr>
            <w:tcW w:w="5387" w:type="dxa"/>
            <w:tcBorders>
              <w:top w:val="nil"/>
              <w:bottom w:val="nil"/>
            </w:tcBorders>
          </w:tcPr>
          <w:p w14:paraId="3903EC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(7)分期付款方式之證券買賣。</w:t>
            </w:r>
          </w:p>
        </w:tc>
        <w:tc>
          <w:tcPr>
            <w:tcW w:w="2023" w:type="dxa"/>
            <w:vMerge/>
            <w:tcBorders>
              <w:right w:val="single" w:sz="12" w:space="0" w:color="auto"/>
            </w:tcBorders>
          </w:tcPr>
          <w:p w14:paraId="668606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07B59F" w14:textId="77777777">
        <w:tc>
          <w:tcPr>
            <w:tcW w:w="1384" w:type="dxa"/>
            <w:vMerge/>
            <w:tcBorders>
              <w:left w:val="single" w:sz="12" w:space="0" w:color="auto"/>
            </w:tcBorders>
          </w:tcPr>
          <w:p w14:paraId="5957895F" w14:textId="77777777" w:rsidR="003B3105" w:rsidRDefault="003B3105" w:rsidP="001E533B">
            <w:pPr>
              <w:rPr>
                <w:rFonts w:ascii="新細明體" w:eastAsia="新細明體" w:hAnsi="新細明體"/>
              </w:rPr>
            </w:pPr>
          </w:p>
        </w:tc>
        <w:tc>
          <w:tcPr>
            <w:tcW w:w="1276" w:type="dxa"/>
            <w:vMerge/>
          </w:tcPr>
          <w:p w14:paraId="0E3DD429" w14:textId="77777777" w:rsidR="003B3105" w:rsidRDefault="003B3105" w:rsidP="001E533B">
            <w:pPr>
              <w:rPr>
                <w:rFonts w:ascii="新細明體" w:eastAsia="新細明體" w:hAnsi="新細明體"/>
              </w:rPr>
            </w:pPr>
          </w:p>
        </w:tc>
        <w:tc>
          <w:tcPr>
            <w:tcW w:w="5386" w:type="dxa"/>
            <w:tcBorders>
              <w:top w:val="nil"/>
              <w:bottom w:val="nil"/>
            </w:tcBorders>
          </w:tcPr>
          <w:p w14:paraId="7500E9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(8)對客戶作贏利之保證或分享利益之證券買賣。</w:t>
            </w:r>
          </w:p>
        </w:tc>
        <w:tc>
          <w:tcPr>
            <w:tcW w:w="5387" w:type="dxa"/>
            <w:tcBorders>
              <w:top w:val="nil"/>
              <w:bottom w:val="nil"/>
            </w:tcBorders>
          </w:tcPr>
          <w:p w14:paraId="3F1583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(8)對客戶作贏利之保證或分享利益之證券買賣。</w:t>
            </w:r>
          </w:p>
        </w:tc>
        <w:tc>
          <w:tcPr>
            <w:tcW w:w="2023" w:type="dxa"/>
            <w:vMerge/>
            <w:tcBorders>
              <w:right w:val="single" w:sz="12" w:space="0" w:color="auto"/>
            </w:tcBorders>
          </w:tcPr>
          <w:p w14:paraId="3750C0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76FD16" w14:textId="77777777">
        <w:tc>
          <w:tcPr>
            <w:tcW w:w="1384" w:type="dxa"/>
            <w:vMerge/>
            <w:tcBorders>
              <w:left w:val="single" w:sz="12" w:space="0" w:color="auto"/>
            </w:tcBorders>
          </w:tcPr>
          <w:p w14:paraId="32CF7233" w14:textId="77777777" w:rsidR="003B3105" w:rsidRDefault="003B3105" w:rsidP="001E533B">
            <w:pPr>
              <w:rPr>
                <w:rFonts w:ascii="新細明體" w:eastAsia="新細明體" w:hAnsi="新細明體"/>
              </w:rPr>
            </w:pPr>
          </w:p>
        </w:tc>
        <w:tc>
          <w:tcPr>
            <w:tcW w:w="1276" w:type="dxa"/>
            <w:vMerge/>
          </w:tcPr>
          <w:p w14:paraId="5B5CD568" w14:textId="77777777" w:rsidR="003B3105" w:rsidRDefault="003B3105" w:rsidP="001E533B">
            <w:pPr>
              <w:rPr>
                <w:rFonts w:ascii="新細明體" w:eastAsia="新細明體" w:hAnsi="新細明體"/>
              </w:rPr>
            </w:pPr>
          </w:p>
        </w:tc>
        <w:tc>
          <w:tcPr>
            <w:tcW w:w="5386" w:type="dxa"/>
            <w:tcBorders>
              <w:top w:val="nil"/>
              <w:bottom w:val="nil"/>
            </w:tcBorders>
          </w:tcPr>
          <w:p w14:paraId="1373F0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(9)為自己利益收買、轉售受託買賣之證券。</w:t>
            </w:r>
          </w:p>
        </w:tc>
        <w:tc>
          <w:tcPr>
            <w:tcW w:w="5387" w:type="dxa"/>
            <w:tcBorders>
              <w:top w:val="nil"/>
              <w:bottom w:val="nil"/>
            </w:tcBorders>
          </w:tcPr>
          <w:p w14:paraId="61DFBE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(9)為自己利益收買、轉售受託買賣之證券。</w:t>
            </w:r>
          </w:p>
        </w:tc>
        <w:tc>
          <w:tcPr>
            <w:tcW w:w="2023" w:type="dxa"/>
            <w:vMerge/>
            <w:tcBorders>
              <w:right w:val="single" w:sz="12" w:space="0" w:color="auto"/>
            </w:tcBorders>
          </w:tcPr>
          <w:p w14:paraId="5F95F2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60DCD6" w14:textId="77777777">
        <w:tc>
          <w:tcPr>
            <w:tcW w:w="1384" w:type="dxa"/>
            <w:vMerge/>
            <w:tcBorders>
              <w:left w:val="single" w:sz="12" w:space="0" w:color="auto"/>
            </w:tcBorders>
          </w:tcPr>
          <w:p w14:paraId="6DD7FCB2" w14:textId="77777777" w:rsidR="003B3105" w:rsidRDefault="003B3105" w:rsidP="001E533B">
            <w:pPr>
              <w:rPr>
                <w:rFonts w:ascii="新細明體" w:eastAsia="新細明體" w:hAnsi="新細明體"/>
              </w:rPr>
            </w:pPr>
          </w:p>
        </w:tc>
        <w:tc>
          <w:tcPr>
            <w:tcW w:w="1276" w:type="dxa"/>
            <w:vMerge/>
          </w:tcPr>
          <w:p w14:paraId="1206325A" w14:textId="77777777" w:rsidR="003B3105" w:rsidRDefault="003B3105" w:rsidP="001E533B">
            <w:pPr>
              <w:rPr>
                <w:rFonts w:ascii="新細明體" w:eastAsia="新細明體" w:hAnsi="新細明體"/>
              </w:rPr>
            </w:pPr>
          </w:p>
        </w:tc>
        <w:tc>
          <w:tcPr>
            <w:tcW w:w="5386" w:type="dxa"/>
            <w:tcBorders>
              <w:top w:val="nil"/>
              <w:bottom w:val="nil"/>
            </w:tcBorders>
          </w:tcPr>
          <w:p w14:paraId="12C6599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應慎選超連結之網站，並對其業務人員使用電子郵件、群組電子郵件、佈告欄及網站等進行與營業相關之行為，應負監督管理之責。其中facebook、部落格或電子郵件，係屬網站之網頁資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5387" w:type="dxa"/>
            <w:tcBorders>
              <w:top w:val="nil"/>
              <w:bottom w:val="nil"/>
            </w:tcBorders>
          </w:tcPr>
          <w:p w14:paraId="5E671CB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應慎選超連結之網站，並對其業務人員使用電子郵件、群組電子郵件、佈告欄及網站等進行與營業相關之行為，應負監督管理之責。其中facebook、部落格或電子郵件，係屬網站之網頁資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2023" w:type="dxa"/>
            <w:vMerge/>
            <w:tcBorders>
              <w:right w:val="single" w:sz="12" w:space="0" w:color="auto"/>
            </w:tcBorders>
          </w:tcPr>
          <w:p w14:paraId="34C486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28EFBA" w14:textId="77777777">
        <w:tc>
          <w:tcPr>
            <w:tcW w:w="1384" w:type="dxa"/>
            <w:vMerge/>
            <w:tcBorders>
              <w:left w:val="single" w:sz="12" w:space="0" w:color="auto"/>
            </w:tcBorders>
          </w:tcPr>
          <w:p w14:paraId="0904E5AC" w14:textId="77777777" w:rsidR="003B3105" w:rsidRDefault="003B3105" w:rsidP="001E533B">
            <w:pPr>
              <w:rPr>
                <w:rFonts w:ascii="新細明體" w:eastAsia="新細明體" w:hAnsi="新細明體"/>
              </w:rPr>
            </w:pPr>
          </w:p>
        </w:tc>
        <w:tc>
          <w:tcPr>
            <w:tcW w:w="1276" w:type="dxa"/>
            <w:vMerge/>
          </w:tcPr>
          <w:p w14:paraId="1BEBA891" w14:textId="77777777" w:rsidR="003B3105" w:rsidRDefault="003B3105" w:rsidP="001E533B">
            <w:pPr>
              <w:rPr>
                <w:rFonts w:ascii="新細明體" w:eastAsia="新細明體" w:hAnsi="新細明體"/>
              </w:rPr>
            </w:pPr>
          </w:p>
        </w:tc>
        <w:tc>
          <w:tcPr>
            <w:tcW w:w="5386" w:type="dxa"/>
            <w:tcBorders>
              <w:top w:val="nil"/>
              <w:bottom w:val="nil"/>
            </w:tcBorders>
          </w:tcPr>
          <w:p w14:paraId="3AAE75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得知客戶為受破產、監護、輔助宣告未經復權、撤銷者，或其為無行為能力人或限制行為能力人未經法定代理人之代理者，應拒絕受託買賣有價證券或申購有價證券，公司應於內部控制辦法自行訂定抽樣查核機制並執行(註：請公司自訂內部控制辦法)。</w:t>
            </w:r>
          </w:p>
        </w:tc>
        <w:tc>
          <w:tcPr>
            <w:tcW w:w="5387" w:type="dxa"/>
            <w:tcBorders>
              <w:top w:val="nil"/>
              <w:bottom w:val="nil"/>
            </w:tcBorders>
          </w:tcPr>
          <w:p w14:paraId="51D2298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得知客戶為受破產、監護、輔助宣告未經復權、撤銷者，或其為無行為能力人或限制行為能力人未經法定代理人之代理者，應拒絕受託買賣有價證券或申購有價證券，公司應於內部控制辦法自行訂定抽樣查核機制並執行(註：請公司自訂內部控制辦法)。</w:t>
            </w:r>
          </w:p>
        </w:tc>
        <w:tc>
          <w:tcPr>
            <w:tcW w:w="2023" w:type="dxa"/>
            <w:vMerge/>
            <w:tcBorders>
              <w:right w:val="single" w:sz="12" w:space="0" w:color="auto"/>
            </w:tcBorders>
          </w:tcPr>
          <w:p w14:paraId="068FBB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38CB89" w14:textId="77777777">
        <w:tc>
          <w:tcPr>
            <w:tcW w:w="1384" w:type="dxa"/>
            <w:vMerge/>
            <w:tcBorders>
              <w:left w:val="single" w:sz="12" w:space="0" w:color="auto"/>
            </w:tcBorders>
          </w:tcPr>
          <w:p w14:paraId="648185BD" w14:textId="77777777" w:rsidR="003B3105" w:rsidRDefault="003B3105" w:rsidP="001E533B">
            <w:pPr>
              <w:rPr>
                <w:rFonts w:ascii="新細明體" w:eastAsia="新細明體" w:hAnsi="新細明體"/>
              </w:rPr>
            </w:pPr>
          </w:p>
        </w:tc>
        <w:tc>
          <w:tcPr>
            <w:tcW w:w="1276" w:type="dxa"/>
            <w:vMerge/>
          </w:tcPr>
          <w:p w14:paraId="57F49553" w14:textId="77777777" w:rsidR="003B3105" w:rsidRDefault="003B3105" w:rsidP="001E533B">
            <w:pPr>
              <w:rPr>
                <w:rFonts w:ascii="新細明體" w:eastAsia="新細明體" w:hAnsi="新細明體"/>
              </w:rPr>
            </w:pPr>
          </w:p>
        </w:tc>
        <w:tc>
          <w:tcPr>
            <w:tcW w:w="5386" w:type="dxa"/>
            <w:tcBorders>
              <w:top w:val="nil"/>
              <w:bottom w:val="nil"/>
            </w:tcBorders>
          </w:tcPr>
          <w:p w14:paraId="5D11800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18.公司受託買賣認購(售)權證，應在風險控管政策與範圍內，自行訂定符合該商品特性之內部控制辦法(註：請公司自訂內部控制辦法)。</w:t>
            </w:r>
          </w:p>
        </w:tc>
        <w:tc>
          <w:tcPr>
            <w:tcW w:w="5387" w:type="dxa"/>
            <w:tcBorders>
              <w:top w:val="nil"/>
              <w:bottom w:val="nil"/>
            </w:tcBorders>
          </w:tcPr>
          <w:p w14:paraId="036A1F9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18.公司受託買賣認購(售)權證，應在風險控管政策與範圍內，自行訂定符合該商品特性之內部控制辦法(註：請公司自訂內部控制辦法)。</w:t>
            </w:r>
          </w:p>
        </w:tc>
        <w:tc>
          <w:tcPr>
            <w:tcW w:w="2023" w:type="dxa"/>
            <w:vMerge/>
            <w:tcBorders>
              <w:right w:val="single" w:sz="12" w:space="0" w:color="auto"/>
            </w:tcBorders>
          </w:tcPr>
          <w:p w14:paraId="194B4F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60B39D" w14:textId="77777777">
        <w:tc>
          <w:tcPr>
            <w:tcW w:w="1384" w:type="dxa"/>
            <w:vMerge/>
            <w:tcBorders>
              <w:left w:val="single" w:sz="12" w:space="0" w:color="auto"/>
            </w:tcBorders>
          </w:tcPr>
          <w:p w14:paraId="12E540C2" w14:textId="77777777" w:rsidR="003B3105" w:rsidRDefault="003B3105" w:rsidP="001E533B">
            <w:pPr>
              <w:rPr>
                <w:rFonts w:ascii="新細明體" w:eastAsia="新細明體" w:hAnsi="新細明體"/>
              </w:rPr>
            </w:pPr>
          </w:p>
        </w:tc>
        <w:tc>
          <w:tcPr>
            <w:tcW w:w="1276" w:type="dxa"/>
            <w:vMerge/>
          </w:tcPr>
          <w:p w14:paraId="7FF1FADC" w14:textId="77777777" w:rsidR="003B3105" w:rsidRDefault="003B3105" w:rsidP="001E533B">
            <w:pPr>
              <w:rPr>
                <w:rFonts w:ascii="新細明體" w:eastAsia="新細明體" w:hAnsi="新細明體"/>
              </w:rPr>
            </w:pPr>
          </w:p>
        </w:tc>
        <w:tc>
          <w:tcPr>
            <w:tcW w:w="5386" w:type="dxa"/>
            <w:tcBorders>
              <w:top w:val="nil"/>
              <w:bottom w:val="nil"/>
            </w:tcBorders>
          </w:tcPr>
          <w:p w14:paraId="0131C67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19.客戶或其法定代理人委由代理人代理委託買賣、申購有價證券或辦理交割相</w:t>
            </w:r>
            <w:r>
              <w:rPr>
                <w:rFonts w:ascii="新細明體" w:eastAsia="新細明體" w:hAnsi="新細明體" w:cs="新細明體" w:hint="eastAsia"/>
              </w:rPr>
              <w:lastRenderedPageBreak/>
              <w:t>關手續，應出具授權書為之，代理人當面辦理上開作業者，並應留存代理人印鑑卡或簽名樣式卡憑以辦理。但客戶取消委任授權時，得採足以確認申請人為本人及其意思表示之通信或電子化方式為之。</w:t>
            </w:r>
          </w:p>
        </w:tc>
        <w:tc>
          <w:tcPr>
            <w:tcW w:w="5387" w:type="dxa"/>
            <w:tcBorders>
              <w:top w:val="nil"/>
              <w:bottom w:val="nil"/>
            </w:tcBorders>
          </w:tcPr>
          <w:p w14:paraId="6D9725C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19.客戶或其法定代理人委由代理人代理委託買賣、申購有價證券或辦理交割相</w:t>
            </w:r>
            <w:r>
              <w:rPr>
                <w:rFonts w:ascii="新細明體" w:eastAsia="新細明體" w:hAnsi="新細明體" w:cs="新細明體" w:hint="eastAsia"/>
              </w:rPr>
              <w:lastRenderedPageBreak/>
              <w:t>關手續，應出具授權書為之，代理人當面辦理上開作業者，並應留存代理人印鑑卡或簽名樣式卡憑以辦理。但客戶取消委任授權時，得採足以確認申請人為本人及其意思表示之通信或電子化方式為之。</w:t>
            </w:r>
          </w:p>
        </w:tc>
        <w:tc>
          <w:tcPr>
            <w:tcW w:w="2023" w:type="dxa"/>
            <w:vMerge/>
            <w:tcBorders>
              <w:right w:val="single" w:sz="12" w:space="0" w:color="auto"/>
            </w:tcBorders>
          </w:tcPr>
          <w:p w14:paraId="5A915B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F44664" w14:textId="77777777">
        <w:tc>
          <w:tcPr>
            <w:tcW w:w="1384" w:type="dxa"/>
            <w:vMerge/>
            <w:tcBorders>
              <w:left w:val="single" w:sz="12" w:space="0" w:color="auto"/>
            </w:tcBorders>
          </w:tcPr>
          <w:p w14:paraId="39D7463B" w14:textId="77777777" w:rsidR="003B3105" w:rsidRDefault="003B3105" w:rsidP="001E533B">
            <w:pPr>
              <w:rPr>
                <w:rFonts w:ascii="新細明體" w:eastAsia="新細明體" w:hAnsi="新細明體"/>
              </w:rPr>
            </w:pPr>
          </w:p>
        </w:tc>
        <w:tc>
          <w:tcPr>
            <w:tcW w:w="1276" w:type="dxa"/>
            <w:vMerge/>
          </w:tcPr>
          <w:p w14:paraId="12AE281E" w14:textId="77777777" w:rsidR="003B3105" w:rsidRDefault="003B3105" w:rsidP="001E533B">
            <w:pPr>
              <w:rPr>
                <w:rFonts w:ascii="新細明體" w:eastAsia="新細明體" w:hAnsi="新細明體"/>
              </w:rPr>
            </w:pPr>
          </w:p>
        </w:tc>
        <w:tc>
          <w:tcPr>
            <w:tcW w:w="5386" w:type="dxa"/>
            <w:tcBorders>
              <w:top w:val="nil"/>
              <w:bottom w:val="nil"/>
            </w:tcBorders>
          </w:tcPr>
          <w:p w14:paraId="3E45C2D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受託買賣業務人員接受客戶當面委託時，委託人應為客戶本人或已出具委任授權書之合格代理人。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5387" w:type="dxa"/>
            <w:tcBorders>
              <w:top w:val="nil"/>
              <w:bottom w:val="nil"/>
            </w:tcBorders>
          </w:tcPr>
          <w:p w14:paraId="155097F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受託買賣業務人員接受客戶當面委託時，委託人應為客戶本人或已出具委任授權書之合格代理人。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2023" w:type="dxa"/>
            <w:vMerge/>
            <w:tcBorders>
              <w:right w:val="single" w:sz="12" w:space="0" w:color="auto"/>
            </w:tcBorders>
          </w:tcPr>
          <w:p w14:paraId="4FE17F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44E779" w14:textId="77777777">
        <w:tc>
          <w:tcPr>
            <w:tcW w:w="1384" w:type="dxa"/>
            <w:vMerge/>
            <w:tcBorders>
              <w:left w:val="single" w:sz="12" w:space="0" w:color="auto"/>
            </w:tcBorders>
          </w:tcPr>
          <w:p w14:paraId="6E3D27C4" w14:textId="77777777" w:rsidR="003B3105" w:rsidRDefault="003B3105" w:rsidP="001E533B">
            <w:pPr>
              <w:rPr>
                <w:rFonts w:ascii="新細明體" w:eastAsia="新細明體" w:hAnsi="新細明體"/>
              </w:rPr>
            </w:pPr>
          </w:p>
        </w:tc>
        <w:tc>
          <w:tcPr>
            <w:tcW w:w="1276" w:type="dxa"/>
            <w:vMerge/>
          </w:tcPr>
          <w:p w14:paraId="3B2B884F" w14:textId="77777777" w:rsidR="003B3105" w:rsidRDefault="003B3105" w:rsidP="001E533B">
            <w:pPr>
              <w:rPr>
                <w:rFonts w:ascii="新細明體" w:eastAsia="新細明體" w:hAnsi="新細明體"/>
              </w:rPr>
            </w:pPr>
          </w:p>
        </w:tc>
        <w:tc>
          <w:tcPr>
            <w:tcW w:w="5386" w:type="dxa"/>
            <w:tcBorders>
              <w:top w:val="nil"/>
              <w:bottom w:val="nil"/>
            </w:tcBorders>
          </w:tcPr>
          <w:p w14:paraId="10190D2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21.公司如提供客戶「一點開戶多點服務」作業，應依證交所104年5月14日臺證輔字第1040008533號函及105年11月30日臺證輔字第1050022488號函辦理，注意事項包括：</w:t>
            </w:r>
          </w:p>
        </w:tc>
        <w:tc>
          <w:tcPr>
            <w:tcW w:w="5387" w:type="dxa"/>
            <w:tcBorders>
              <w:top w:val="nil"/>
              <w:bottom w:val="nil"/>
            </w:tcBorders>
          </w:tcPr>
          <w:p w14:paraId="2C1A4B7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21.公司如提供客戶「一點開戶多點服務」作業，應依證交所104年5月14日臺證輔字第1040008533號函及105年11月30日臺證輔字第1050022488號函辦理，注意事項包括：</w:t>
            </w:r>
          </w:p>
        </w:tc>
        <w:tc>
          <w:tcPr>
            <w:tcW w:w="2023" w:type="dxa"/>
            <w:vMerge/>
            <w:tcBorders>
              <w:right w:val="single" w:sz="12" w:space="0" w:color="auto"/>
            </w:tcBorders>
          </w:tcPr>
          <w:p w14:paraId="07CDD3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B82F3" w14:textId="77777777">
        <w:tc>
          <w:tcPr>
            <w:tcW w:w="1384" w:type="dxa"/>
            <w:vMerge/>
            <w:tcBorders>
              <w:left w:val="single" w:sz="12" w:space="0" w:color="auto"/>
            </w:tcBorders>
          </w:tcPr>
          <w:p w14:paraId="3470FD47" w14:textId="77777777" w:rsidR="003B3105" w:rsidRDefault="003B3105" w:rsidP="001E533B">
            <w:pPr>
              <w:rPr>
                <w:rFonts w:ascii="新細明體" w:eastAsia="新細明體" w:hAnsi="新細明體"/>
              </w:rPr>
            </w:pPr>
          </w:p>
        </w:tc>
        <w:tc>
          <w:tcPr>
            <w:tcW w:w="1276" w:type="dxa"/>
            <w:vMerge/>
          </w:tcPr>
          <w:p w14:paraId="6DB14B0E" w14:textId="77777777" w:rsidR="003B3105" w:rsidRDefault="003B3105" w:rsidP="001E533B">
            <w:pPr>
              <w:rPr>
                <w:rFonts w:ascii="新細明體" w:eastAsia="新細明體" w:hAnsi="新細明體"/>
              </w:rPr>
            </w:pPr>
          </w:p>
        </w:tc>
        <w:tc>
          <w:tcPr>
            <w:tcW w:w="5386" w:type="dxa"/>
            <w:tcBorders>
              <w:top w:val="nil"/>
              <w:bottom w:val="nil"/>
            </w:tcBorders>
          </w:tcPr>
          <w:p w14:paraId="459956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(1)客戶得依其需求於公司所有總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委託下單，後續之交割作業仍由原受理開戶及徵信之總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辦理。</w:t>
            </w:r>
          </w:p>
        </w:tc>
        <w:tc>
          <w:tcPr>
            <w:tcW w:w="5387" w:type="dxa"/>
            <w:tcBorders>
              <w:top w:val="nil"/>
              <w:bottom w:val="nil"/>
            </w:tcBorders>
          </w:tcPr>
          <w:p w14:paraId="268984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(1)客戶得依其需求於公司所有總、分</w:t>
            </w:r>
            <w:r>
              <w:rPr>
                <w:rFonts w:ascii="新細明體" w:eastAsia="新細明體" w:hAnsi="新細明體" w:cs="新細明體" w:hint="eastAsia"/>
                <w:b/>
                <w:color w:val="FF0000"/>
              </w:rPr>
              <w:t>公司</w:t>
            </w:r>
            <w:r>
              <w:rPr>
                <w:rFonts w:ascii="新細明體" w:eastAsia="新細明體" w:hAnsi="新細明體" w:cs="新細明體" w:hint="eastAsia"/>
              </w:rPr>
              <w:t>委託下單，後續之交割作業仍由原受理開戶及徵信之總、分</w:t>
            </w:r>
            <w:r>
              <w:rPr>
                <w:rFonts w:ascii="新細明體" w:eastAsia="新細明體" w:hAnsi="新細明體" w:cs="新細明體" w:hint="eastAsia"/>
                <w:b/>
                <w:color w:val="FF0000"/>
              </w:rPr>
              <w:t>公司</w:t>
            </w:r>
            <w:r>
              <w:rPr>
                <w:rFonts w:ascii="新細明體" w:eastAsia="新細明體" w:hAnsi="新細明體" w:cs="新細明體" w:hint="eastAsia"/>
              </w:rPr>
              <w:t>辦理。</w:t>
            </w:r>
          </w:p>
        </w:tc>
        <w:tc>
          <w:tcPr>
            <w:tcW w:w="2023" w:type="dxa"/>
            <w:vMerge/>
            <w:tcBorders>
              <w:right w:val="single" w:sz="12" w:space="0" w:color="auto"/>
            </w:tcBorders>
          </w:tcPr>
          <w:p w14:paraId="04AB41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EC029E" w14:textId="77777777">
        <w:tc>
          <w:tcPr>
            <w:tcW w:w="1384" w:type="dxa"/>
            <w:vMerge/>
            <w:tcBorders>
              <w:left w:val="single" w:sz="12" w:space="0" w:color="auto"/>
            </w:tcBorders>
          </w:tcPr>
          <w:p w14:paraId="09AB63D2" w14:textId="77777777" w:rsidR="003B3105" w:rsidRDefault="003B3105" w:rsidP="001E533B">
            <w:pPr>
              <w:rPr>
                <w:rFonts w:ascii="新細明體" w:eastAsia="新細明體" w:hAnsi="新細明體"/>
              </w:rPr>
            </w:pPr>
          </w:p>
        </w:tc>
        <w:tc>
          <w:tcPr>
            <w:tcW w:w="1276" w:type="dxa"/>
            <w:vMerge/>
          </w:tcPr>
          <w:p w14:paraId="0F2123F8" w14:textId="77777777" w:rsidR="003B3105" w:rsidRDefault="003B3105" w:rsidP="001E533B">
            <w:pPr>
              <w:rPr>
                <w:rFonts w:ascii="新細明體" w:eastAsia="新細明體" w:hAnsi="新細明體"/>
              </w:rPr>
            </w:pPr>
          </w:p>
        </w:tc>
        <w:tc>
          <w:tcPr>
            <w:tcW w:w="5386" w:type="dxa"/>
            <w:tcBorders>
              <w:top w:val="nil"/>
              <w:bottom w:val="nil"/>
            </w:tcBorders>
          </w:tcPr>
          <w:p w14:paraId="056D88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(2)公司之總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受理客戶跨點臨櫃或電話委託下單時，應經總公司檢核該客戶之委託未超過原受理開戶總</w:t>
            </w:r>
            <w:r>
              <w:rPr>
                <w:rFonts w:ascii="新細明體" w:eastAsia="新細明體" w:hAnsi="新細明體" w:cs="新細明體" w:hint="eastAsia"/>
                <w:b/>
                <w:color w:val="FF0000"/>
                <w:u w:val="single"/>
              </w:rPr>
              <w:lastRenderedPageBreak/>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所評核之單日受託買買額度，始得接受客戶下單。</w:t>
            </w:r>
          </w:p>
        </w:tc>
        <w:tc>
          <w:tcPr>
            <w:tcW w:w="5387" w:type="dxa"/>
            <w:tcBorders>
              <w:top w:val="nil"/>
              <w:bottom w:val="nil"/>
            </w:tcBorders>
          </w:tcPr>
          <w:p w14:paraId="56262B0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(2)公司之總、分</w:t>
            </w:r>
            <w:r>
              <w:rPr>
                <w:rFonts w:ascii="新細明體" w:eastAsia="新細明體" w:hAnsi="新細明體" w:cs="新細明體" w:hint="eastAsia"/>
                <w:b/>
                <w:color w:val="FF0000"/>
              </w:rPr>
              <w:t>公司</w:t>
            </w:r>
            <w:r>
              <w:rPr>
                <w:rFonts w:ascii="新細明體" w:eastAsia="新細明體" w:hAnsi="新細明體" w:cs="新細明體" w:hint="eastAsia"/>
              </w:rPr>
              <w:t>受理客戶跨點臨櫃或電話委託下單時，應經總公司檢核該客戶之委託未超過原受理開戶總、分</w:t>
            </w:r>
            <w:r>
              <w:rPr>
                <w:rFonts w:ascii="新細明體" w:eastAsia="新細明體" w:hAnsi="新細明體" w:cs="新細明體" w:hint="eastAsia"/>
                <w:b/>
                <w:color w:val="FF0000"/>
              </w:rPr>
              <w:t>公司</w:t>
            </w:r>
            <w:r>
              <w:rPr>
                <w:rFonts w:ascii="新細明體" w:eastAsia="新細明體" w:hAnsi="新細明體" w:cs="新細明體" w:hint="eastAsia"/>
              </w:rPr>
              <w:lastRenderedPageBreak/>
              <w:t>所評核之單日受託買買額度，始得接受客戶下單。</w:t>
            </w:r>
          </w:p>
        </w:tc>
        <w:tc>
          <w:tcPr>
            <w:tcW w:w="2023" w:type="dxa"/>
            <w:vMerge/>
            <w:tcBorders>
              <w:right w:val="single" w:sz="12" w:space="0" w:color="auto"/>
            </w:tcBorders>
          </w:tcPr>
          <w:p w14:paraId="114D0C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D02954" w14:textId="77777777">
        <w:tc>
          <w:tcPr>
            <w:tcW w:w="1384" w:type="dxa"/>
            <w:vMerge/>
            <w:tcBorders>
              <w:left w:val="single" w:sz="12" w:space="0" w:color="auto"/>
            </w:tcBorders>
          </w:tcPr>
          <w:p w14:paraId="202D42F7" w14:textId="77777777" w:rsidR="003B3105" w:rsidRDefault="003B3105" w:rsidP="001E533B">
            <w:pPr>
              <w:rPr>
                <w:rFonts w:ascii="新細明體" w:eastAsia="新細明體" w:hAnsi="新細明體"/>
              </w:rPr>
            </w:pPr>
          </w:p>
        </w:tc>
        <w:tc>
          <w:tcPr>
            <w:tcW w:w="1276" w:type="dxa"/>
            <w:vMerge/>
          </w:tcPr>
          <w:p w14:paraId="036EAFDD" w14:textId="77777777" w:rsidR="003B3105" w:rsidRDefault="003B3105" w:rsidP="001E533B">
            <w:pPr>
              <w:rPr>
                <w:rFonts w:ascii="新細明體" w:eastAsia="新細明體" w:hAnsi="新細明體"/>
              </w:rPr>
            </w:pPr>
          </w:p>
        </w:tc>
        <w:tc>
          <w:tcPr>
            <w:tcW w:w="5386" w:type="dxa"/>
            <w:tcBorders>
              <w:top w:val="nil"/>
              <w:bottom w:val="nil"/>
            </w:tcBorders>
          </w:tcPr>
          <w:p w14:paraId="485D52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(3)公司如已建置客戶基本資料之共同開戶平台，訂定相關開戶作業程序、分層授權機制及內部控制制度，並保存變更紀錄軌跡等，可受理客戶於開戶完成後，依客戶需求於公司所有總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申辦後續有關開立信用戶、信用戶續約、開立財富管理帳戶、有價證券借貸交易帳戶、借貸款項帳戶等所有涉及證券業務之交易帳戶、基本資料變更及銷戶等服務。</w:t>
            </w:r>
          </w:p>
        </w:tc>
        <w:tc>
          <w:tcPr>
            <w:tcW w:w="5387" w:type="dxa"/>
            <w:tcBorders>
              <w:top w:val="nil"/>
              <w:bottom w:val="nil"/>
            </w:tcBorders>
          </w:tcPr>
          <w:p w14:paraId="3F295E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(3)公司如已建置客戶基本資料之共同開戶平台，訂定相關開戶作業程序、分層授權機制及內部控制制度，並保存變更紀錄軌跡等，可受理客戶於開戶完成後，依客戶需求於公司所有總、分</w:t>
            </w:r>
            <w:r>
              <w:rPr>
                <w:rFonts w:ascii="新細明體" w:eastAsia="新細明體" w:hAnsi="新細明體" w:cs="新細明體" w:hint="eastAsia"/>
                <w:b/>
                <w:color w:val="FF0000"/>
              </w:rPr>
              <w:t>公司</w:t>
            </w:r>
            <w:r>
              <w:rPr>
                <w:rFonts w:ascii="新細明體" w:eastAsia="新細明體" w:hAnsi="新細明體" w:cs="新細明體" w:hint="eastAsia"/>
              </w:rPr>
              <w:t>申辦後續有關開立信用戶、信用戶續約、開立財富管理帳戶、有價證券借貸交易帳戶、借貸款項帳戶等所有涉及證券業務之交易帳戶、基本資料變更及銷戶等服務。</w:t>
            </w:r>
          </w:p>
        </w:tc>
        <w:tc>
          <w:tcPr>
            <w:tcW w:w="2023" w:type="dxa"/>
            <w:vMerge/>
            <w:tcBorders>
              <w:right w:val="single" w:sz="12" w:space="0" w:color="auto"/>
            </w:tcBorders>
          </w:tcPr>
          <w:p w14:paraId="311975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1B0677" w14:textId="77777777">
        <w:tc>
          <w:tcPr>
            <w:tcW w:w="1384" w:type="dxa"/>
            <w:vMerge/>
            <w:tcBorders>
              <w:left w:val="single" w:sz="12" w:space="0" w:color="auto"/>
            </w:tcBorders>
          </w:tcPr>
          <w:p w14:paraId="24CE3AC2" w14:textId="77777777" w:rsidR="003B3105" w:rsidRDefault="003B3105" w:rsidP="001E533B">
            <w:pPr>
              <w:rPr>
                <w:rFonts w:ascii="新細明體" w:eastAsia="新細明體" w:hAnsi="新細明體"/>
              </w:rPr>
            </w:pPr>
          </w:p>
        </w:tc>
        <w:tc>
          <w:tcPr>
            <w:tcW w:w="1276" w:type="dxa"/>
            <w:vMerge/>
          </w:tcPr>
          <w:p w14:paraId="16B0E3A5" w14:textId="77777777" w:rsidR="003B3105" w:rsidRDefault="003B3105" w:rsidP="001E533B">
            <w:pPr>
              <w:rPr>
                <w:rFonts w:ascii="新細明體" w:eastAsia="新細明體" w:hAnsi="新細明體"/>
              </w:rPr>
            </w:pPr>
          </w:p>
        </w:tc>
        <w:tc>
          <w:tcPr>
            <w:tcW w:w="5386" w:type="dxa"/>
            <w:tcBorders>
              <w:top w:val="nil"/>
              <w:bottom w:val="nil"/>
            </w:tcBorders>
          </w:tcPr>
          <w:p w14:paraId="1B19E92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22.公司受託辦理定期定額買賣有價證券，應依「證券商受託辦理定期定額買賣有價證券作業辦法」規定辦理。</w:t>
            </w:r>
          </w:p>
        </w:tc>
        <w:tc>
          <w:tcPr>
            <w:tcW w:w="5387" w:type="dxa"/>
            <w:tcBorders>
              <w:top w:val="nil"/>
              <w:bottom w:val="nil"/>
            </w:tcBorders>
          </w:tcPr>
          <w:p w14:paraId="4C11C66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22.公司受託辦理定期定額買賣有價證券，應依「證券商受託辦理定期定額買賣有價證券作業辦法」規定辦理。</w:t>
            </w:r>
          </w:p>
        </w:tc>
        <w:tc>
          <w:tcPr>
            <w:tcW w:w="2023" w:type="dxa"/>
            <w:vMerge/>
            <w:tcBorders>
              <w:right w:val="single" w:sz="12" w:space="0" w:color="auto"/>
            </w:tcBorders>
          </w:tcPr>
          <w:p w14:paraId="60F4F2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52B6E0" w14:textId="77777777">
        <w:tc>
          <w:tcPr>
            <w:tcW w:w="1384" w:type="dxa"/>
            <w:vMerge/>
            <w:tcBorders>
              <w:left w:val="single" w:sz="12" w:space="0" w:color="auto"/>
            </w:tcBorders>
          </w:tcPr>
          <w:p w14:paraId="17D3D74E" w14:textId="77777777" w:rsidR="003B3105" w:rsidRDefault="003B3105" w:rsidP="001E533B">
            <w:pPr>
              <w:rPr>
                <w:rFonts w:ascii="新細明體" w:eastAsia="新細明體" w:hAnsi="新細明體"/>
              </w:rPr>
            </w:pPr>
          </w:p>
        </w:tc>
        <w:tc>
          <w:tcPr>
            <w:tcW w:w="1276" w:type="dxa"/>
            <w:vMerge/>
          </w:tcPr>
          <w:p w14:paraId="34F7772C" w14:textId="77777777" w:rsidR="003B3105" w:rsidRDefault="003B3105" w:rsidP="001E533B">
            <w:pPr>
              <w:rPr>
                <w:rFonts w:ascii="新細明體" w:eastAsia="新細明體" w:hAnsi="新細明體"/>
              </w:rPr>
            </w:pPr>
          </w:p>
        </w:tc>
        <w:tc>
          <w:tcPr>
            <w:tcW w:w="5386" w:type="dxa"/>
            <w:tcBorders>
              <w:top w:val="nil"/>
              <w:bottom w:val="nil"/>
            </w:tcBorders>
          </w:tcPr>
          <w:p w14:paraId="14A3906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23.公司經營經紀業務且與證交所或櫃檯買賣中心簽訂主機共置服務契約者，應依「主機共置服務管理辦法」規定辦理，使用該服務前，應自訂使用規則並於公司內部控制制度制定適當之控管機制及查核程序(包含但不限於下列項目)。</w:t>
            </w:r>
          </w:p>
        </w:tc>
        <w:tc>
          <w:tcPr>
            <w:tcW w:w="5387" w:type="dxa"/>
            <w:tcBorders>
              <w:top w:val="nil"/>
              <w:bottom w:val="nil"/>
            </w:tcBorders>
          </w:tcPr>
          <w:p w14:paraId="61E87D5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23.公司經營經紀業務且與證交所或櫃檯買賣中心簽訂主機共置服務契約者，應依「主機共置服務管理辦法」規定辦理，使用該服務前，應自訂使用規則並於公司內部控制制度制定適當之控管機制及查核程序(包含但不限於下列項目)。</w:t>
            </w:r>
          </w:p>
        </w:tc>
        <w:tc>
          <w:tcPr>
            <w:tcW w:w="2023" w:type="dxa"/>
            <w:vMerge/>
            <w:tcBorders>
              <w:right w:val="single" w:sz="12" w:space="0" w:color="auto"/>
            </w:tcBorders>
          </w:tcPr>
          <w:p w14:paraId="2F1D40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904785" w14:textId="77777777">
        <w:tc>
          <w:tcPr>
            <w:tcW w:w="1384" w:type="dxa"/>
            <w:vMerge/>
            <w:tcBorders>
              <w:left w:val="single" w:sz="12" w:space="0" w:color="auto"/>
            </w:tcBorders>
          </w:tcPr>
          <w:p w14:paraId="503E731C" w14:textId="77777777" w:rsidR="003B3105" w:rsidRDefault="003B3105" w:rsidP="001E533B">
            <w:pPr>
              <w:rPr>
                <w:rFonts w:ascii="新細明體" w:eastAsia="新細明體" w:hAnsi="新細明體"/>
              </w:rPr>
            </w:pPr>
          </w:p>
        </w:tc>
        <w:tc>
          <w:tcPr>
            <w:tcW w:w="1276" w:type="dxa"/>
            <w:vMerge/>
          </w:tcPr>
          <w:p w14:paraId="06D2DACF" w14:textId="77777777" w:rsidR="003B3105" w:rsidRDefault="003B3105" w:rsidP="001E533B">
            <w:pPr>
              <w:rPr>
                <w:rFonts w:ascii="新細明體" w:eastAsia="新細明體" w:hAnsi="新細明體"/>
              </w:rPr>
            </w:pPr>
          </w:p>
        </w:tc>
        <w:tc>
          <w:tcPr>
            <w:tcW w:w="5386" w:type="dxa"/>
            <w:tcBorders>
              <w:top w:val="nil"/>
              <w:bottom w:val="nil"/>
            </w:tcBorders>
          </w:tcPr>
          <w:p w14:paraId="6220DE4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(1)使用規則不得專為特定人之利益訂定，且應注意其合理性。</w:t>
            </w:r>
          </w:p>
        </w:tc>
        <w:tc>
          <w:tcPr>
            <w:tcW w:w="5387" w:type="dxa"/>
            <w:tcBorders>
              <w:top w:val="nil"/>
              <w:bottom w:val="nil"/>
            </w:tcBorders>
          </w:tcPr>
          <w:p w14:paraId="21FD75D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(1)使用規則不得專為特定人之利益訂定，且應注意其合理性。</w:t>
            </w:r>
          </w:p>
        </w:tc>
        <w:tc>
          <w:tcPr>
            <w:tcW w:w="2023" w:type="dxa"/>
            <w:vMerge/>
            <w:tcBorders>
              <w:right w:val="single" w:sz="12" w:space="0" w:color="auto"/>
            </w:tcBorders>
          </w:tcPr>
          <w:p w14:paraId="139F47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0EB894" w14:textId="77777777">
        <w:tc>
          <w:tcPr>
            <w:tcW w:w="1384" w:type="dxa"/>
            <w:vMerge/>
            <w:tcBorders>
              <w:left w:val="single" w:sz="12" w:space="0" w:color="auto"/>
            </w:tcBorders>
          </w:tcPr>
          <w:p w14:paraId="1A14B10E" w14:textId="77777777" w:rsidR="003B3105" w:rsidRDefault="003B3105" w:rsidP="001E533B">
            <w:pPr>
              <w:rPr>
                <w:rFonts w:ascii="新細明體" w:eastAsia="新細明體" w:hAnsi="新細明體"/>
              </w:rPr>
            </w:pPr>
          </w:p>
        </w:tc>
        <w:tc>
          <w:tcPr>
            <w:tcW w:w="1276" w:type="dxa"/>
            <w:vMerge/>
          </w:tcPr>
          <w:p w14:paraId="26D9239B" w14:textId="77777777" w:rsidR="003B3105" w:rsidRDefault="003B3105" w:rsidP="001E533B">
            <w:pPr>
              <w:rPr>
                <w:rFonts w:ascii="新細明體" w:eastAsia="新細明體" w:hAnsi="新細明體"/>
              </w:rPr>
            </w:pPr>
          </w:p>
        </w:tc>
        <w:tc>
          <w:tcPr>
            <w:tcW w:w="5386" w:type="dxa"/>
            <w:tcBorders>
              <w:top w:val="nil"/>
              <w:bottom w:val="nil"/>
            </w:tcBorders>
          </w:tcPr>
          <w:p w14:paraId="7337A9A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(2)使用規則至少應包含下列事項：</w:t>
            </w:r>
          </w:p>
        </w:tc>
        <w:tc>
          <w:tcPr>
            <w:tcW w:w="5387" w:type="dxa"/>
            <w:tcBorders>
              <w:top w:val="nil"/>
              <w:bottom w:val="nil"/>
            </w:tcBorders>
          </w:tcPr>
          <w:p w14:paraId="39745C4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(2)使用規則至少應包含下列事項：</w:t>
            </w:r>
          </w:p>
        </w:tc>
        <w:tc>
          <w:tcPr>
            <w:tcW w:w="2023" w:type="dxa"/>
            <w:vMerge/>
            <w:tcBorders>
              <w:right w:val="single" w:sz="12" w:space="0" w:color="auto"/>
            </w:tcBorders>
          </w:tcPr>
          <w:p w14:paraId="400536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62BAA5" w14:textId="77777777">
        <w:tc>
          <w:tcPr>
            <w:tcW w:w="1384" w:type="dxa"/>
            <w:vMerge/>
            <w:tcBorders>
              <w:left w:val="single" w:sz="12" w:space="0" w:color="auto"/>
            </w:tcBorders>
          </w:tcPr>
          <w:p w14:paraId="06CBCEAD" w14:textId="77777777" w:rsidR="003B3105" w:rsidRDefault="003B3105" w:rsidP="001E533B">
            <w:pPr>
              <w:rPr>
                <w:rFonts w:ascii="新細明體" w:eastAsia="新細明體" w:hAnsi="新細明體"/>
              </w:rPr>
            </w:pPr>
          </w:p>
        </w:tc>
        <w:tc>
          <w:tcPr>
            <w:tcW w:w="1276" w:type="dxa"/>
            <w:vMerge/>
          </w:tcPr>
          <w:p w14:paraId="53C46C35" w14:textId="77777777" w:rsidR="003B3105" w:rsidRDefault="003B3105" w:rsidP="001E533B">
            <w:pPr>
              <w:rPr>
                <w:rFonts w:ascii="新細明體" w:eastAsia="新細明體" w:hAnsi="新細明體"/>
              </w:rPr>
            </w:pPr>
          </w:p>
        </w:tc>
        <w:tc>
          <w:tcPr>
            <w:tcW w:w="5386" w:type="dxa"/>
            <w:tcBorders>
              <w:top w:val="nil"/>
              <w:bottom w:val="nil"/>
            </w:tcBorders>
          </w:tcPr>
          <w:p w14:paraId="3178114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A.明訂投資人可使用本服務之資格，前述資格得考量公司營運規模、客戶結構及客戶貢獻度等因</w:t>
            </w:r>
            <w:r>
              <w:rPr>
                <w:rFonts w:ascii="新細明體" w:eastAsia="新細明體" w:hAnsi="新細明體" w:cs="新細明體" w:hint="eastAsia"/>
              </w:rPr>
              <w:lastRenderedPageBreak/>
              <w:t>素。</w:t>
            </w:r>
          </w:p>
        </w:tc>
        <w:tc>
          <w:tcPr>
            <w:tcW w:w="5387" w:type="dxa"/>
            <w:tcBorders>
              <w:top w:val="nil"/>
              <w:bottom w:val="nil"/>
            </w:tcBorders>
          </w:tcPr>
          <w:p w14:paraId="663BE3C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A.明訂投資人可使用本服務之資格，前述資格得考量公司營運規模、客戶結構及客戶貢獻度等因</w:t>
            </w:r>
            <w:r>
              <w:rPr>
                <w:rFonts w:ascii="新細明體" w:eastAsia="新細明體" w:hAnsi="新細明體" w:cs="新細明體" w:hint="eastAsia"/>
              </w:rPr>
              <w:lastRenderedPageBreak/>
              <w:t>素。</w:t>
            </w:r>
          </w:p>
        </w:tc>
        <w:tc>
          <w:tcPr>
            <w:tcW w:w="2023" w:type="dxa"/>
            <w:vMerge/>
            <w:tcBorders>
              <w:right w:val="single" w:sz="12" w:space="0" w:color="auto"/>
            </w:tcBorders>
          </w:tcPr>
          <w:p w14:paraId="229F17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2DA87C" w14:textId="77777777">
        <w:tc>
          <w:tcPr>
            <w:tcW w:w="1384" w:type="dxa"/>
            <w:vMerge/>
            <w:tcBorders>
              <w:left w:val="single" w:sz="12" w:space="0" w:color="auto"/>
            </w:tcBorders>
          </w:tcPr>
          <w:p w14:paraId="029F2B7B" w14:textId="77777777" w:rsidR="003B3105" w:rsidRDefault="003B3105" w:rsidP="001E533B">
            <w:pPr>
              <w:rPr>
                <w:rFonts w:ascii="新細明體" w:eastAsia="新細明體" w:hAnsi="新細明體"/>
              </w:rPr>
            </w:pPr>
          </w:p>
        </w:tc>
        <w:tc>
          <w:tcPr>
            <w:tcW w:w="1276" w:type="dxa"/>
            <w:vMerge/>
          </w:tcPr>
          <w:p w14:paraId="2F53B180" w14:textId="77777777" w:rsidR="003B3105" w:rsidRDefault="003B3105" w:rsidP="001E533B">
            <w:pPr>
              <w:rPr>
                <w:rFonts w:ascii="新細明體" w:eastAsia="新細明體" w:hAnsi="新細明體"/>
              </w:rPr>
            </w:pPr>
          </w:p>
        </w:tc>
        <w:tc>
          <w:tcPr>
            <w:tcW w:w="5386" w:type="dxa"/>
            <w:tcBorders>
              <w:top w:val="nil"/>
              <w:bottom w:val="nil"/>
            </w:tcBorders>
          </w:tcPr>
          <w:p w14:paraId="38CD4E9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B.通知符合使用資格之投資人得申請或使用本服務，並留存相關紀錄。</w:t>
            </w:r>
          </w:p>
        </w:tc>
        <w:tc>
          <w:tcPr>
            <w:tcW w:w="5387" w:type="dxa"/>
            <w:tcBorders>
              <w:top w:val="nil"/>
              <w:bottom w:val="nil"/>
            </w:tcBorders>
          </w:tcPr>
          <w:p w14:paraId="374D1EE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B.通知符合使用資格之投資人得申請或使用本服務，並留存相關紀錄。</w:t>
            </w:r>
          </w:p>
        </w:tc>
        <w:tc>
          <w:tcPr>
            <w:tcW w:w="2023" w:type="dxa"/>
            <w:vMerge/>
            <w:tcBorders>
              <w:right w:val="single" w:sz="12" w:space="0" w:color="auto"/>
            </w:tcBorders>
          </w:tcPr>
          <w:p w14:paraId="24A807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2B594D" w14:textId="77777777">
        <w:tc>
          <w:tcPr>
            <w:tcW w:w="1384" w:type="dxa"/>
            <w:vMerge/>
            <w:tcBorders>
              <w:left w:val="single" w:sz="12" w:space="0" w:color="auto"/>
            </w:tcBorders>
          </w:tcPr>
          <w:p w14:paraId="3BA572C4" w14:textId="77777777" w:rsidR="003B3105" w:rsidRDefault="003B3105" w:rsidP="001E533B">
            <w:pPr>
              <w:rPr>
                <w:rFonts w:ascii="新細明體" w:eastAsia="新細明體" w:hAnsi="新細明體"/>
              </w:rPr>
            </w:pPr>
          </w:p>
        </w:tc>
        <w:tc>
          <w:tcPr>
            <w:tcW w:w="1276" w:type="dxa"/>
            <w:vMerge/>
          </w:tcPr>
          <w:p w14:paraId="55309B40" w14:textId="77777777" w:rsidR="003B3105" w:rsidRDefault="003B3105" w:rsidP="001E533B">
            <w:pPr>
              <w:rPr>
                <w:rFonts w:ascii="新細明體" w:eastAsia="新細明體" w:hAnsi="新細明體"/>
              </w:rPr>
            </w:pPr>
          </w:p>
        </w:tc>
        <w:tc>
          <w:tcPr>
            <w:tcW w:w="5386" w:type="dxa"/>
            <w:tcBorders>
              <w:top w:val="nil"/>
              <w:bottom w:val="nil"/>
            </w:tcBorders>
          </w:tcPr>
          <w:p w14:paraId="44C0BC1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C.至少每半年定期檢視一次符合使用資格的投資人名單，並留存紀錄。</w:t>
            </w:r>
          </w:p>
        </w:tc>
        <w:tc>
          <w:tcPr>
            <w:tcW w:w="5387" w:type="dxa"/>
            <w:tcBorders>
              <w:top w:val="nil"/>
              <w:bottom w:val="nil"/>
            </w:tcBorders>
          </w:tcPr>
          <w:p w14:paraId="30FDAAE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C.至少每半年定期檢視一次符合使用資格的投資人名單，並留存紀錄。</w:t>
            </w:r>
          </w:p>
        </w:tc>
        <w:tc>
          <w:tcPr>
            <w:tcW w:w="2023" w:type="dxa"/>
            <w:vMerge/>
            <w:tcBorders>
              <w:right w:val="single" w:sz="12" w:space="0" w:color="auto"/>
            </w:tcBorders>
          </w:tcPr>
          <w:p w14:paraId="0E916DB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D3F53B" w14:textId="77777777">
        <w:tc>
          <w:tcPr>
            <w:tcW w:w="1384" w:type="dxa"/>
            <w:vMerge/>
            <w:tcBorders>
              <w:left w:val="single" w:sz="12" w:space="0" w:color="auto"/>
            </w:tcBorders>
          </w:tcPr>
          <w:p w14:paraId="260DCBEC" w14:textId="77777777" w:rsidR="003B3105" w:rsidRDefault="003B3105" w:rsidP="001E533B">
            <w:pPr>
              <w:rPr>
                <w:rFonts w:ascii="新細明體" w:eastAsia="新細明體" w:hAnsi="新細明體"/>
              </w:rPr>
            </w:pPr>
          </w:p>
        </w:tc>
        <w:tc>
          <w:tcPr>
            <w:tcW w:w="1276" w:type="dxa"/>
            <w:vMerge/>
          </w:tcPr>
          <w:p w14:paraId="7A54D467" w14:textId="77777777" w:rsidR="003B3105" w:rsidRDefault="003B3105" w:rsidP="001E533B">
            <w:pPr>
              <w:rPr>
                <w:rFonts w:ascii="新細明體" w:eastAsia="新細明體" w:hAnsi="新細明體"/>
              </w:rPr>
            </w:pPr>
          </w:p>
        </w:tc>
        <w:tc>
          <w:tcPr>
            <w:tcW w:w="5386" w:type="dxa"/>
            <w:tcBorders>
              <w:top w:val="nil"/>
              <w:bottom w:val="nil"/>
            </w:tcBorders>
          </w:tcPr>
          <w:p w14:paraId="2365720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(3)公司應依前述使用規則落實執行且留存紀錄。</w:t>
            </w:r>
          </w:p>
        </w:tc>
        <w:tc>
          <w:tcPr>
            <w:tcW w:w="5387" w:type="dxa"/>
            <w:tcBorders>
              <w:top w:val="nil"/>
              <w:bottom w:val="nil"/>
            </w:tcBorders>
          </w:tcPr>
          <w:p w14:paraId="05D50F4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(3)公司應依前述使用規則落實執行且留存紀錄。</w:t>
            </w:r>
          </w:p>
        </w:tc>
        <w:tc>
          <w:tcPr>
            <w:tcW w:w="2023" w:type="dxa"/>
            <w:vMerge/>
            <w:tcBorders>
              <w:right w:val="single" w:sz="12" w:space="0" w:color="auto"/>
            </w:tcBorders>
          </w:tcPr>
          <w:p w14:paraId="59B8C7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618721" w14:textId="77777777">
        <w:tc>
          <w:tcPr>
            <w:tcW w:w="1384" w:type="dxa"/>
            <w:vMerge/>
            <w:tcBorders>
              <w:left w:val="single" w:sz="12" w:space="0" w:color="auto"/>
            </w:tcBorders>
          </w:tcPr>
          <w:p w14:paraId="7E73A229" w14:textId="77777777" w:rsidR="003B3105" w:rsidRDefault="003B3105" w:rsidP="001E533B">
            <w:pPr>
              <w:rPr>
                <w:rFonts w:ascii="新細明體" w:eastAsia="新細明體" w:hAnsi="新細明體"/>
              </w:rPr>
            </w:pPr>
          </w:p>
        </w:tc>
        <w:tc>
          <w:tcPr>
            <w:tcW w:w="1276" w:type="dxa"/>
            <w:vMerge/>
          </w:tcPr>
          <w:p w14:paraId="3520F4E8" w14:textId="77777777" w:rsidR="003B3105" w:rsidRDefault="003B3105" w:rsidP="001E533B">
            <w:pPr>
              <w:rPr>
                <w:rFonts w:ascii="新細明體" w:eastAsia="新細明體" w:hAnsi="新細明體"/>
              </w:rPr>
            </w:pPr>
          </w:p>
        </w:tc>
        <w:tc>
          <w:tcPr>
            <w:tcW w:w="5386" w:type="dxa"/>
            <w:tcBorders>
              <w:top w:val="nil"/>
              <w:bottom w:val="nil"/>
            </w:tcBorders>
          </w:tcPr>
          <w:p w14:paraId="4C60456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24.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5387" w:type="dxa"/>
            <w:tcBorders>
              <w:top w:val="nil"/>
              <w:bottom w:val="nil"/>
            </w:tcBorders>
          </w:tcPr>
          <w:p w14:paraId="2453EB3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24.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2023" w:type="dxa"/>
            <w:vMerge/>
            <w:tcBorders>
              <w:right w:val="single" w:sz="12" w:space="0" w:color="auto"/>
            </w:tcBorders>
          </w:tcPr>
          <w:p w14:paraId="42748D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BD2ABC" w14:textId="77777777">
        <w:tc>
          <w:tcPr>
            <w:tcW w:w="1384" w:type="dxa"/>
            <w:vMerge/>
            <w:tcBorders>
              <w:left w:val="single" w:sz="12" w:space="0" w:color="auto"/>
            </w:tcBorders>
          </w:tcPr>
          <w:p w14:paraId="1489C73F" w14:textId="77777777" w:rsidR="003B3105" w:rsidRDefault="003B3105" w:rsidP="001E533B">
            <w:pPr>
              <w:rPr>
                <w:rFonts w:ascii="新細明體" w:eastAsia="新細明體" w:hAnsi="新細明體"/>
              </w:rPr>
            </w:pPr>
          </w:p>
        </w:tc>
        <w:tc>
          <w:tcPr>
            <w:tcW w:w="1276" w:type="dxa"/>
            <w:vMerge/>
          </w:tcPr>
          <w:p w14:paraId="04AD6F97" w14:textId="77777777" w:rsidR="003B3105" w:rsidRDefault="003B3105" w:rsidP="001E533B">
            <w:pPr>
              <w:rPr>
                <w:rFonts w:ascii="新細明體" w:eastAsia="新細明體" w:hAnsi="新細明體"/>
              </w:rPr>
            </w:pPr>
          </w:p>
        </w:tc>
        <w:tc>
          <w:tcPr>
            <w:tcW w:w="5386" w:type="dxa"/>
            <w:tcBorders>
              <w:top w:val="nil"/>
              <w:bottom w:val="nil"/>
            </w:tcBorders>
          </w:tcPr>
          <w:p w14:paraId="0C9EB41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25.為強化投資人違約風險控管，依證交所110年9月10日臺證輔字第1100018043號函規定，自110年10月12日起，公司應對違約投資人實施下列管理措施：</w:t>
            </w:r>
          </w:p>
        </w:tc>
        <w:tc>
          <w:tcPr>
            <w:tcW w:w="5387" w:type="dxa"/>
            <w:tcBorders>
              <w:top w:val="nil"/>
              <w:bottom w:val="nil"/>
            </w:tcBorders>
          </w:tcPr>
          <w:p w14:paraId="3F6EE39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25.為強化投資人違約風險控管，依證交所110年9月10日臺證輔字第1100018043號函規定，自110年10月12日起，公司應對違約投資人實施下列管理措施：</w:t>
            </w:r>
          </w:p>
        </w:tc>
        <w:tc>
          <w:tcPr>
            <w:tcW w:w="2023" w:type="dxa"/>
            <w:vMerge/>
            <w:tcBorders>
              <w:right w:val="single" w:sz="12" w:space="0" w:color="auto"/>
            </w:tcBorders>
          </w:tcPr>
          <w:p w14:paraId="1C1D01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93B40A" w14:textId="77777777">
        <w:tc>
          <w:tcPr>
            <w:tcW w:w="1384" w:type="dxa"/>
            <w:vMerge/>
            <w:tcBorders>
              <w:left w:val="single" w:sz="12" w:space="0" w:color="auto"/>
            </w:tcBorders>
          </w:tcPr>
          <w:p w14:paraId="371D22D3" w14:textId="77777777" w:rsidR="003B3105" w:rsidRDefault="003B3105" w:rsidP="001E533B">
            <w:pPr>
              <w:rPr>
                <w:rFonts w:ascii="新細明體" w:eastAsia="新細明體" w:hAnsi="新細明體"/>
              </w:rPr>
            </w:pPr>
          </w:p>
        </w:tc>
        <w:tc>
          <w:tcPr>
            <w:tcW w:w="1276" w:type="dxa"/>
            <w:vMerge/>
          </w:tcPr>
          <w:p w14:paraId="73CDB8CA" w14:textId="77777777" w:rsidR="003B3105" w:rsidRDefault="003B3105" w:rsidP="001E533B">
            <w:pPr>
              <w:rPr>
                <w:rFonts w:ascii="新細明體" w:eastAsia="新細明體" w:hAnsi="新細明體"/>
              </w:rPr>
            </w:pPr>
          </w:p>
        </w:tc>
        <w:tc>
          <w:tcPr>
            <w:tcW w:w="5386" w:type="dxa"/>
            <w:tcBorders>
              <w:top w:val="nil"/>
              <w:bottom w:val="nil"/>
            </w:tcBorders>
          </w:tcPr>
          <w:p w14:paraId="363709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5387" w:type="dxa"/>
            <w:tcBorders>
              <w:top w:val="nil"/>
              <w:bottom w:val="nil"/>
            </w:tcBorders>
          </w:tcPr>
          <w:p w14:paraId="787FF76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2023" w:type="dxa"/>
            <w:vMerge/>
            <w:tcBorders>
              <w:right w:val="single" w:sz="12" w:space="0" w:color="auto"/>
            </w:tcBorders>
          </w:tcPr>
          <w:p w14:paraId="604232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665F84" w14:textId="77777777">
        <w:tc>
          <w:tcPr>
            <w:tcW w:w="1384" w:type="dxa"/>
            <w:vMerge/>
            <w:tcBorders>
              <w:left w:val="single" w:sz="12" w:space="0" w:color="auto"/>
            </w:tcBorders>
          </w:tcPr>
          <w:p w14:paraId="4B6EC6B0" w14:textId="77777777" w:rsidR="003B3105" w:rsidRDefault="003B3105" w:rsidP="001E533B">
            <w:pPr>
              <w:rPr>
                <w:rFonts w:ascii="新細明體" w:eastAsia="新細明體" w:hAnsi="新細明體"/>
              </w:rPr>
            </w:pPr>
          </w:p>
        </w:tc>
        <w:tc>
          <w:tcPr>
            <w:tcW w:w="1276" w:type="dxa"/>
            <w:vMerge/>
          </w:tcPr>
          <w:p w14:paraId="73C92CB8" w14:textId="77777777" w:rsidR="003B3105" w:rsidRDefault="003B3105" w:rsidP="001E533B">
            <w:pPr>
              <w:rPr>
                <w:rFonts w:ascii="新細明體" w:eastAsia="新細明體" w:hAnsi="新細明體"/>
              </w:rPr>
            </w:pPr>
          </w:p>
        </w:tc>
        <w:tc>
          <w:tcPr>
            <w:tcW w:w="5386" w:type="dxa"/>
            <w:tcBorders>
              <w:top w:val="nil"/>
              <w:bottom w:val="nil"/>
            </w:tcBorders>
          </w:tcPr>
          <w:p w14:paraId="07C5866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(2)投資人再次發生違約距前次違約時間</w:t>
            </w:r>
            <w:r>
              <w:rPr>
                <w:rFonts w:ascii="新細明體" w:eastAsia="新細明體" w:hAnsi="新細明體" w:cs="新細明體" w:hint="eastAsia"/>
              </w:rPr>
              <w:lastRenderedPageBreak/>
              <w:t>尚在 1年內，公司自接獲證交所每日上午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5387" w:type="dxa"/>
            <w:tcBorders>
              <w:top w:val="nil"/>
              <w:bottom w:val="nil"/>
            </w:tcBorders>
          </w:tcPr>
          <w:p w14:paraId="3FC2FFE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(2)投資人再次發生違約距前次違約時間</w:t>
            </w:r>
            <w:r>
              <w:rPr>
                <w:rFonts w:ascii="新細明體" w:eastAsia="新細明體" w:hAnsi="新細明體" w:cs="新細明體" w:hint="eastAsia"/>
              </w:rPr>
              <w:lastRenderedPageBreak/>
              <w:t>尚在 1年內，公司自接獲證交所每日上午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2023" w:type="dxa"/>
            <w:vMerge/>
            <w:tcBorders>
              <w:right w:val="single" w:sz="12" w:space="0" w:color="auto"/>
            </w:tcBorders>
          </w:tcPr>
          <w:p w14:paraId="36E027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BC6F4D" w14:textId="77777777">
        <w:tc>
          <w:tcPr>
            <w:tcW w:w="1384" w:type="dxa"/>
            <w:vMerge/>
            <w:tcBorders>
              <w:left w:val="single" w:sz="12" w:space="0" w:color="auto"/>
            </w:tcBorders>
          </w:tcPr>
          <w:p w14:paraId="026B2C10" w14:textId="77777777" w:rsidR="003B3105" w:rsidRDefault="003B3105" w:rsidP="001E533B">
            <w:pPr>
              <w:rPr>
                <w:rFonts w:ascii="新細明體" w:eastAsia="新細明體" w:hAnsi="新細明體"/>
              </w:rPr>
            </w:pPr>
          </w:p>
        </w:tc>
        <w:tc>
          <w:tcPr>
            <w:tcW w:w="1276" w:type="dxa"/>
            <w:vMerge/>
          </w:tcPr>
          <w:p w14:paraId="648624DF" w14:textId="77777777" w:rsidR="003B3105" w:rsidRDefault="003B3105" w:rsidP="001E533B">
            <w:pPr>
              <w:rPr>
                <w:rFonts w:ascii="新細明體" w:eastAsia="新細明體" w:hAnsi="新細明體"/>
              </w:rPr>
            </w:pPr>
          </w:p>
        </w:tc>
        <w:tc>
          <w:tcPr>
            <w:tcW w:w="5386" w:type="dxa"/>
            <w:tcBorders>
              <w:top w:val="nil"/>
              <w:bottom w:val="nil"/>
            </w:tcBorders>
          </w:tcPr>
          <w:p w14:paraId="09416EA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26.公司接受證券投資顧問事業（下稱投顧事業）之委託由自動化投資顧問服務系統自動為客戶執行再平衡交易，應落實下列控管機制：</w:t>
            </w:r>
          </w:p>
        </w:tc>
        <w:tc>
          <w:tcPr>
            <w:tcW w:w="5387" w:type="dxa"/>
            <w:tcBorders>
              <w:top w:val="nil"/>
              <w:bottom w:val="nil"/>
            </w:tcBorders>
          </w:tcPr>
          <w:p w14:paraId="2E3F063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26.公司接受證券投資顧問事業（下稱投顧事業）之委託由自動化投資顧問服務系統自動為客戶執行再平衡交易，應落實下列控管機制：</w:t>
            </w:r>
          </w:p>
        </w:tc>
        <w:tc>
          <w:tcPr>
            <w:tcW w:w="2023" w:type="dxa"/>
            <w:vMerge/>
            <w:tcBorders>
              <w:right w:val="single" w:sz="12" w:space="0" w:color="auto"/>
            </w:tcBorders>
          </w:tcPr>
          <w:p w14:paraId="42DF18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E72965" w14:textId="77777777">
        <w:tc>
          <w:tcPr>
            <w:tcW w:w="1384" w:type="dxa"/>
            <w:vMerge/>
            <w:tcBorders>
              <w:left w:val="single" w:sz="12" w:space="0" w:color="auto"/>
            </w:tcBorders>
          </w:tcPr>
          <w:p w14:paraId="6F068D4D" w14:textId="77777777" w:rsidR="003B3105" w:rsidRDefault="003B3105" w:rsidP="001E533B">
            <w:pPr>
              <w:rPr>
                <w:rFonts w:ascii="新細明體" w:eastAsia="新細明體" w:hAnsi="新細明體"/>
              </w:rPr>
            </w:pPr>
          </w:p>
        </w:tc>
        <w:tc>
          <w:tcPr>
            <w:tcW w:w="1276" w:type="dxa"/>
            <w:vMerge/>
          </w:tcPr>
          <w:p w14:paraId="6967A2E1" w14:textId="77777777" w:rsidR="003B3105" w:rsidRDefault="003B3105" w:rsidP="001E533B">
            <w:pPr>
              <w:rPr>
                <w:rFonts w:ascii="新細明體" w:eastAsia="新細明體" w:hAnsi="新細明體"/>
              </w:rPr>
            </w:pPr>
          </w:p>
        </w:tc>
        <w:tc>
          <w:tcPr>
            <w:tcW w:w="5386" w:type="dxa"/>
            <w:tcBorders>
              <w:top w:val="nil"/>
              <w:bottom w:val="nil"/>
            </w:tcBorders>
          </w:tcPr>
          <w:p w14:paraId="47E07E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(1)實際執行方式：</w:t>
            </w:r>
          </w:p>
        </w:tc>
        <w:tc>
          <w:tcPr>
            <w:tcW w:w="5387" w:type="dxa"/>
            <w:tcBorders>
              <w:top w:val="nil"/>
              <w:bottom w:val="nil"/>
            </w:tcBorders>
          </w:tcPr>
          <w:p w14:paraId="0A6BBD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(1)實際執行方式：</w:t>
            </w:r>
          </w:p>
        </w:tc>
        <w:tc>
          <w:tcPr>
            <w:tcW w:w="2023" w:type="dxa"/>
            <w:vMerge/>
            <w:tcBorders>
              <w:right w:val="single" w:sz="12" w:space="0" w:color="auto"/>
            </w:tcBorders>
          </w:tcPr>
          <w:p w14:paraId="624B2C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5EECF6" w14:textId="77777777">
        <w:tc>
          <w:tcPr>
            <w:tcW w:w="1384" w:type="dxa"/>
            <w:vMerge/>
            <w:tcBorders>
              <w:left w:val="single" w:sz="12" w:space="0" w:color="auto"/>
            </w:tcBorders>
          </w:tcPr>
          <w:p w14:paraId="572C0CFD" w14:textId="77777777" w:rsidR="003B3105" w:rsidRDefault="003B3105" w:rsidP="001E533B">
            <w:pPr>
              <w:rPr>
                <w:rFonts w:ascii="新細明體" w:eastAsia="新細明體" w:hAnsi="新細明體"/>
              </w:rPr>
            </w:pPr>
          </w:p>
        </w:tc>
        <w:tc>
          <w:tcPr>
            <w:tcW w:w="1276" w:type="dxa"/>
            <w:vMerge/>
          </w:tcPr>
          <w:p w14:paraId="4FFB2525" w14:textId="77777777" w:rsidR="003B3105" w:rsidRDefault="003B3105" w:rsidP="001E533B">
            <w:pPr>
              <w:rPr>
                <w:rFonts w:ascii="新細明體" w:eastAsia="新細明體" w:hAnsi="新細明體"/>
              </w:rPr>
            </w:pPr>
          </w:p>
        </w:tc>
        <w:tc>
          <w:tcPr>
            <w:tcW w:w="5386" w:type="dxa"/>
            <w:tcBorders>
              <w:top w:val="nil"/>
              <w:bottom w:val="nil"/>
            </w:tcBorders>
          </w:tcPr>
          <w:p w14:paraId="70CCD11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A.本項業務作業流程（註：請公司自訂）。</w:t>
            </w:r>
          </w:p>
        </w:tc>
        <w:tc>
          <w:tcPr>
            <w:tcW w:w="5387" w:type="dxa"/>
            <w:tcBorders>
              <w:top w:val="nil"/>
              <w:bottom w:val="nil"/>
            </w:tcBorders>
          </w:tcPr>
          <w:p w14:paraId="7C7F02C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A.本項業務作業流程（註：請公司自訂）。</w:t>
            </w:r>
          </w:p>
        </w:tc>
        <w:tc>
          <w:tcPr>
            <w:tcW w:w="2023" w:type="dxa"/>
            <w:vMerge/>
            <w:tcBorders>
              <w:right w:val="single" w:sz="12" w:space="0" w:color="auto"/>
            </w:tcBorders>
          </w:tcPr>
          <w:p w14:paraId="2F9969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A8564E" w14:textId="77777777">
        <w:tc>
          <w:tcPr>
            <w:tcW w:w="1384" w:type="dxa"/>
            <w:vMerge/>
            <w:tcBorders>
              <w:left w:val="single" w:sz="12" w:space="0" w:color="auto"/>
            </w:tcBorders>
          </w:tcPr>
          <w:p w14:paraId="73B574C7" w14:textId="77777777" w:rsidR="003B3105" w:rsidRDefault="003B3105" w:rsidP="001E533B">
            <w:pPr>
              <w:rPr>
                <w:rFonts w:ascii="新細明體" w:eastAsia="新細明體" w:hAnsi="新細明體"/>
              </w:rPr>
            </w:pPr>
          </w:p>
        </w:tc>
        <w:tc>
          <w:tcPr>
            <w:tcW w:w="1276" w:type="dxa"/>
            <w:vMerge/>
          </w:tcPr>
          <w:p w14:paraId="134DE737" w14:textId="77777777" w:rsidR="003B3105" w:rsidRDefault="003B3105" w:rsidP="001E533B">
            <w:pPr>
              <w:rPr>
                <w:rFonts w:ascii="新細明體" w:eastAsia="新細明體" w:hAnsi="新細明體"/>
              </w:rPr>
            </w:pPr>
          </w:p>
        </w:tc>
        <w:tc>
          <w:tcPr>
            <w:tcW w:w="5386" w:type="dxa"/>
            <w:tcBorders>
              <w:top w:val="nil"/>
              <w:bottom w:val="nil"/>
            </w:tcBorders>
          </w:tcPr>
          <w:p w14:paraId="2EABD24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B.公司接受委託前，應事先與投顧事業確認客戶服務狀態（如是否終止服務）、帳務資料、可投資標的範圍。</w:t>
            </w:r>
          </w:p>
        </w:tc>
        <w:tc>
          <w:tcPr>
            <w:tcW w:w="5387" w:type="dxa"/>
            <w:tcBorders>
              <w:top w:val="nil"/>
              <w:bottom w:val="nil"/>
            </w:tcBorders>
          </w:tcPr>
          <w:p w14:paraId="10AE57C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B.公司接受委託前，應事先與投顧事業確認客戶服務狀態（如是否終止服務）、帳務資料、可投資標的範圍。</w:t>
            </w:r>
          </w:p>
        </w:tc>
        <w:tc>
          <w:tcPr>
            <w:tcW w:w="2023" w:type="dxa"/>
            <w:vMerge/>
            <w:tcBorders>
              <w:right w:val="single" w:sz="12" w:space="0" w:color="auto"/>
            </w:tcBorders>
          </w:tcPr>
          <w:p w14:paraId="0B69C4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91A884" w14:textId="77777777">
        <w:tc>
          <w:tcPr>
            <w:tcW w:w="1384" w:type="dxa"/>
            <w:vMerge/>
            <w:tcBorders>
              <w:left w:val="single" w:sz="12" w:space="0" w:color="auto"/>
            </w:tcBorders>
          </w:tcPr>
          <w:p w14:paraId="1C03F309" w14:textId="77777777" w:rsidR="003B3105" w:rsidRDefault="003B3105" w:rsidP="001E533B">
            <w:pPr>
              <w:rPr>
                <w:rFonts w:ascii="新細明體" w:eastAsia="新細明體" w:hAnsi="新細明體"/>
              </w:rPr>
            </w:pPr>
          </w:p>
        </w:tc>
        <w:tc>
          <w:tcPr>
            <w:tcW w:w="1276" w:type="dxa"/>
            <w:vMerge/>
          </w:tcPr>
          <w:p w14:paraId="5E8F6E1E" w14:textId="77777777" w:rsidR="003B3105" w:rsidRDefault="003B3105" w:rsidP="001E533B">
            <w:pPr>
              <w:rPr>
                <w:rFonts w:ascii="新細明體" w:eastAsia="新細明體" w:hAnsi="新細明體"/>
              </w:rPr>
            </w:pPr>
          </w:p>
        </w:tc>
        <w:tc>
          <w:tcPr>
            <w:tcW w:w="5386" w:type="dxa"/>
            <w:tcBorders>
              <w:top w:val="nil"/>
              <w:bottom w:val="nil"/>
            </w:tcBorders>
          </w:tcPr>
          <w:p w14:paraId="3F806A8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C.公司與投顧事業應就再平衡交易委託內容建立檢核控管機制，交易指示應以加密方式傳輸，於驗證電子式交易身分並確認委託內容無誤後，始得執行交易。</w:t>
            </w:r>
          </w:p>
        </w:tc>
        <w:tc>
          <w:tcPr>
            <w:tcW w:w="5387" w:type="dxa"/>
            <w:tcBorders>
              <w:top w:val="nil"/>
              <w:bottom w:val="nil"/>
            </w:tcBorders>
          </w:tcPr>
          <w:p w14:paraId="3C83EA5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C.公司與投顧事業應就再平衡交易委託內容建立檢核控管機制，交易指示應以加密方式傳輸，於驗證電子式交易身分並確認委託內容無誤後，始得執行交易。</w:t>
            </w:r>
          </w:p>
        </w:tc>
        <w:tc>
          <w:tcPr>
            <w:tcW w:w="2023" w:type="dxa"/>
            <w:vMerge/>
            <w:tcBorders>
              <w:right w:val="single" w:sz="12" w:space="0" w:color="auto"/>
            </w:tcBorders>
          </w:tcPr>
          <w:p w14:paraId="2BC25D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ED6A57" w14:textId="77777777">
        <w:tc>
          <w:tcPr>
            <w:tcW w:w="1384" w:type="dxa"/>
            <w:vMerge/>
            <w:tcBorders>
              <w:left w:val="single" w:sz="12" w:space="0" w:color="auto"/>
            </w:tcBorders>
          </w:tcPr>
          <w:p w14:paraId="20FABFE6" w14:textId="77777777" w:rsidR="003B3105" w:rsidRDefault="003B3105" w:rsidP="001E533B">
            <w:pPr>
              <w:rPr>
                <w:rFonts w:ascii="新細明體" w:eastAsia="新細明體" w:hAnsi="新細明體"/>
              </w:rPr>
            </w:pPr>
          </w:p>
        </w:tc>
        <w:tc>
          <w:tcPr>
            <w:tcW w:w="1276" w:type="dxa"/>
            <w:vMerge/>
          </w:tcPr>
          <w:p w14:paraId="4EA09C44" w14:textId="77777777" w:rsidR="003B3105" w:rsidRDefault="003B3105" w:rsidP="001E533B">
            <w:pPr>
              <w:rPr>
                <w:rFonts w:ascii="新細明體" w:eastAsia="新細明體" w:hAnsi="新細明體"/>
              </w:rPr>
            </w:pPr>
          </w:p>
        </w:tc>
        <w:tc>
          <w:tcPr>
            <w:tcW w:w="5386" w:type="dxa"/>
            <w:tcBorders>
              <w:top w:val="nil"/>
              <w:bottom w:val="nil"/>
            </w:tcBorders>
          </w:tcPr>
          <w:p w14:paraId="0297C20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D.委託方式僅得為普通交易、零股交易及盤後定價交易，不得為當日沖銷交易、信用交易及借券賣出。</w:t>
            </w:r>
          </w:p>
        </w:tc>
        <w:tc>
          <w:tcPr>
            <w:tcW w:w="5387" w:type="dxa"/>
            <w:tcBorders>
              <w:top w:val="nil"/>
              <w:bottom w:val="nil"/>
            </w:tcBorders>
          </w:tcPr>
          <w:p w14:paraId="12FA906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D.委託方式僅得為普通交易、零股交易及盤後定價交易，不得為當日沖銷交易、信用交易及借券賣出。</w:t>
            </w:r>
          </w:p>
        </w:tc>
        <w:tc>
          <w:tcPr>
            <w:tcW w:w="2023" w:type="dxa"/>
            <w:vMerge/>
            <w:tcBorders>
              <w:right w:val="single" w:sz="12" w:space="0" w:color="auto"/>
            </w:tcBorders>
          </w:tcPr>
          <w:p w14:paraId="3181C8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0DA2B4" w14:textId="77777777">
        <w:tc>
          <w:tcPr>
            <w:tcW w:w="1384" w:type="dxa"/>
            <w:vMerge/>
            <w:tcBorders>
              <w:left w:val="single" w:sz="12" w:space="0" w:color="auto"/>
            </w:tcBorders>
          </w:tcPr>
          <w:p w14:paraId="611572EE" w14:textId="77777777" w:rsidR="003B3105" w:rsidRDefault="003B3105" w:rsidP="001E533B">
            <w:pPr>
              <w:rPr>
                <w:rFonts w:ascii="新細明體" w:eastAsia="新細明體" w:hAnsi="新細明體"/>
              </w:rPr>
            </w:pPr>
          </w:p>
        </w:tc>
        <w:tc>
          <w:tcPr>
            <w:tcW w:w="1276" w:type="dxa"/>
            <w:vMerge/>
          </w:tcPr>
          <w:p w14:paraId="0EE700D0" w14:textId="77777777" w:rsidR="003B3105" w:rsidRDefault="003B3105" w:rsidP="001E533B">
            <w:pPr>
              <w:rPr>
                <w:rFonts w:ascii="新細明體" w:eastAsia="新細明體" w:hAnsi="新細明體"/>
              </w:rPr>
            </w:pPr>
          </w:p>
        </w:tc>
        <w:tc>
          <w:tcPr>
            <w:tcW w:w="5386" w:type="dxa"/>
            <w:tcBorders>
              <w:top w:val="nil"/>
              <w:bottom w:val="nil"/>
            </w:tcBorders>
          </w:tcPr>
          <w:p w14:paraId="4F16D1B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E.公司應要求投顧事業盡善良管理人之注意義務、如因故意或過失造成他人權利受侵害，或違反相關法律致他人受損害者，公司與投顧事業皆應負擔損害賠償責任。</w:t>
            </w:r>
          </w:p>
        </w:tc>
        <w:tc>
          <w:tcPr>
            <w:tcW w:w="5387" w:type="dxa"/>
            <w:tcBorders>
              <w:top w:val="nil"/>
              <w:bottom w:val="nil"/>
            </w:tcBorders>
          </w:tcPr>
          <w:p w14:paraId="3977AB5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E.公司應要求投顧事業盡善良管理人之注意義務、如因故意或過失造成他人權利受侵害，或違反相關法律致他人受損害者，公司與投顧事業皆應負擔損害賠償責任。</w:t>
            </w:r>
          </w:p>
        </w:tc>
        <w:tc>
          <w:tcPr>
            <w:tcW w:w="2023" w:type="dxa"/>
            <w:vMerge/>
            <w:tcBorders>
              <w:right w:val="single" w:sz="12" w:space="0" w:color="auto"/>
            </w:tcBorders>
          </w:tcPr>
          <w:p w14:paraId="3EF46D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D0FFF0" w14:textId="77777777">
        <w:tc>
          <w:tcPr>
            <w:tcW w:w="1384" w:type="dxa"/>
            <w:vMerge/>
            <w:tcBorders>
              <w:left w:val="single" w:sz="12" w:space="0" w:color="auto"/>
            </w:tcBorders>
          </w:tcPr>
          <w:p w14:paraId="2027AC2F" w14:textId="77777777" w:rsidR="003B3105" w:rsidRDefault="003B3105" w:rsidP="001E533B">
            <w:pPr>
              <w:rPr>
                <w:rFonts w:ascii="新細明體" w:eastAsia="新細明體" w:hAnsi="新細明體"/>
              </w:rPr>
            </w:pPr>
          </w:p>
        </w:tc>
        <w:tc>
          <w:tcPr>
            <w:tcW w:w="1276" w:type="dxa"/>
            <w:vMerge/>
          </w:tcPr>
          <w:p w14:paraId="2D0543EB" w14:textId="77777777" w:rsidR="003B3105" w:rsidRDefault="003B3105" w:rsidP="001E533B">
            <w:pPr>
              <w:rPr>
                <w:rFonts w:ascii="新細明體" w:eastAsia="新細明體" w:hAnsi="新細明體"/>
              </w:rPr>
            </w:pPr>
          </w:p>
        </w:tc>
        <w:tc>
          <w:tcPr>
            <w:tcW w:w="5386" w:type="dxa"/>
            <w:tcBorders>
              <w:top w:val="nil"/>
              <w:bottom w:val="nil"/>
            </w:tcBorders>
          </w:tcPr>
          <w:p w14:paraId="3E0B54B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(2)資訊安全：</w:t>
            </w:r>
          </w:p>
        </w:tc>
        <w:tc>
          <w:tcPr>
            <w:tcW w:w="5387" w:type="dxa"/>
            <w:tcBorders>
              <w:top w:val="nil"/>
              <w:bottom w:val="nil"/>
            </w:tcBorders>
          </w:tcPr>
          <w:p w14:paraId="53BE52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(2)資訊安全：</w:t>
            </w:r>
          </w:p>
        </w:tc>
        <w:tc>
          <w:tcPr>
            <w:tcW w:w="2023" w:type="dxa"/>
            <w:vMerge/>
            <w:tcBorders>
              <w:right w:val="single" w:sz="12" w:space="0" w:color="auto"/>
            </w:tcBorders>
          </w:tcPr>
          <w:p w14:paraId="477FB1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269B82" w14:textId="77777777">
        <w:tc>
          <w:tcPr>
            <w:tcW w:w="1384" w:type="dxa"/>
            <w:vMerge/>
            <w:tcBorders>
              <w:left w:val="single" w:sz="12" w:space="0" w:color="auto"/>
            </w:tcBorders>
          </w:tcPr>
          <w:p w14:paraId="54F760D8" w14:textId="77777777" w:rsidR="003B3105" w:rsidRDefault="003B3105" w:rsidP="001E533B">
            <w:pPr>
              <w:rPr>
                <w:rFonts w:ascii="新細明體" w:eastAsia="新細明體" w:hAnsi="新細明體"/>
              </w:rPr>
            </w:pPr>
          </w:p>
        </w:tc>
        <w:tc>
          <w:tcPr>
            <w:tcW w:w="1276" w:type="dxa"/>
            <w:vMerge/>
          </w:tcPr>
          <w:p w14:paraId="314B2353" w14:textId="77777777" w:rsidR="003B3105" w:rsidRDefault="003B3105" w:rsidP="001E533B">
            <w:pPr>
              <w:rPr>
                <w:rFonts w:ascii="新細明體" w:eastAsia="新細明體" w:hAnsi="新細明體"/>
              </w:rPr>
            </w:pPr>
          </w:p>
        </w:tc>
        <w:tc>
          <w:tcPr>
            <w:tcW w:w="5386" w:type="dxa"/>
            <w:tcBorders>
              <w:top w:val="nil"/>
              <w:bottom w:val="nil"/>
            </w:tcBorders>
          </w:tcPr>
          <w:p w14:paraId="2A96ED5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A.公司選擇合作之投顧事業，應盡合理之調查，確認其為合法登記之法人或組織，且不得經營非法之營業項目。</w:t>
            </w:r>
          </w:p>
        </w:tc>
        <w:tc>
          <w:tcPr>
            <w:tcW w:w="5387" w:type="dxa"/>
            <w:tcBorders>
              <w:top w:val="nil"/>
              <w:bottom w:val="nil"/>
            </w:tcBorders>
          </w:tcPr>
          <w:p w14:paraId="7B1CC3D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A.公司選擇合作之投顧事業，應盡合理之調查，確認其為合法登記之法人或組織，且不得經營非法之營業項目。</w:t>
            </w:r>
          </w:p>
        </w:tc>
        <w:tc>
          <w:tcPr>
            <w:tcW w:w="2023" w:type="dxa"/>
            <w:vMerge/>
            <w:tcBorders>
              <w:right w:val="single" w:sz="12" w:space="0" w:color="auto"/>
            </w:tcBorders>
          </w:tcPr>
          <w:p w14:paraId="19917A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40AAE7" w14:textId="77777777">
        <w:tc>
          <w:tcPr>
            <w:tcW w:w="1384" w:type="dxa"/>
            <w:vMerge/>
            <w:tcBorders>
              <w:left w:val="single" w:sz="12" w:space="0" w:color="auto"/>
            </w:tcBorders>
          </w:tcPr>
          <w:p w14:paraId="4D28C542" w14:textId="77777777" w:rsidR="003B3105" w:rsidRDefault="003B3105" w:rsidP="001E533B">
            <w:pPr>
              <w:rPr>
                <w:rFonts w:ascii="新細明體" w:eastAsia="新細明體" w:hAnsi="新細明體"/>
              </w:rPr>
            </w:pPr>
          </w:p>
        </w:tc>
        <w:tc>
          <w:tcPr>
            <w:tcW w:w="1276" w:type="dxa"/>
            <w:vMerge/>
          </w:tcPr>
          <w:p w14:paraId="302458B5" w14:textId="77777777" w:rsidR="003B3105" w:rsidRDefault="003B3105" w:rsidP="001E533B">
            <w:pPr>
              <w:rPr>
                <w:rFonts w:ascii="新細明體" w:eastAsia="新細明體" w:hAnsi="新細明體"/>
              </w:rPr>
            </w:pPr>
          </w:p>
        </w:tc>
        <w:tc>
          <w:tcPr>
            <w:tcW w:w="5386" w:type="dxa"/>
            <w:tcBorders>
              <w:top w:val="nil"/>
              <w:bottom w:val="nil"/>
            </w:tcBorders>
          </w:tcPr>
          <w:p w14:paraId="7D6BE88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應定期評估投顧事業資訊安全及個人保護等風險管理能力，並要求投顧事業，如發生資訊安全事件而有損及客戶權益之虞時，應主動、即時通知證券商及客戶，採取適當之因應措施以確保資訊安全，並確實執行。</w:t>
            </w:r>
          </w:p>
        </w:tc>
        <w:tc>
          <w:tcPr>
            <w:tcW w:w="5387" w:type="dxa"/>
            <w:tcBorders>
              <w:top w:val="nil"/>
              <w:bottom w:val="nil"/>
            </w:tcBorders>
          </w:tcPr>
          <w:p w14:paraId="2FC4558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應定期評估投顧事業資訊安全及個人保護等風險管理能力，並要求投顧事業，如發生資訊安全事件而有損及客戶權益之虞時，應主動、即時通知證券商及客戶，採取適當之因應措施以確保資訊安全，並確實執行。</w:t>
            </w:r>
          </w:p>
        </w:tc>
        <w:tc>
          <w:tcPr>
            <w:tcW w:w="2023" w:type="dxa"/>
            <w:vMerge/>
            <w:tcBorders>
              <w:right w:val="single" w:sz="12" w:space="0" w:color="auto"/>
            </w:tcBorders>
          </w:tcPr>
          <w:p w14:paraId="1A1268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9233B3" w14:textId="77777777">
        <w:tc>
          <w:tcPr>
            <w:tcW w:w="1384" w:type="dxa"/>
            <w:vMerge/>
            <w:tcBorders>
              <w:left w:val="single" w:sz="12" w:space="0" w:color="auto"/>
            </w:tcBorders>
          </w:tcPr>
          <w:p w14:paraId="7EE95208" w14:textId="77777777" w:rsidR="003B3105" w:rsidRDefault="003B3105" w:rsidP="001E533B">
            <w:pPr>
              <w:rPr>
                <w:rFonts w:ascii="新細明體" w:eastAsia="新細明體" w:hAnsi="新細明體"/>
              </w:rPr>
            </w:pPr>
          </w:p>
        </w:tc>
        <w:tc>
          <w:tcPr>
            <w:tcW w:w="1276" w:type="dxa"/>
            <w:vMerge/>
          </w:tcPr>
          <w:p w14:paraId="57FCEF3F" w14:textId="77777777" w:rsidR="003B3105" w:rsidRDefault="003B3105" w:rsidP="001E533B">
            <w:pPr>
              <w:rPr>
                <w:rFonts w:ascii="新細明體" w:eastAsia="新細明體" w:hAnsi="新細明體"/>
              </w:rPr>
            </w:pPr>
          </w:p>
        </w:tc>
        <w:tc>
          <w:tcPr>
            <w:tcW w:w="5386" w:type="dxa"/>
            <w:tcBorders>
              <w:top w:val="nil"/>
              <w:bottom w:val="nil"/>
            </w:tcBorders>
          </w:tcPr>
          <w:p w14:paraId="1D7324E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C.公司與投顧事業應定期就委託下單相關傳輸設定進行連線測試，並留存相關測試紀錄。</w:t>
            </w:r>
          </w:p>
        </w:tc>
        <w:tc>
          <w:tcPr>
            <w:tcW w:w="5387" w:type="dxa"/>
            <w:tcBorders>
              <w:top w:val="nil"/>
              <w:bottom w:val="nil"/>
            </w:tcBorders>
          </w:tcPr>
          <w:p w14:paraId="655C2DD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C.公司與投顧事業應定期就委託下單相關傳輸設定進行連線測試，並留存相關測試紀錄。</w:t>
            </w:r>
          </w:p>
        </w:tc>
        <w:tc>
          <w:tcPr>
            <w:tcW w:w="2023" w:type="dxa"/>
            <w:vMerge/>
            <w:tcBorders>
              <w:right w:val="single" w:sz="12" w:space="0" w:color="auto"/>
            </w:tcBorders>
          </w:tcPr>
          <w:p w14:paraId="1C56EB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7D968A" w14:textId="77777777">
        <w:tc>
          <w:tcPr>
            <w:tcW w:w="1384" w:type="dxa"/>
            <w:vMerge/>
            <w:tcBorders>
              <w:left w:val="single" w:sz="12" w:space="0" w:color="auto"/>
            </w:tcBorders>
          </w:tcPr>
          <w:p w14:paraId="7CD62CF8" w14:textId="77777777" w:rsidR="003B3105" w:rsidRDefault="003B3105" w:rsidP="001E533B">
            <w:pPr>
              <w:rPr>
                <w:rFonts w:ascii="新細明體" w:eastAsia="新細明體" w:hAnsi="新細明體"/>
              </w:rPr>
            </w:pPr>
          </w:p>
        </w:tc>
        <w:tc>
          <w:tcPr>
            <w:tcW w:w="1276" w:type="dxa"/>
            <w:vMerge/>
          </w:tcPr>
          <w:p w14:paraId="3F882938" w14:textId="77777777" w:rsidR="003B3105" w:rsidRDefault="003B3105" w:rsidP="001E533B">
            <w:pPr>
              <w:rPr>
                <w:rFonts w:ascii="新細明體" w:eastAsia="新細明體" w:hAnsi="新細明體"/>
              </w:rPr>
            </w:pPr>
          </w:p>
        </w:tc>
        <w:tc>
          <w:tcPr>
            <w:tcW w:w="5386" w:type="dxa"/>
            <w:tcBorders>
              <w:top w:val="nil"/>
              <w:bottom w:val="nil"/>
            </w:tcBorders>
          </w:tcPr>
          <w:p w14:paraId="65A21E6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D.公司應於官方網站設置專區揭露合作之投顧事業、合作之業務範圍及投顧事業之官方網站連結網址，並提供查詢之管道，供客戶查明確認，終止合作時，亦同。</w:t>
            </w:r>
          </w:p>
        </w:tc>
        <w:tc>
          <w:tcPr>
            <w:tcW w:w="5387" w:type="dxa"/>
            <w:tcBorders>
              <w:top w:val="nil"/>
              <w:bottom w:val="nil"/>
            </w:tcBorders>
          </w:tcPr>
          <w:p w14:paraId="17749C0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D.公司應於官方網站設置專區揭露合作之投顧事業、合作之業務範圍及投顧事業之官方網站連結網址，並提供查詢之管道，供客戶查明確認，終止合作時，亦同。</w:t>
            </w:r>
          </w:p>
        </w:tc>
        <w:tc>
          <w:tcPr>
            <w:tcW w:w="2023" w:type="dxa"/>
            <w:vMerge/>
            <w:tcBorders>
              <w:right w:val="single" w:sz="12" w:space="0" w:color="auto"/>
            </w:tcBorders>
          </w:tcPr>
          <w:p w14:paraId="6F9266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7F4C32" w14:textId="77777777">
        <w:tc>
          <w:tcPr>
            <w:tcW w:w="1384" w:type="dxa"/>
            <w:vMerge/>
            <w:tcBorders>
              <w:left w:val="single" w:sz="12" w:space="0" w:color="auto"/>
            </w:tcBorders>
          </w:tcPr>
          <w:p w14:paraId="13051975" w14:textId="77777777" w:rsidR="003B3105" w:rsidRDefault="003B3105" w:rsidP="001E533B">
            <w:pPr>
              <w:rPr>
                <w:rFonts w:ascii="新細明體" w:eastAsia="新細明體" w:hAnsi="新細明體"/>
              </w:rPr>
            </w:pPr>
          </w:p>
        </w:tc>
        <w:tc>
          <w:tcPr>
            <w:tcW w:w="1276" w:type="dxa"/>
            <w:vMerge/>
          </w:tcPr>
          <w:p w14:paraId="45AE5181" w14:textId="77777777" w:rsidR="003B3105" w:rsidRDefault="003B3105" w:rsidP="001E533B">
            <w:pPr>
              <w:rPr>
                <w:rFonts w:ascii="新細明體" w:eastAsia="新細明體" w:hAnsi="新細明體"/>
              </w:rPr>
            </w:pPr>
          </w:p>
        </w:tc>
        <w:tc>
          <w:tcPr>
            <w:tcW w:w="5386" w:type="dxa"/>
            <w:tcBorders>
              <w:top w:val="nil"/>
              <w:bottom w:val="nil"/>
            </w:tcBorders>
          </w:tcPr>
          <w:p w14:paraId="4B799DF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E.公司應於接受委託時驗證電子式</w:t>
            </w:r>
            <w:r>
              <w:rPr>
                <w:rFonts w:ascii="新細明體" w:eastAsia="新細明體" w:hAnsi="新細明體" w:cs="新細明體" w:hint="eastAsia"/>
              </w:rPr>
              <w:lastRenderedPageBreak/>
              <w:t>交易身分，並留存身分驗證、交易紀錄及稽核軌跡。</w:t>
            </w:r>
          </w:p>
        </w:tc>
        <w:tc>
          <w:tcPr>
            <w:tcW w:w="5387" w:type="dxa"/>
            <w:tcBorders>
              <w:top w:val="nil"/>
              <w:bottom w:val="nil"/>
            </w:tcBorders>
          </w:tcPr>
          <w:p w14:paraId="13AD563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E.公司應於接受委託時驗證電子式</w:t>
            </w:r>
            <w:r>
              <w:rPr>
                <w:rFonts w:ascii="新細明體" w:eastAsia="新細明體" w:hAnsi="新細明體" w:cs="新細明體" w:hint="eastAsia"/>
              </w:rPr>
              <w:lastRenderedPageBreak/>
              <w:t>交易身分，並留存身分驗證、交易紀錄及稽核軌跡。</w:t>
            </w:r>
          </w:p>
        </w:tc>
        <w:tc>
          <w:tcPr>
            <w:tcW w:w="2023" w:type="dxa"/>
            <w:vMerge/>
            <w:tcBorders>
              <w:right w:val="single" w:sz="12" w:space="0" w:color="auto"/>
            </w:tcBorders>
          </w:tcPr>
          <w:p w14:paraId="7BD019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E06EE3" w14:textId="77777777">
        <w:tc>
          <w:tcPr>
            <w:tcW w:w="1384" w:type="dxa"/>
            <w:vMerge/>
            <w:tcBorders>
              <w:left w:val="single" w:sz="12" w:space="0" w:color="auto"/>
            </w:tcBorders>
          </w:tcPr>
          <w:p w14:paraId="239B15DF" w14:textId="77777777" w:rsidR="003B3105" w:rsidRDefault="003B3105" w:rsidP="001E533B">
            <w:pPr>
              <w:rPr>
                <w:rFonts w:ascii="新細明體" w:eastAsia="新細明體" w:hAnsi="新細明體"/>
              </w:rPr>
            </w:pPr>
          </w:p>
        </w:tc>
        <w:tc>
          <w:tcPr>
            <w:tcW w:w="1276" w:type="dxa"/>
            <w:vMerge/>
          </w:tcPr>
          <w:p w14:paraId="0FA2E1A8" w14:textId="77777777" w:rsidR="003B3105" w:rsidRDefault="003B3105" w:rsidP="001E533B">
            <w:pPr>
              <w:rPr>
                <w:rFonts w:ascii="新細明體" w:eastAsia="新細明體" w:hAnsi="新細明體"/>
              </w:rPr>
            </w:pPr>
          </w:p>
        </w:tc>
        <w:tc>
          <w:tcPr>
            <w:tcW w:w="5386" w:type="dxa"/>
            <w:tcBorders>
              <w:top w:val="nil"/>
              <w:bottom w:val="nil"/>
            </w:tcBorders>
          </w:tcPr>
          <w:p w14:paraId="76B7B51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F.公司應落實「建立證券商資通安全檢查機制」。</w:t>
            </w:r>
          </w:p>
        </w:tc>
        <w:tc>
          <w:tcPr>
            <w:tcW w:w="5387" w:type="dxa"/>
            <w:tcBorders>
              <w:top w:val="nil"/>
              <w:bottom w:val="nil"/>
            </w:tcBorders>
          </w:tcPr>
          <w:p w14:paraId="00ABCD2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F.公司應落實「建立證券商資通安全檢查機制」。</w:t>
            </w:r>
          </w:p>
        </w:tc>
        <w:tc>
          <w:tcPr>
            <w:tcW w:w="2023" w:type="dxa"/>
            <w:vMerge/>
            <w:tcBorders>
              <w:right w:val="single" w:sz="12" w:space="0" w:color="auto"/>
            </w:tcBorders>
          </w:tcPr>
          <w:p w14:paraId="59EA7D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03B084" w14:textId="77777777">
        <w:tc>
          <w:tcPr>
            <w:tcW w:w="1384" w:type="dxa"/>
            <w:vMerge/>
            <w:tcBorders>
              <w:left w:val="single" w:sz="12" w:space="0" w:color="auto"/>
            </w:tcBorders>
          </w:tcPr>
          <w:p w14:paraId="240AAA6C" w14:textId="77777777" w:rsidR="003B3105" w:rsidRDefault="003B3105" w:rsidP="001E533B">
            <w:pPr>
              <w:rPr>
                <w:rFonts w:ascii="新細明體" w:eastAsia="新細明體" w:hAnsi="新細明體"/>
              </w:rPr>
            </w:pPr>
          </w:p>
        </w:tc>
        <w:tc>
          <w:tcPr>
            <w:tcW w:w="1276" w:type="dxa"/>
            <w:vMerge/>
          </w:tcPr>
          <w:p w14:paraId="4838AE4D" w14:textId="77777777" w:rsidR="003B3105" w:rsidRDefault="003B3105" w:rsidP="001E533B">
            <w:pPr>
              <w:rPr>
                <w:rFonts w:ascii="新細明體" w:eastAsia="新細明體" w:hAnsi="新細明體"/>
              </w:rPr>
            </w:pPr>
          </w:p>
        </w:tc>
        <w:tc>
          <w:tcPr>
            <w:tcW w:w="5386" w:type="dxa"/>
            <w:tcBorders>
              <w:top w:val="nil"/>
              <w:bottom w:val="nil"/>
            </w:tcBorders>
          </w:tcPr>
          <w:p w14:paraId="41839B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(3)權責劃分：</w:t>
            </w:r>
          </w:p>
        </w:tc>
        <w:tc>
          <w:tcPr>
            <w:tcW w:w="5387" w:type="dxa"/>
            <w:tcBorders>
              <w:top w:val="nil"/>
              <w:bottom w:val="nil"/>
            </w:tcBorders>
          </w:tcPr>
          <w:p w14:paraId="70E72F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(3)權責劃分：</w:t>
            </w:r>
          </w:p>
        </w:tc>
        <w:tc>
          <w:tcPr>
            <w:tcW w:w="2023" w:type="dxa"/>
            <w:vMerge/>
            <w:tcBorders>
              <w:right w:val="single" w:sz="12" w:space="0" w:color="auto"/>
            </w:tcBorders>
          </w:tcPr>
          <w:p w14:paraId="7020BD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5A5F2E" w14:textId="77777777">
        <w:tc>
          <w:tcPr>
            <w:tcW w:w="1384" w:type="dxa"/>
            <w:vMerge/>
            <w:tcBorders>
              <w:left w:val="single" w:sz="12" w:space="0" w:color="auto"/>
            </w:tcBorders>
          </w:tcPr>
          <w:p w14:paraId="2F978D99" w14:textId="77777777" w:rsidR="003B3105" w:rsidRDefault="003B3105" w:rsidP="001E533B">
            <w:pPr>
              <w:rPr>
                <w:rFonts w:ascii="新細明體" w:eastAsia="新細明體" w:hAnsi="新細明體"/>
              </w:rPr>
            </w:pPr>
          </w:p>
        </w:tc>
        <w:tc>
          <w:tcPr>
            <w:tcW w:w="1276" w:type="dxa"/>
            <w:vMerge/>
          </w:tcPr>
          <w:p w14:paraId="641FF1A9" w14:textId="77777777" w:rsidR="003B3105" w:rsidRDefault="003B3105" w:rsidP="001E533B">
            <w:pPr>
              <w:rPr>
                <w:rFonts w:ascii="新細明體" w:eastAsia="新細明體" w:hAnsi="新細明體"/>
              </w:rPr>
            </w:pPr>
          </w:p>
        </w:tc>
        <w:tc>
          <w:tcPr>
            <w:tcW w:w="5386" w:type="dxa"/>
            <w:tcBorders>
              <w:top w:val="nil"/>
              <w:bottom w:val="nil"/>
            </w:tcBorders>
          </w:tcPr>
          <w:p w14:paraId="3886BA6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A.公司應與客戶及投顧事業簽訂三方契約。</w:t>
            </w:r>
          </w:p>
        </w:tc>
        <w:tc>
          <w:tcPr>
            <w:tcW w:w="5387" w:type="dxa"/>
            <w:tcBorders>
              <w:top w:val="nil"/>
              <w:bottom w:val="nil"/>
            </w:tcBorders>
          </w:tcPr>
          <w:p w14:paraId="23A9213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A.公司應與客戶及投顧事業簽訂三方契約。</w:t>
            </w:r>
          </w:p>
        </w:tc>
        <w:tc>
          <w:tcPr>
            <w:tcW w:w="2023" w:type="dxa"/>
            <w:vMerge/>
            <w:tcBorders>
              <w:right w:val="single" w:sz="12" w:space="0" w:color="auto"/>
            </w:tcBorders>
          </w:tcPr>
          <w:p w14:paraId="2A6BE5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C67CED" w14:textId="77777777">
        <w:tc>
          <w:tcPr>
            <w:tcW w:w="1384" w:type="dxa"/>
            <w:vMerge/>
            <w:tcBorders>
              <w:left w:val="single" w:sz="12" w:space="0" w:color="auto"/>
            </w:tcBorders>
          </w:tcPr>
          <w:p w14:paraId="0E022C6C" w14:textId="77777777" w:rsidR="003B3105" w:rsidRDefault="003B3105" w:rsidP="001E533B">
            <w:pPr>
              <w:rPr>
                <w:rFonts w:ascii="新細明體" w:eastAsia="新細明體" w:hAnsi="新細明體"/>
              </w:rPr>
            </w:pPr>
          </w:p>
        </w:tc>
        <w:tc>
          <w:tcPr>
            <w:tcW w:w="1276" w:type="dxa"/>
            <w:vMerge/>
          </w:tcPr>
          <w:p w14:paraId="046EF45E" w14:textId="77777777" w:rsidR="003B3105" w:rsidRDefault="003B3105" w:rsidP="001E533B">
            <w:pPr>
              <w:rPr>
                <w:rFonts w:ascii="新細明體" w:eastAsia="新細明體" w:hAnsi="新細明體"/>
              </w:rPr>
            </w:pPr>
          </w:p>
        </w:tc>
        <w:tc>
          <w:tcPr>
            <w:tcW w:w="5386" w:type="dxa"/>
            <w:tcBorders>
              <w:top w:val="nil"/>
              <w:bottom w:val="nil"/>
            </w:tcBorders>
          </w:tcPr>
          <w:p w14:paraId="2FA1786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B.前開三方契約之範本，由中華民國證券投資信託暨顧問商業同業公會（下稱投信投顧公會）會同券商公會擬訂之，並應載明下列事項：</w:t>
            </w:r>
          </w:p>
        </w:tc>
        <w:tc>
          <w:tcPr>
            <w:tcW w:w="5387" w:type="dxa"/>
            <w:tcBorders>
              <w:top w:val="nil"/>
              <w:bottom w:val="nil"/>
            </w:tcBorders>
          </w:tcPr>
          <w:p w14:paraId="6095522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B.前開三方契約之範本，由中華民國證券投資信託暨顧問商業同業公會（下稱投信投顧公會）會同券商公會擬訂之，並應載明下列事項：</w:t>
            </w:r>
          </w:p>
        </w:tc>
        <w:tc>
          <w:tcPr>
            <w:tcW w:w="2023" w:type="dxa"/>
            <w:vMerge/>
            <w:tcBorders>
              <w:right w:val="single" w:sz="12" w:space="0" w:color="auto"/>
            </w:tcBorders>
          </w:tcPr>
          <w:p w14:paraId="5B7E4F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8AE044" w14:textId="77777777">
        <w:tc>
          <w:tcPr>
            <w:tcW w:w="1384" w:type="dxa"/>
            <w:vMerge/>
            <w:tcBorders>
              <w:left w:val="single" w:sz="12" w:space="0" w:color="auto"/>
            </w:tcBorders>
          </w:tcPr>
          <w:p w14:paraId="34B35376" w14:textId="77777777" w:rsidR="003B3105" w:rsidRDefault="003B3105" w:rsidP="001E533B">
            <w:pPr>
              <w:rPr>
                <w:rFonts w:ascii="新細明體" w:eastAsia="新細明體" w:hAnsi="新細明體"/>
              </w:rPr>
            </w:pPr>
          </w:p>
        </w:tc>
        <w:tc>
          <w:tcPr>
            <w:tcW w:w="1276" w:type="dxa"/>
            <w:vMerge/>
          </w:tcPr>
          <w:p w14:paraId="5E9594A8" w14:textId="77777777" w:rsidR="003B3105" w:rsidRDefault="003B3105" w:rsidP="001E533B">
            <w:pPr>
              <w:rPr>
                <w:rFonts w:ascii="新細明體" w:eastAsia="新細明體" w:hAnsi="新細明體"/>
              </w:rPr>
            </w:pPr>
          </w:p>
        </w:tc>
        <w:tc>
          <w:tcPr>
            <w:tcW w:w="5386" w:type="dxa"/>
            <w:tcBorders>
              <w:top w:val="nil"/>
              <w:bottom w:val="nil"/>
            </w:tcBorders>
          </w:tcPr>
          <w:p w14:paraId="2B74D31D"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(a).合約目的及服務範圍。</w:t>
            </w:r>
          </w:p>
        </w:tc>
        <w:tc>
          <w:tcPr>
            <w:tcW w:w="5387" w:type="dxa"/>
            <w:tcBorders>
              <w:top w:val="nil"/>
              <w:bottom w:val="nil"/>
            </w:tcBorders>
          </w:tcPr>
          <w:p w14:paraId="3BD3D075"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(a).合約目的及服務範圍。</w:t>
            </w:r>
          </w:p>
        </w:tc>
        <w:tc>
          <w:tcPr>
            <w:tcW w:w="2023" w:type="dxa"/>
            <w:vMerge/>
            <w:tcBorders>
              <w:right w:val="single" w:sz="12" w:space="0" w:color="auto"/>
            </w:tcBorders>
          </w:tcPr>
          <w:p w14:paraId="47F0F8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F1A9E3" w14:textId="77777777">
        <w:tc>
          <w:tcPr>
            <w:tcW w:w="1384" w:type="dxa"/>
            <w:vMerge/>
            <w:tcBorders>
              <w:left w:val="single" w:sz="12" w:space="0" w:color="auto"/>
            </w:tcBorders>
          </w:tcPr>
          <w:p w14:paraId="24CA3259" w14:textId="77777777" w:rsidR="003B3105" w:rsidRDefault="003B3105" w:rsidP="001E533B">
            <w:pPr>
              <w:rPr>
                <w:rFonts w:ascii="新細明體" w:eastAsia="新細明體" w:hAnsi="新細明體"/>
              </w:rPr>
            </w:pPr>
          </w:p>
        </w:tc>
        <w:tc>
          <w:tcPr>
            <w:tcW w:w="1276" w:type="dxa"/>
            <w:vMerge/>
          </w:tcPr>
          <w:p w14:paraId="7BFA4929" w14:textId="77777777" w:rsidR="003B3105" w:rsidRDefault="003B3105" w:rsidP="001E533B">
            <w:pPr>
              <w:rPr>
                <w:rFonts w:ascii="新細明體" w:eastAsia="新細明體" w:hAnsi="新細明體"/>
              </w:rPr>
            </w:pPr>
          </w:p>
        </w:tc>
        <w:tc>
          <w:tcPr>
            <w:tcW w:w="5386" w:type="dxa"/>
            <w:tcBorders>
              <w:top w:val="nil"/>
              <w:bottom w:val="nil"/>
            </w:tcBorders>
          </w:tcPr>
          <w:p w14:paraId="4BD5B004"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(b).投資約定方式及投資標的種類。</w:t>
            </w:r>
          </w:p>
        </w:tc>
        <w:tc>
          <w:tcPr>
            <w:tcW w:w="5387" w:type="dxa"/>
            <w:tcBorders>
              <w:top w:val="nil"/>
              <w:bottom w:val="nil"/>
            </w:tcBorders>
          </w:tcPr>
          <w:p w14:paraId="5FCE68A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(b).投資約定方式及投資標的種類。</w:t>
            </w:r>
          </w:p>
        </w:tc>
        <w:tc>
          <w:tcPr>
            <w:tcW w:w="2023" w:type="dxa"/>
            <w:vMerge/>
            <w:tcBorders>
              <w:right w:val="single" w:sz="12" w:space="0" w:color="auto"/>
            </w:tcBorders>
          </w:tcPr>
          <w:p w14:paraId="0C92FC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D22009" w14:textId="77777777">
        <w:tc>
          <w:tcPr>
            <w:tcW w:w="1384" w:type="dxa"/>
            <w:vMerge/>
            <w:tcBorders>
              <w:left w:val="single" w:sz="12" w:space="0" w:color="auto"/>
            </w:tcBorders>
          </w:tcPr>
          <w:p w14:paraId="3B0F52AA" w14:textId="77777777" w:rsidR="003B3105" w:rsidRDefault="003B3105" w:rsidP="001E533B">
            <w:pPr>
              <w:rPr>
                <w:rFonts w:ascii="新細明體" w:eastAsia="新細明體" w:hAnsi="新細明體"/>
              </w:rPr>
            </w:pPr>
          </w:p>
        </w:tc>
        <w:tc>
          <w:tcPr>
            <w:tcW w:w="1276" w:type="dxa"/>
            <w:vMerge/>
          </w:tcPr>
          <w:p w14:paraId="55E31E7F" w14:textId="77777777" w:rsidR="003B3105" w:rsidRDefault="003B3105" w:rsidP="001E533B">
            <w:pPr>
              <w:rPr>
                <w:rFonts w:ascii="新細明體" w:eastAsia="新細明體" w:hAnsi="新細明體"/>
              </w:rPr>
            </w:pPr>
          </w:p>
        </w:tc>
        <w:tc>
          <w:tcPr>
            <w:tcW w:w="5386" w:type="dxa"/>
            <w:tcBorders>
              <w:top w:val="nil"/>
              <w:bottom w:val="nil"/>
            </w:tcBorders>
          </w:tcPr>
          <w:p w14:paraId="0515C6B5"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(c).三方權利義務之責任歸屬與保密義務。</w:t>
            </w:r>
          </w:p>
        </w:tc>
        <w:tc>
          <w:tcPr>
            <w:tcW w:w="5387" w:type="dxa"/>
            <w:tcBorders>
              <w:top w:val="nil"/>
              <w:bottom w:val="nil"/>
            </w:tcBorders>
          </w:tcPr>
          <w:p w14:paraId="2F74B5B1"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(c).三方權利義務之責任歸屬與保密義務。</w:t>
            </w:r>
          </w:p>
        </w:tc>
        <w:tc>
          <w:tcPr>
            <w:tcW w:w="2023" w:type="dxa"/>
            <w:vMerge/>
            <w:tcBorders>
              <w:right w:val="single" w:sz="12" w:space="0" w:color="auto"/>
            </w:tcBorders>
          </w:tcPr>
          <w:p w14:paraId="2B6B1A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22D5A9" w14:textId="77777777">
        <w:tc>
          <w:tcPr>
            <w:tcW w:w="1384" w:type="dxa"/>
            <w:vMerge/>
            <w:tcBorders>
              <w:left w:val="single" w:sz="12" w:space="0" w:color="auto"/>
            </w:tcBorders>
          </w:tcPr>
          <w:p w14:paraId="0623DA88" w14:textId="77777777" w:rsidR="003B3105" w:rsidRDefault="003B3105" w:rsidP="001E533B">
            <w:pPr>
              <w:rPr>
                <w:rFonts w:ascii="新細明體" w:eastAsia="新細明體" w:hAnsi="新細明體"/>
              </w:rPr>
            </w:pPr>
          </w:p>
        </w:tc>
        <w:tc>
          <w:tcPr>
            <w:tcW w:w="1276" w:type="dxa"/>
            <w:vMerge/>
          </w:tcPr>
          <w:p w14:paraId="28833E0B" w14:textId="77777777" w:rsidR="003B3105" w:rsidRDefault="003B3105" w:rsidP="001E533B">
            <w:pPr>
              <w:rPr>
                <w:rFonts w:ascii="新細明體" w:eastAsia="新細明體" w:hAnsi="新細明體"/>
              </w:rPr>
            </w:pPr>
          </w:p>
        </w:tc>
        <w:tc>
          <w:tcPr>
            <w:tcW w:w="5386" w:type="dxa"/>
            <w:tcBorders>
              <w:top w:val="nil"/>
              <w:bottom w:val="nil"/>
            </w:tcBorders>
          </w:tcPr>
          <w:p w14:paraId="4DEFED09"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(d).客戶交易、帳戶庫存保護措施、風險預告及相關權益保障。</w:t>
            </w:r>
          </w:p>
        </w:tc>
        <w:tc>
          <w:tcPr>
            <w:tcW w:w="5387" w:type="dxa"/>
            <w:tcBorders>
              <w:top w:val="nil"/>
              <w:bottom w:val="nil"/>
            </w:tcBorders>
          </w:tcPr>
          <w:p w14:paraId="08653F39"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(d).客戶交易、帳戶庫存保護措施、風險預告及相關權益保障。</w:t>
            </w:r>
          </w:p>
        </w:tc>
        <w:tc>
          <w:tcPr>
            <w:tcW w:w="2023" w:type="dxa"/>
            <w:vMerge/>
            <w:tcBorders>
              <w:right w:val="single" w:sz="12" w:space="0" w:color="auto"/>
            </w:tcBorders>
          </w:tcPr>
          <w:p w14:paraId="2F3736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DB970E" w14:textId="77777777">
        <w:tc>
          <w:tcPr>
            <w:tcW w:w="1384" w:type="dxa"/>
            <w:vMerge/>
            <w:tcBorders>
              <w:left w:val="single" w:sz="12" w:space="0" w:color="auto"/>
            </w:tcBorders>
          </w:tcPr>
          <w:p w14:paraId="776BB545" w14:textId="77777777" w:rsidR="003B3105" w:rsidRDefault="003B3105" w:rsidP="001E533B">
            <w:pPr>
              <w:rPr>
                <w:rFonts w:ascii="新細明體" w:eastAsia="新細明體" w:hAnsi="新細明體"/>
              </w:rPr>
            </w:pPr>
          </w:p>
        </w:tc>
        <w:tc>
          <w:tcPr>
            <w:tcW w:w="1276" w:type="dxa"/>
            <w:vMerge/>
          </w:tcPr>
          <w:p w14:paraId="7A160216" w14:textId="77777777" w:rsidR="003B3105" w:rsidRDefault="003B3105" w:rsidP="001E533B">
            <w:pPr>
              <w:rPr>
                <w:rFonts w:ascii="新細明體" w:eastAsia="新細明體" w:hAnsi="新細明體"/>
              </w:rPr>
            </w:pPr>
          </w:p>
        </w:tc>
        <w:tc>
          <w:tcPr>
            <w:tcW w:w="5386" w:type="dxa"/>
            <w:tcBorders>
              <w:top w:val="nil"/>
              <w:bottom w:val="nil"/>
            </w:tcBorders>
          </w:tcPr>
          <w:p w14:paraId="395B0718"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(e).依個人資料保護法及其相關法令，客戶及投顧事業同意依主管機關、證券周邊單位查核業務之需要，提供本業務相關資料（含資訊安全稽核）。</w:t>
            </w:r>
          </w:p>
        </w:tc>
        <w:tc>
          <w:tcPr>
            <w:tcW w:w="5387" w:type="dxa"/>
            <w:tcBorders>
              <w:top w:val="nil"/>
              <w:bottom w:val="nil"/>
            </w:tcBorders>
          </w:tcPr>
          <w:p w14:paraId="742BFC5B"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(e).依個人資料保護法及其相關法令，客戶及投顧事業同意依主管機關、證券周邊單位查核業務之需要，提供本業務相關資料（含資訊安全稽核）。</w:t>
            </w:r>
          </w:p>
        </w:tc>
        <w:tc>
          <w:tcPr>
            <w:tcW w:w="2023" w:type="dxa"/>
            <w:vMerge/>
            <w:tcBorders>
              <w:right w:val="single" w:sz="12" w:space="0" w:color="auto"/>
            </w:tcBorders>
          </w:tcPr>
          <w:p w14:paraId="567D2A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4AC0FE" w14:textId="77777777">
        <w:tc>
          <w:tcPr>
            <w:tcW w:w="1384" w:type="dxa"/>
            <w:vMerge/>
            <w:tcBorders>
              <w:left w:val="single" w:sz="12" w:space="0" w:color="auto"/>
            </w:tcBorders>
          </w:tcPr>
          <w:p w14:paraId="753EA3E3" w14:textId="77777777" w:rsidR="003B3105" w:rsidRDefault="003B3105" w:rsidP="001E533B">
            <w:pPr>
              <w:rPr>
                <w:rFonts w:ascii="新細明體" w:eastAsia="新細明體" w:hAnsi="新細明體"/>
              </w:rPr>
            </w:pPr>
          </w:p>
        </w:tc>
        <w:tc>
          <w:tcPr>
            <w:tcW w:w="1276" w:type="dxa"/>
            <w:vMerge/>
          </w:tcPr>
          <w:p w14:paraId="7F223751" w14:textId="77777777" w:rsidR="003B3105" w:rsidRDefault="003B3105" w:rsidP="001E533B">
            <w:pPr>
              <w:rPr>
                <w:rFonts w:ascii="新細明體" w:eastAsia="新細明體" w:hAnsi="新細明體"/>
              </w:rPr>
            </w:pPr>
          </w:p>
        </w:tc>
        <w:tc>
          <w:tcPr>
            <w:tcW w:w="5386" w:type="dxa"/>
            <w:tcBorders>
              <w:top w:val="nil"/>
              <w:bottom w:val="nil"/>
            </w:tcBorders>
          </w:tcPr>
          <w:p w14:paraId="5EB1285E"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(f).契約之生效日期、契約變更、</w:t>
            </w:r>
            <w:r>
              <w:rPr>
                <w:rFonts w:ascii="新細明體" w:eastAsia="新細明體" w:hAnsi="新細明體" w:cs="新細明體" w:hint="eastAsia"/>
              </w:rPr>
              <w:lastRenderedPageBreak/>
              <w:t>終止與未盡事宜之處理方式。</w:t>
            </w:r>
          </w:p>
        </w:tc>
        <w:tc>
          <w:tcPr>
            <w:tcW w:w="5387" w:type="dxa"/>
            <w:tcBorders>
              <w:top w:val="nil"/>
              <w:bottom w:val="nil"/>
            </w:tcBorders>
          </w:tcPr>
          <w:p w14:paraId="4D66876C"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lastRenderedPageBreak/>
              <w:t>(f).契約之生效日期、契約變更、</w:t>
            </w:r>
            <w:r>
              <w:rPr>
                <w:rFonts w:ascii="新細明體" w:eastAsia="新細明體" w:hAnsi="新細明體" w:cs="新細明體" w:hint="eastAsia"/>
              </w:rPr>
              <w:lastRenderedPageBreak/>
              <w:t>終止與未盡事宜之處理方式。</w:t>
            </w:r>
          </w:p>
        </w:tc>
        <w:tc>
          <w:tcPr>
            <w:tcW w:w="2023" w:type="dxa"/>
            <w:vMerge/>
            <w:tcBorders>
              <w:right w:val="single" w:sz="12" w:space="0" w:color="auto"/>
            </w:tcBorders>
          </w:tcPr>
          <w:p w14:paraId="71661B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76B72A" w14:textId="77777777">
        <w:tc>
          <w:tcPr>
            <w:tcW w:w="1384" w:type="dxa"/>
            <w:vMerge/>
            <w:tcBorders>
              <w:left w:val="single" w:sz="12" w:space="0" w:color="auto"/>
            </w:tcBorders>
          </w:tcPr>
          <w:p w14:paraId="4FDAC563" w14:textId="77777777" w:rsidR="003B3105" w:rsidRDefault="003B3105" w:rsidP="001E533B">
            <w:pPr>
              <w:rPr>
                <w:rFonts w:ascii="新細明體" w:eastAsia="新細明體" w:hAnsi="新細明體"/>
              </w:rPr>
            </w:pPr>
          </w:p>
        </w:tc>
        <w:tc>
          <w:tcPr>
            <w:tcW w:w="1276" w:type="dxa"/>
            <w:vMerge/>
          </w:tcPr>
          <w:p w14:paraId="16D33D36" w14:textId="77777777" w:rsidR="003B3105" w:rsidRDefault="003B3105" w:rsidP="001E533B">
            <w:pPr>
              <w:rPr>
                <w:rFonts w:ascii="新細明體" w:eastAsia="新細明體" w:hAnsi="新細明體"/>
              </w:rPr>
            </w:pPr>
          </w:p>
        </w:tc>
        <w:tc>
          <w:tcPr>
            <w:tcW w:w="5386" w:type="dxa"/>
            <w:tcBorders>
              <w:top w:val="nil"/>
              <w:bottom w:val="nil"/>
            </w:tcBorders>
          </w:tcPr>
          <w:p w14:paraId="40DFF6B7"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(g).權益事項變更之通知、通知方法及送達時點。</w:t>
            </w:r>
          </w:p>
        </w:tc>
        <w:tc>
          <w:tcPr>
            <w:tcW w:w="5387" w:type="dxa"/>
            <w:tcBorders>
              <w:top w:val="nil"/>
              <w:bottom w:val="nil"/>
            </w:tcBorders>
          </w:tcPr>
          <w:p w14:paraId="6B08A9DD"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(g).權益事項變更之通知、通知方法及送達時點。</w:t>
            </w:r>
          </w:p>
        </w:tc>
        <w:tc>
          <w:tcPr>
            <w:tcW w:w="2023" w:type="dxa"/>
            <w:vMerge/>
            <w:tcBorders>
              <w:right w:val="single" w:sz="12" w:space="0" w:color="auto"/>
            </w:tcBorders>
          </w:tcPr>
          <w:p w14:paraId="466965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7BB930" w14:textId="77777777">
        <w:tc>
          <w:tcPr>
            <w:tcW w:w="1384" w:type="dxa"/>
            <w:vMerge/>
            <w:tcBorders>
              <w:left w:val="single" w:sz="12" w:space="0" w:color="auto"/>
            </w:tcBorders>
          </w:tcPr>
          <w:p w14:paraId="695DB034" w14:textId="77777777" w:rsidR="003B3105" w:rsidRDefault="003B3105" w:rsidP="001E533B">
            <w:pPr>
              <w:rPr>
                <w:rFonts w:ascii="新細明體" w:eastAsia="新細明體" w:hAnsi="新細明體"/>
              </w:rPr>
            </w:pPr>
          </w:p>
        </w:tc>
        <w:tc>
          <w:tcPr>
            <w:tcW w:w="1276" w:type="dxa"/>
            <w:vMerge/>
          </w:tcPr>
          <w:p w14:paraId="4A3DB4F3" w14:textId="77777777" w:rsidR="003B3105" w:rsidRDefault="003B3105" w:rsidP="001E533B">
            <w:pPr>
              <w:rPr>
                <w:rFonts w:ascii="新細明體" w:eastAsia="新細明體" w:hAnsi="新細明體"/>
              </w:rPr>
            </w:pPr>
          </w:p>
        </w:tc>
        <w:tc>
          <w:tcPr>
            <w:tcW w:w="5386" w:type="dxa"/>
            <w:tcBorders>
              <w:top w:val="nil"/>
              <w:bottom w:val="nil"/>
            </w:tcBorders>
          </w:tcPr>
          <w:p w14:paraId="3C53A3F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(h).紛爭處理、仲裁與合意管轄之約定。</w:t>
            </w:r>
          </w:p>
        </w:tc>
        <w:tc>
          <w:tcPr>
            <w:tcW w:w="5387" w:type="dxa"/>
            <w:tcBorders>
              <w:top w:val="nil"/>
              <w:bottom w:val="nil"/>
            </w:tcBorders>
          </w:tcPr>
          <w:p w14:paraId="6FC73FAE"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(h).紛爭處理、仲裁與合意管轄之約定。</w:t>
            </w:r>
          </w:p>
        </w:tc>
        <w:tc>
          <w:tcPr>
            <w:tcW w:w="2023" w:type="dxa"/>
            <w:vMerge/>
            <w:tcBorders>
              <w:right w:val="single" w:sz="12" w:space="0" w:color="auto"/>
            </w:tcBorders>
          </w:tcPr>
          <w:p w14:paraId="49E2F2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01DB1" w14:textId="77777777">
        <w:tc>
          <w:tcPr>
            <w:tcW w:w="1384" w:type="dxa"/>
            <w:vMerge/>
            <w:tcBorders>
              <w:left w:val="single" w:sz="12" w:space="0" w:color="auto"/>
            </w:tcBorders>
          </w:tcPr>
          <w:p w14:paraId="7F7C1BA2" w14:textId="77777777" w:rsidR="003B3105" w:rsidRDefault="003B3105" w:rsidP="001E533B">
            <w:pPr>
              <w:rPr>
                <w:rFonts w:ascii="新細明體" w:eastAsia="新細明體" w:hAnsi="新細明體"/>
              </w:rPr>
            </w:pPr>
          </w:p>
        </w:tc>
        <w:tc>
          <w:tcPr>
            <w:tcW w:w="1276" w:type="dxa"/>
            <w:vMerge/>
          </w:tcPr>
          <w:p w14:paraId="573D14B4" w14:textId="77777777" w:rsidR="003B3105" w:rsidRDefault="003B3105" w:rsidP="001E533B">
            <w:pPr>
              <w:rPr>
                <w:rFonts w:ascii="新細明體" w:eastAsia="新細明體" w:hAnsi="新細明體"/>
              </w:rPr>
            </w:pPr>
          </w:p>
        </w:tc>
        <w:tc>
          <w:tcPr>
            <w:tcW w:w="5386" w:type="dxa"/>
            <w:tcBorders>
              <w:top w:val="nil"/>
              <w:bottom w:val="nil"/>
            </w:tcBorders>
          </w:tcPr>
          <w:p w14:paraId="5D502B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(4)客戶資訊揭露及權益保障：公司為客戶執行再平衡交易，應就交易執行結果辦理客戶通知作業。</w:t>
            </w:r>
          </w:p>
        </w:tc>
        <w:tc>
          <w:tcPr>
            <w:tcW w:w="5387" w:type="dxa"/>
            <w:tcBorders>
              <w:top w:val="nil"/>
              <w:bottom w:val="nil"/>
            </w:tcBorders>
          </w:tcPr>
          <w:p w14:paraId="6794A1B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(4)客戶資訊揭露及權益保障：公司為客戶執行再平衡交易，應就交易執行結果辦理客戶通知作業。</w:t>
            </w:r>
          </w:p>
        </w:tc>
        <w:tc>
          <w:tcPr>
            <w:tcW w:w="2023" w:type="dxa"/>
            <w:vMerge/>
            <w:tcBorders>
              <w:right w:val="single" w:sz="12" w:space="0" w:color="auto"/>
            </w:tcBorders>
          </w:tcPr>
          <w:p w14:paraId="4C0C60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302AF2" w14:textId="77777777">
        <w:tc>
          <w:tcPr>
            <w:tcW w:w="1384" w:type="dxa"/>
            <w:vMerge/>
            <w:tcBorders>
              <w:left w:val="single" w:sz="12" w:space="0" w:color="auto"/>
            </w:tcBorders>
          </w:tcPr>
          <w:p w14:paraId="780FCB04" w14:textId="77777777" w:rsidR="003B3105" w:rsidRDefault="003B3105" w:rsidP="001E533B">
            <w:pPr>
              <w:rPr>
                <w:rFonts w:ascii="新細明體" w:eastAsia="新細明體" w:hAnsi="新細明體"/>
              </w:rPr>
            </w:pPr>
          </w:p>
        </w:tc>
        <w:tc>
          <w:tcPr>
            <w:tcW w:w="1276" w:type="dxa"/>
            <w:vMerge/>
          </w:tcPr>
          <w:p w14:paraId="10EC4FBE" w14:textId="77777777" w:rsidR="003B3105" w:rsidRDefault="003B3105" w:rsidP="001E533B">
            <w:pPr>
              <w:rPr>
                <w:rFonts w:ascii="新細明體" w:eastAsia="新細明體" w:hAnsi="新細明體"/>
              </w:rPr>
            </w:pPr>
          </w:p>
        </w:tc>
        <w:tc>
          <w:tcPr>
            <w:tcW w:w="5386" w:type="dxa"/>
            <w:tcBorders>
              <w:top w:val="nil"/>
              <w:bottom w:val="nil"/>
            </w:tcBorders>
          </w:tcPr>
          <w:p w14:paraId="54BBE61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(5)投資標的限制：公司應於接受客戶委託前，與投顧事業約定可受託買賣標的，並以投信投顧公會「證券投資顧問事業以自動化工具提供證券投資顧問服務（Robo-Advisor）作業要點」之規定範圍為限。</w:t>
            </w:r>
          </w:p>
        </w:tc>
        <w:tc>
          <w:tcPr>
            <w:tcW w:w="5387" w:type="dxa"/>
            <w:tcBorders>
              <w:top w:val="nil"/>
              <w:bottom w:val="nil"/>
            </w:tcBorders>
          </w:tcPr>
          <w:p w14:paraId="4776F7C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(5)投資標的限制：公司應於接受客戶委託前，與投顧事業約定可受託買賣標的，並以投信投顧公會「證券投資顧問事業以自動化工具提供證券投資顧問服務（Robo-Advisor）作業要點」之規定範圍為限。</w:t>
            </w:r>
          </w:p>
        </w:tc>
        <w:tc>
          <w:tcPr>
            <w:tcW w:w="2023" w:type="dxa"/>
            <w:vMerge/>
            <w:tcBorders>
              <w:right w:val="single" w:sz="12" w:space="0" w:color="auto"/>
            </w:tcBorders>
          </w:tcPr>
          <w:p w14:paraId="3A0CEE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9CC004" w14:textId="77777777">
        <w:tc>
          <w:tcPr>
            <w:tcW w:w="1384" w:type="dxa"/>
            <w:vMerge/>
            <w:tcBorders>
              <w:left w:val="single" w:sz="12" w:space="0" w:color="auto"/>
            </w:tcBorders>
          </w:tcPr>
          <w:p w14:paraId="5BEC4EAB" w14:textId="77777777" w:rsidR="003B3105" w:rsidRDefault="003B3105" w:rsidP="001E533B">
            <w:pPr>
              <w:rPr>
                <w:rFonts w:ascii="新細明體" w:eastAsia="新細明體" w:hAnsi="新細明體"/>
              </w:rPr>
            </w:pPr>
          </w:p>
        </w:tc>
        <w:tc>
          <w:tcPr>
            <w:tcW w:w="1276" w:type="dxa"/>
            <w:vMerge/>
          </w:tcPr>
          <w:p w14:paraId="1392DE46" w14:textId="77777777" w:rsidR="003B3105" w:rsidRDefault="003B3105" w:rsidP="001E533B">
            <w:pPr>
              <w:rPr>
                <w:rFonts w:ascii="新細明體" w:eastAsia="新細明體" w:hAnsi="新細明體"/>
              </w:rPr>
            </w:pPr>
          </w:p>
        </w:tc>
        <w:tc>
          <w:tcPr>
            <w:tcW w:w="5386" w:type="dxa"/>
            <w:tcBorders>
              <w:top w:val="nil"/>
              <w:bottom w:val="nil"/>
            </w:tcBorders>
          </w:tcPr>
          <w:p w14:paraId="0465E9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(二)成交後核對與結帳作業：</w:t>
            </w:r>
          </w:p>
        </w:tc>
        <w:tc>
          <w:tcPr>
            <w:tcW w:w="5387" w:type="dxa"/>
            <w:tcBorders>
              <w:top w:val="nil"/>
              <w:bottom w:val="nil"/>
            </w:tcBorders>
          </w:tcPr>
          <w:p w14:paraId="54B5742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(二)成交後核對與結帳作業：</w:t>
            </w:r>
          </w:p>
        </w:tc>
        <w:tc>
          <w:tcPr>
            <w:tcW w:w="2023" w:type="dxa"/>
            <w:vMerge/>
            <w:tcBorders>
              <w:right w:val="single" w:sz="12" w:space="0" w:color="auto"/>
            </w:tcBorders>
          </w:tcPr>
          <w:p w14:paraId="503552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A080E8" w14:textId="77777777">
        <w:tc>
          <w:tcPr>
            <w:tcW w:w="1384" w:type="dxa"/>
            <w:vMerge/>
            <w:tcBorders>
              <w:left w:val="single" w:sz="12" w:space="0" w:color="auto"/>
            </w:tcBorders>
          </w:tcPr>
          <w:p w14:paraId="207F0EE1" w14:textId="77777777" w:rsidR="003B3105" w:rsidRDefault="003B3105" w:rsidP="001E533B">
            <w:pPr>
              <w:rPr>
                <w:rFonts w:ascii="新細明體" w:eastAsia="新細明體" w:hAnsi="新細明體"/>
              </w:rPr>
            </w:pPr>
          </w:p>
        </w:tc>
        <w:tc>
          <w:tcPr>
            <w:tcW w:w="1276" w:type="dxa"/>
            <w:vMerge/>
          </w:tcPr>
          <w:p w14:paraId="456A94C5" w14:textId="77777777" w:rsidR="003B3105" w:rsidRDefault="003B3105" w:rsidP="001E533B">
            <w:pPr>
              <w:rPr>
                <w:rFonts w:ascii="新細明體" w:eastAsia="新細明體" w:hAnsi="新細明體"/>
              </w:rPr>
            </w:pPr>
          </w:p>
        </w:tc>
        <w:tc>
          <w:tcPr>
            <w:tcW w:w="5386" w:type="dxa"/>
            <w:tcBorders>
              <w:top w:val="nil"/>
              <w:bottom w:val="nil"/>
            </w:tcBorders>
          </w:tcPr>
          <w:p w14:paraId="24DA2A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終端機操作員按時收取已成交之委託書，將其流水編號、營業員代號等資料輸入電腦（俗稱補單），以便與證券買賣成交紀錄逐一核對其證券種類、數量、單價是否相符。惟公司若與證交所及櫃檯買賣中心進行電腦主機連線則可省略上項補單手續而藉由電腦應用系統設計之自動檢核來取代。</w:t>
            </w:r>
          </w:p>
        </w:tc>
        <w:tc>
          <w:tcPr>
            <w:tcW w:w="5387" w:type="dxa"/>
            <w:tcBorders>
              <w:top w:val="nil"/>
              <w:bottom w:val="nil"/>
            </w:tcBorders>
          </w:tcPr>
          <w:p w14:paraId="60AC91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終端機操作員按時收取已成交之委託書，將其流水編號、營業員代號等資料輸入電腦（俗稱補單），以便與證券買賣成交紀錄逐一核對其證券種類、數量、單價是否相符。惟公司若與證交所及櫃檯買賣中心進行電腦主機連線則可省略上項補單手續而藉由電腦應用系統設計之自動檢核來取代。</w:t>
            </w:r>
          </w:p>
        </w:tc>
        <w:tc>
          <w:tcPr>
            <w:tcW w:w="2023" w:type="dxa"/>
            <w:vMerge/>
            <w:tcBorders>
              <w:right w:val="single" w:sz="12" w:space="0" w:color="auto"/>
            </w:tcBorders>
          </w:tcPr>
          <w:p w14:paraId="57577E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DA484B" w14:textId="77777777">
        <w:tc>
          <w:tcPr>
            <w:tcW w:w="1384" w:type="dxa"/>
            <w:vMerge/>
            <w:tcBorders>
              <w:left w:val="single" w:sz="12" w:space="0" w:color="auto"/>
            </w:tcBorders>
          </w:tcPr>
          <w:p w14:paraId="727E2F80" w14:textId="77777777" w:rsidR="003B3105" w:rsidRDefault="003B3105" w:rsidP="001E533B">
            <w:pPr>
              <w:rPr>
                <w:rFonts w:ascii="新細明體" w:eastAsia="新細明體" w:hAnsi="新細明體"/>
              </w:rPr>
            </w:pPr>
          </w:p>
        </w:tc>
        <w:tc>
          <w:tcPr>
            <w:tcW w:w="1276" w:type="dxa"/>
            <w:vMerge/>
          </w:tcPr>
          <w:p w14:paraId="6DF13EED" w14:textId="77777777" w:rsidR="003B3105" w:rsidRDefault="003B3105" w:rsidP="001E533B">
            <w:pPr>
              <w:rPr>
                <w:rFonts w:ascii="新細明體" w:eastAsia="新細明體" w:hAnsi="新細明體"/>
              </w:rPr>
            </w:pPr>
          </w:p>
        </w:tc>
        <w:tc>
          <w:tcPr>
            <w:tcW w:w="5386" w:type="dxa"/>
            <w:tcBorders>
              <w:top w:val="nil"/>
              <w:bottom w:val="nil"/>
            </w:tcBorders>
          </w:tcPr>
          <w:p w14:paraId="5B080C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2.每日收盤後，經上開核對無誤，隨即製作買賣報告書（客戶已簽訂委託人交割款券轉撥同意書，且以媒體儲存者除外）、</w:t>
            </w:r>
            <w:r>
              <w:rPr>
                <w:rFonts w:ascii="新細明體" w:eastAsia="新細明體" w:hAnsi="新細明體" w:cs="新細明體" w:hint="eastAsia"/>
              </w:rPr>
              <w:lastRenderedPageBreak/>
              <w:t>營業員成交資料明細表等報表憑證，隨後每一營業員即依其個別成交資料明細表核對其交易內容檢視是否須更改交易類別(俗稱改帳)。如須更改，應填具委託人更改交易類別明細表，送請權責主管核准，以免產生弊端，並應依證交所及櫃檯買賣中心「證券商辦理更改交易類別作業處理要點」規定辦理。</w:t>
            </w:r>
          </w:p>
        </w:tc>
        <w:tc>
          <w:tcPr>
            <w:tcW w:w="5387" w:type="dxa"/>
            <w:tcBorders>
              <w:top w:val="nil"/>
              <w:bottom w:val="nil"/>
            </w:tcBorders>
          </w:tcPr>
          <w:p w14:paraId="5EE779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2.每日收盤後，經上開核對無誤，隨即製作買賣報告書（客戶已簽訂委託人交割款券轉撥同意書，且以媒體儲存者除外）、</w:t>
            </w:r>
            <w:r>
              <w:rPr>
                <w:rFonts w:ascii="新細明體" w:eastAsia="新細明體" w:hAnsi="新細明體" w:cs="新細明體" w:hint="eastAsia"/>
              </w:rPr>
              <w:lastRenderedPageBreak/>
              <w:t>營業員成交資料明細表等報表憑證，隨後每一營業員即依其個別成交資料明細表核對其交易內容檢視是否須更改交易類別(俗稱改帳)。如須更改，應填具委託人更改交易類別明細表，送請權責主管核准，以免產生弊端，並應依證交所及櫃檯買賣中心「證券商辦理更改交易類別作業處理要點」規定辦理。</w:t>
            </w:r>
          </w:p>
        </w:tc>
        <w:tc>
          <w:tcPr>
            <w:tcW w:w="2023" w:type="dxa"/>
            <w:vMerge/>
            <w:tcBorders>
              <w:right w:val="single" w:sz="12" w:space="0" w:color="auto"/>
            </w:tcBorders>
          </w:tcPr>
          <w:p w14:paraId="711C40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E3FE18" w14:textId="77777777">
        <w:tc>
          <w:tcPr>
            <w:tcW w:w="1384" w:type="dxa"/>
            <w:vMerge/>
            <w:tcBorders>
              <w:left w:val="single" w:sz="12" w:space="0" w:color="auto"/>
            </w:tcBorders>
          </w:tcPr>
          <w:p w14:paraId="48144C1F" w14:textId="77777777" w:rsidR="003B3105" w:rsidRDefault="003B3105" w:rsidP="001E533B">
            <w:pPr>
              <w:rPr>
                <w:rFonts w:ascii="新細明體" w:eastAsia="新細明體" w:hAnsi="新細明體"/>
              </w:rPr>
            </w:pPr>
          </w:p>
        </w:tc>
        <w:tc>
          <w:tcPr>
            <w:tcW w:w="1276" w:type="dxa"/>
            <w:vMerge/>
          </w:tcPr>
          <w:p w14:paraId="4DB92A29" w14:textId="77777777" w:rsidR="003B3105" w:rsidRDefault="003B3105" w:rsidP="001E533B">
            <w:pPr>
              <w:rPr>
                <w:rFonts w:ascii="新細明體" w:eastAsia="新細明體" w:hAnsi="新細明體"/>
              </w:rPr>
            </w:pPr>
          </w:p>
        </w:tc>
        <w:tc>
          <w:tcPr>
            <w:tcW w:w="5386" w:type="dxa"/>
            <w:tcBorders>
              <w:top w:val="nil"/>
              <w:bottom w:val="nil"/>
            </w:tcBorders>
          </w:tcPr>
          <w:p w14:paraId="53934C1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無異常，電腦即列印交割(給付結算)清單初稿、買進及賣出營業日報表、應收(付)客戶股票清單及信用交易有關報表憑證，並依交割(給付結算清單初稿所列明細分別與證交所(櫃檯買賣中心)及集保公司電腦所產生之當日交易資料，先核對金額再核對數量，必須完全正確，倘有不符部分，即依規定向證交所(櫃檯買賣中心)申報錯帳或更正帳號。</w:t>
            </w:r>
          </w:p>
        </w:tc>
        <w:tc>
          <w:tcPr>
            <w:tcW w:w="5387" w:type="dxa"/>
            <w:tcBorders>
              <w:top w:val="nil"/>
              <w:bottom w:val="nil"/>
            </w:tcBorders>
          </w:tcPr>
          <w:p w14:paraId="54DC2A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無異常，電腦即列印交割(給付結算)清單初稿、買進及賣出營業日報表、應收(付)客戶股票清單及信用交易有關報表憑證，並依交割(給付結算清單初稿所列明細分別與證交所(櫃檯買賣中心)及集保公司電腦所產生之當日交易資料，先核對金額再核對數量，必須完全正確，倘有不符部分，即依規定向證交所(櫃檯買賣中心)申報錯帳或更正帳號。</w:t>
            </w:r>
          </w:p>
        </w:tc>
        <w:tc>
          <w:tcPr>
            <w:tcW w:w="2023" w:type="dxa"/>
            <w:vMerge/>
            <w:tcBorders>
              <w:right w:val="single" w:sz="12" w:space="0" w:color="auto"/>
            </w:tcBorders>
          </w:tcPr>
          <w:p w14:paraId="1D500B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09F8BC" w14:textId="77777777">
        <w:tc>
          <w:tcPr>
            <w:tcW w:w="1384" w:type="dxa"/>
            <w:vMerge/>
            <w:tcBorders>
              <w:left w:val="single" w:sz="12" w:space="0" w:color="auto"/>
            </w:tcBorders>
          </w:tcPr>
          <w:p w14:paraId="1F97AC46" w14:textId="77777777" w:rsidR="003B3105" w:rsidRDefault="003B3105" w:rsidP="001E533B">
            <w:pPr>
              <w:rPr>
                <w:rFonts w:ascii="新細明體" w:eastAsia="新細明體" w:hAnsi="新細明體"/>
              </w:rPr>
            </w:pPr>
          </w:p>
        </w:tc>
        <w:tc>
          <w:tcPr>
            <w:tcW w:w="1276" w:type="dxa"/>
            <w:vMerge/>
          </w:tcPr>
          <w:p w14:paraId="18B8ACD5" w14:textId="77777777" w:rsidR="003B3105" w:rsidRDefault="003B3105" w:rsidP="001E533B">
            <w:pPr>
              <w:rPr>
                <w:rFonts w:ascii="新細明體" w:eastAsia="新細明體" w:hAnsi="新細明體"/>
              </w:rPr>
            </w:pPr>
          </w:p>
        </w:tc>
        <w:tc>
          <w:tcPr>
            <w:tcW w:w="5386" w:type="dxa"/>
            <w:tcBorders>
              <w:top w:val="nil"/>
              <w:bottom w:val="nil"/>
            </w:tcBorders>
          </w:tcPr>
          <w:p w14:paraId="7FCB32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4.經上開核對完全正確後，另列印正式之交割清單再與公司內部交割清單初稿後檢核以完成當日之結帳作業。</w:t>
            </w:r>
          </w:p>
        </w:tc>
        <w:tc>
          <w:tcPr>
            <w:tcW w:w="5387" w:type="dxa"/>
            <w:tcBorders>
              <w:top w:val="nil"/>
              <w:bottom w:val="nil"/>
            </w:tcBorders>
          </w:tcPr>
          <w:p w14:paraId="314D2D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4.經上開核對完全正確後，另列印正式之交割清單再與公司內部交割清單初稿後檢核以完成當日之結帳作業。</w:t>
            </w:r>
          </w:p>
        </w:tc>
        <w:tc>
          <w:tcPr>
            <w:tcW w:w="2023" w:type="dxa"/>
            <w:vMerge/>
            <w:tcBorders>
              <w:right w:val="single" w:sz="12" w:space="0" w:color="auto"/>
            </w:tcBorders>
          </w:tcPr>
          <w:p w14:paraId="78C98B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DB9AE0" w14:textId="77777777">
        <w:tc>
          <w:tcPr>
            <w:tcW w:w="1384" w:type="dxa"/>
            <w:vMerge/>
            <w:tcBorders>
              <w:left w:val="single" w:sz="12" w:space="0" w:color="auto"/>
            </w:tcBorders>
          </w:tcPr>
          <w:p w14:paraId="04982509" w14:textId="77777777" w:rsidR="003B3105" w:rsidRDefault="003B3105" w:rsidP="001E533B">
            <w:pPr>
              <w:rPr>
                <w:rFonts w:ascii="新細明體" w:eastAsia="新細明體" w:hAnsi="新細明體"/>
              </w:rPr>
            </w:pPr>
          </w:p>
        </w:tc>
        <w:tc>
          <w:tcPr>
            <w:tcW w:w="1276" w:type="dxa"/>
            <w:vMerge/>
          </w:tcPr>
          <w:p w14:paraId="5BD16A7D" w14:textId="77777777" w:rsidR="003B3105" w:rsidRDefault="003B3105" w:rsidP="001E533B">
            <w:pPr>
              <w:rPr>
                <w:rFonts w:ascii="新細明體" w:eastAsia="新細明體" w:hAnsi="新細明體"/>
              </w:rPr>
            </w:pPr>
          </w:p>
        </w:tc>
        <w:tc>
          <w:tcPr>
            <w:tcW w:w="5386" w:type="dxa"/>
            <w:tcBorders>
              <w:top w:val="nil"/>
              <w:bottom w:val="nil"/>
            </w:tcBorders>
          </w:tcPr>
          <w:p w14:paraId="0BEF1B4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(三)受託買賣變更交易方法及處置證券：</w:t>
            </w:r>
          </w:p>
        </w:tc>
        <w:tc>
          <w:tcPr>
            <w:tcW w:w="5387" w:type="dxa"/>
            <w:tcBorders>
              <w:top w:val="nil"/>
              <w:bottom w:val="nil"/>
            </w:tcBorders>
          </w:tcPr>
          <w:p w14:paraId="6EF6FCF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(三)受託買賣變更交易方法及處置證券：</w:t>
            </w:r>
          </w:p>
        </w:tc>
        <w:tc>
          <w:tcPr>
            <w:tcW w:w="2023" w:type="dxa"/>
            <w:vMerge/>
            <w:tcBorders>
              <w:right w:val="single" w:sz="12" w:space="0" w:color="auto"/>
            </w:tcBorders>
          </w:tcPr>
          <w:p w14:paraId="145264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28E0F5" w14:textId="77777777">
        <w:tc>
          <w:tcPr>
            <w:tcW w:w="1384" w:type="dxa"/>
            <w:vMerge/>
            <w:tcBorders>
              <w:left w:val="single" w:sz="12" w:space="0" w:color="auto"/>
            </w:tcBorders>
          </w:tcPr>
          <w:p w14:paraId="7ED157BE" w14:textId="77777777" w:rsidR="003B3105" w:rsidRDefault="003B3105" w:rsidP="001E533B">
            <w:pPr>
              <w:rPr>
                <w:rFonts w:ascii="新細明體" w:eastAsia="新細明體" w:hAnsi="新細明體"/>
              </w:rPr>
            </w:pPr>
          </w:p>
        </w:tc>
        <w:tc>
          <w:tcPr>
            <w:tcW w:w="1276" w:type="dxa"/>
            <w:vMerge/>
          </w:tcPr>
          <w:p w14:paraId="40200218" w14:textId="77777777" w:rsidR="003B3105" w:rsidRDefault="003B3105" w:rsidP="001E533B">
            <w:pPr>
              <w:rPr>
                <w:rFonts w:ascii="新細明體" w:eastAsia="新細明體" w:hAnsi="新細明體"/>
              </w:rPr>
            </w:pPr>
          </w:p>
        </w:tc>
        <w:tc>
          <w:tcPr>
            <w:tcW w:w="5386" w:type="dxa"/>
            <w:tcBorders>
              <w:top w:val="nil"/>
              <w:bottom w:val="nil"/>
            </w:tcBorders>
          </w:tcPr>
          <w:p w14:paraId="26FD26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變更交易方法有價證券或依證交所及櫃檯買賣中心其他規定應預收款券之有價證券，於接受委託買賣時，應先預收足額或一定成數之款券（但公司以違約專戶買賣變更交易方法及受處置有價證券者，或有保管機構代理之機構投資人或</w:t>
            </w:r>
            <w:r>
              <w:rPr>
                <w:rFonts w:ascii="新細明體" w:eastAsia="新細明體" w:hAnsi="新細明體" w:cs="新細明體" w:hint="eastAsia"/>
              </w:rPr>
              <w:lastRenderedPageBreak/>
              <w:t>政府基金，申報賣出單一變更交易方法之有價證券，當日累計金額未達新臺幣伍仟萬元以上者，不在此限），公司接受客戶買進變更交易方法或受處置有價證券，得於受託當日或前一營業日收取或圈存經客戶同意留存於公司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r>
              <w:rPr>
                <w:rFonts w:ascii="新細明體" w:eastAsia="新細明體" w:hAnsi="新細明體" w:cs="新細明體" w:hint="eastAsia"/>
                <w:b/>
                <w:color w:val="FF0000"/>
                <w:u w:val="single"/>
              </w:rPr>
              <w:t>另公司依證交所受益憑證買賣辦法第十四條第六項或櫃檯買賣中心指數股票型基金及主動式交易所交易基金受益憑證買賣辦法第十三條第五項規定，受託賣出受益憑證申購部位，須經證交所或櫃檯買賣中心相關作業系統確認客戶已取得證券投資信託事業或期貨信託事業之申購部位確認，始得受理賣出。</w:t>
            </w:r>
          </w:p>
        </w:tc>
        <w:tc>
          <w:tcPr>
            <w:tcW w:w="5387" w:type="dxa"/>
            <w:tcBorders>
              <w:top w:val="nil"/>
              <w:bottom w:val="nil"/>
            </w:tcBorders>
          </w:tcPr>
          <w:p w14:paraId="58AC06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變更交易方法有價證券或依證交所及櫃檯買賣中心其他規定應預收款券之有價證券，於接受委託買賣時，應先預收足額或一定成數之款券（但公司以違約專戶買賣變更交易方法及受處置有價證券者，或有保管機構代理之機構投資人或</w:t>
            </w:r>
            <w:r>
              <w:rPr>
                <w:rFonts w:ascii="新細明體" w:eastAsia="新細明體" w:hAnsi="新細明體" w:cs="新細明體" w:hint="eastAsia"/>
              </w:rPr>
              <w:lastRenderedPageBreak/>
              <w:t>政府基金，申報賣出單一變更交易方法之有價證券，當日累計金額未達新臺幣伍仟萬元以上者，不在此限），公司接受客戶買進變更交易方法或受處置有價證券，得於受託當日或前一營業日收取或圈存經客戶同意留存於公司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p>
        </w:tc>
        <w:tc>
          <w:tcPr>
            <w:tcW w:w="2023" w:type="dxa"/>
            <w:vMerge/>
            <w:tcBorders>
              <w:right w:val="single" w:sz="12" w:space="0" w:color="auto"/>
            </w:tcBorders>
          </w:tcPr>
          <w:p w14:paraId="5A8B89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C60D5C" w14:textId="77777777">
        <w:tc>
          <w:tcPr>
            <w:tcW w:w="1384" w:type="dxa"/>
            <w:vMerge/>
            <w:tcBorders>
              <w:left w:val="single" w:sz="12" w:space="0" w:color="auto"/>
            </w:tcBorders>
          </w:tcPr>
          <w:p w14:paraId="594ADEB6" w14:textId="77777777" w:rsidR="003B3105" w:rsidRDefault="003B3105" w:rsidP="001E533B">
            <w:pPr>
              <w:rPr>
                <w:rFonts w:ascii="新細明體" w:eastAsia="新細明體" w:hAnsi="新細明體"/>
              </w:rPr>
            </w:pPr>
          </w:p>
        </w:tc>
        <w:tc>
          <w:tcPr>
            <w:tcW w:w="1276" w:type="dxa"/>
            <w:vMerge/>
          </w:tcPr>
          <w:p w14:paraId="284EBF70" w14:textId="77777777" w:rsidR="003B3105" w:rsidRDefault="003B3105" w:rsidP="001E533B">
            <w:pPr>
              <w:rPr>
                <w:rFonts w:ascii="新細明體" w:eastAsia="新細明體" w:hAnsi="新細明體"/>
              </w:rPr>
            </w:pPr>
          </w:p>
        </w:tc>
        <w:tc>
          <w:tcPr>
            <w:tcW w:w="5386" w:type="dxa"/>
            <w:tcBorders>
              <w:top w:val="nil"/>
              <w:bottom w:val="nil"/>
            </w:tcBorders>
          </w:tcPr>
          <w:p w14:paraId="701304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24B0DE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305E3F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FE25A4" w14:textId="77777777">
        <w:tc>
          <w:tcPr>
            <w:tcW w:w="1384" w:type="dxa"/>
            <w:vMerge/>
            <w:tcBorders>
              <w:left w:val="single" w:sz="12" w:space="0" w:color="auto"/>
            </w:tcBorders>
          </w:tcPr>
          <w:p w14:paraId="0AFB3BBF" w14:textId="77777777" w:rsidR="003B3105" w:rsidRDefault="003B3105" w:rsidP="001E533B">
            <w:pPr>
              <w:rPr>
                <w:rFonts w:ascii="新細明體" w:eastAsia="新細明體" w:hAnsi="新細明體"/>
              </w:rPr>
            </w:pPr>
          </w:p>
        </w:tc>
        <w:tc>
          <w:tcPr>
            <w:tcW w:w="1276" w:type="dxa"/>
            <w:vMerge/>
          </w:tcPr>
          <w:p w14:paraId="632FC023" w14:textId="77777777" w:rsidR="003B3105" w:rsidRDefault="003B3105" w:rsidP="001E533B">
            <w:pPr>
              <w:rPr>
                <w:rFonts w:ascii="新細明體" w:eastAsia="新細明體" w:hAnsi="新細明體"/>
              </w:rPr>
            </w:pPr>
          </w:p>
        </w:tc>
        <w:tc>
          <w:tcPr>
            <w:tcW w:w="5386" w:type="dxa"/>
            <w:tcBorders>
              <w:top w:val="nil"/>
              <w:bottom w:val="nil"/>
            </w:tcBorders>
          </w:tcPr>
          <w:p w14:paraId="39EAEF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3.變更交易方法股票或依證交所及櫃檯買賣中心其他規定應預收款券之有價證券，其買賣委託書應依上開規定加註已</w:t>
            </w:r>
            <w:r>
              <w:rPr>
                <w:rFonts w:ascii="新細明體" w:eastAsia="新細明體" w:hAnsi="新細明體" w:cs="新細明體" w:hint="eastAsia"/>
              </w:rPr>
              <w:lastRenderedPageBreak/>
              <w:t>預收足額或一定成數款券之紀錄（加蓋「款券收訖」戳記），並由經辦人員簽章後，始得接受客戶以當面、電話或其他方式委託買賣。</w:t>
            </w:r>
          </w:p>
        </w:tc>
        <w:tc>
          <w:tcPr>
            <w:tcW w:w="5387" w:type="dxa"/>
            <w:tcBorders>
              <w:top w:val="nil"/>
              <w:bottom w:val="nil"/>
            </w:tcBorders>
          </w:tcPr>
          <w:p w14:paraId="050368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3.變更交易方法股票或依證交所及櫃檯買賣中心其他規定應預收款券之有價證券，其買賣委託書應依上開規定加註已</w:t>
            </w:r>
            <w:r>
              <w:rPr>
                <w:rFonts w:ascii="新細明體" w:eastAsia="新細明體" w:hAnsi="新細明體" w:cs="新細明體" w:hint="eastAsia"/>
              </w:rPr>
              <w:lastRenderedPageBreak/>
              <w:t>預收足額或一定成數款券之紀錄（加蓋「款券收訖」戳記），並由經辦人員簽章後，始得接受客戶以當面、電話或其他方式委託買賣。</w:t>
            </w:r>
          </w:p>
        </w:tc>
        <w:tc>
          <w:tcPr>
            <w:tcW w:w="2023" w:type="dxa"/>
            <w:vMerge/>
            <w:tcBorders>
              <w:right w:val="single" w:sz="12" w:space="0" w:color="auto"/>
            </w:tcBorders>
          </w:tcPr>
          <w:p w14:paraId="6EDC78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20003B" w14:textId="77777777">
        <w:tc>
          <w:tcPr>
            <w:tcW w:w="1384" w:type="dxa"/>
            <w:vMerge/>
            <w:tcBorders>
              <w:left w:val="single" w:sz="12" w:space="0" w:color="auto"/>
            </w:tcBorders>
          </w:tcPr>
          <w:p w14:paraId="22F6B7C2" w14:textId="77777777" w:rsidR="003B3105" w:rsidRDefault="003B3105" w:rsidP="001E533B">
            <w:pPr>
              <w:rPr>
                <w:rFonts w:ascii="新細明體" w:eastAsia="新細明體" w:hAnsi="新細明體"/>
              </w:rPr>
            </w:pPr>
          </w:p>
        </w:tc>
        <w:tc>
          <w:tcPr>
            <w:tcW w:w="1276" w:type="dxa"/>
            <w:vMerge/>
          </w:tcPr>
          <w:p w14:paraId="6DF44346" w14:textId="77777777" w:rsidR="003B3105" w:rsidRDefault="003B3105" w:rsidP="001E533B">
            <w:pPr>
              <w:rPr>
                <w:rFonts w:ascii="新細明體" w:eastAsia="新細明體" w:hAnsi="新細明體"/>
              </w:rPr>
            </w:pPr>
          </w:p>
        </w:tc>
        <w:tc>
          <w:tcPr>
            <w:tcW w:w="5386" w:type="dxa"/>
            <w:tcBorders>
              <w:top w:val="nil"/>
              <w:bottom w:val="nil"/>
            </w:tcBorders>
          </w:tcPr>
          <w:p w14:paraId="4EC5BE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5387" w:type="dxa"/>
            <w:tcBorders>
              <w:top w:val="nil"/>
              <w:bottom w:val="nil"/>
            </w:tcBorders>
          </w:tcPr>
          <w:p w14:paraId="132283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2023" w:type="dxa"/>
            <w:vMerge/>
            <w:tcBorders>
              <w:right w:val="single" w:sz="12" w:space="0" w:color="auto"/>
            </w:tcBorders>
          </w:tcPr>
          <w:p w14:paraId="2E0DB6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EE37E8" w14:textId="77777777">
        <w:tc>
          <w:tcPr>
            <w:tcW w:w="1384" w:type="dxa"/>
            <w:vMerge/>
            <w:tcBorders>
              <w:left w:val="single" w:sz="12" w:space="0" w:color="auto"/>
            </w:tcBorders>
          </w:tcPr>
          <w:p w14:paraId="69B5B132" w14:textId="77777777" w:rsidR="003B3105" w:rsidRDefault="003B3105" w:rsidP="001E533B">
            <w:pPr>
              <w:rPr>
                <w:rFonts w:ascii="新細明體" w:eastAsia="新細明體" w:hAnsi="新細明體"/>
              </w:rPr>
            </w:pPr>
          </w:p>
        </w:tc>
        <w:tc>
          <w:tcPr>
            <w:tcW w:w="1276" w:type="dxa"/>
            <w:vMerge/>
          </w:tcPr>
          <w:p w14:paraId="7A5BBC3A" w14:textId="77777777" w:rsidR="003B3105" w:rsidRDefault="003B3105" w:rsidP="001E533B">
            <w:pPr>
              <w:rPr>
                <w:rFonts w:ascii="新細明體" w:eastAsia="新細明體" w:hAnsi="新細明體"/>
              </w:rPr>
            </w:pPr>
          </w:p>
        </w:tc>
        <w:tc>
          <w:tcPr>
            <w:tcW w:w="5386" w:type="dxa"/>
            <w:tcBorders>
              <w:top w:val="nil"/>
              <w:bottom w:val="nil"/>
            </w:tcBorders>
          </w:tcPr>
          <w:p w14:paraId="2C5100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5.有價證券經證交所（櫃檯買賣中心）依「實施股市監視制度辦法」（「櫃檯買賣有價證券監視制度辦法」）及相關作業規定採取處置措施者，應依證交所（櫃檯買賣中心）相關規定辦理。</w:t>
            </w:r>
          </w:p>
        </w:tc>
        <w:tc>
          <w:tcPr>
            <w:tcW w:w="5387" w:type="dxa"/>
            <w:tcBorders>
              <w:top w:val="nil"/>
              <w:bottom w:val="nil"/>
            </w:tcBorders>
          </w:tcPr>
          <w:p w14:paraId="3A9E11C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5.有價證券經證交所（櫃檯買賣中心）依「實施股市監視制度辦法」（「櫃檯買賣有價證券監視制度辦法」）及相關作業規定採取處置措施者，應依證交所（櫃檯買賣中心）相關規定辦理。</w:t>
            </w:r>
          </w:p>
        </w:tc>
        <w:tc>
          <w:tcPr>
            <w:tcW w:w="2023" w:type="dxa"/>
            <w:vMerge/>
            <w:tcBorders>
              <w:right w:val="single" w:sz="12" w:space="0" w:color="auto"/>
            </w:tcBorders>
          </w:tcPr>
          <w:p w14:paraId="5D1C5B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9FB327" w14:textId="77777777">
        <w:tc>
          <w:tcPr>
            <w:tcW w:w="1384" w:type="dxa"/>
            <w:vMerge/>
            <w:tcBorders>
              <w:left w:val="single" w:sz="12" w:space="0" w:color="auto"/>
            </w:tcBorders>
          </w:tcPr>
          <w:p w14:paraId="04E377EE" w14:textId="77777777" w:rsidR="003B3105" w:rsidRDefault="003B3105" w:rsidP="001E533B">
            <w:pPr>
              <w:rPr>
                <w:rFonts w:ascii="新細明體" w:eastAsia="新細明體" w:hAnsi="新細明體"/>
              </w:rPr>
            </w:pPr>
          </w:p>
        </w:tc>
        <w:tc>
          <w:tcPr>
            <w:tcW w:w="1276" w:type="dxa"/>
            <w:vMerge/>
          </w:tcPr>
          <w:p w14:paraId="257CA53A" w14:textId="77777777" w:rsidR="003B3105" w:rsidRDefault="003B3105" w:rsidP="001E533B">
            <w:pPr>
              <w:rPr>
                <w:rFonts w:ascii="新細明體" w:eastAsia="新細明體" w:hAnsi="新細明體"/>
              </w:rPr>
            </w:pPr>
          </w:p>
        </w:tc>
        <w:tc>
          <w:tcPr>
            <w:tcW w:w="5386" w:type="dxa"/>
            <w:tcBorders>
              <w:top w:val="nil"/>
              <w:bottom w:val="nil"/>
            </w:tcBorders>
          </w:tcPr>
          <w:p w14:paraId="39DB6BA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5387" w:type="dxa"/>
            <w:tcBorders>
              <w:top w:val="nil"/>
              <w:bottom w:val="nil"/>
            </w:tcBorders>
          </w:tcPr>
          <w:p w14:paraId="31BDA76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2023" w:type="dxa"/>
            <w:vMerge/>
            <w:tcBorders>
              <w:right w:val="single" w:sz="12" w:space="0" w:color="auto"/>
            </w:tcBorders>
          </w:tcPr>
          <w:p w14:paraId="53CB19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4EDA6D" w14:textId="77777777">
        <w:tc>
          <w:tcPr>
            <w:tcW w:w="1384" w:type="dxa"/>
            <w:vMerge/>
            <w:tcBorders>
              <w:left w:val="single" w:sz="12" w:space="0" w:color="auto"/>
            </w:tcBorders>
          </w:tcPr>
          <w:p w14:paraId="56A8A7D9" w14:textId="77777777" w:rsidR="003B3105" w:rsidRDefault="003B3105" w:rsidP="001E533B">
            <w:pPr>
              <w:rPr>
                <w:rFonts w:ascii="新細明體" w:eastAsia="新細明體" w:hAnsi="新細明體"/>
              </w:rPr>
            </w:pPr>
          </w:p>
        </w:tc>
        <w:tc>
          <w:tcPr>
            <w:tcW w:w="1276" w:type="dxa"/>
            <w:vMerge/>
          </w:tcPr>
          <w:p w14:paraId="1F3C1104" w14:textId="77777777" w:rsidR="003B3105" w:rsidRDefault="003B3105" w:rsidP="001E533B">
            <w:pPr>
              <w:rPr>
                <w:rFonts w:ascii="新細明體" w:eastAsia="新細明體" w:hAnsi="新細明體"/>
              </w:rPr>
            </w:pPr>
          </w:p>
        </w:tc>
        <w:tc>
          <w:tcPr>
            <w:tcW w:w="5386" w:type="dxa"/>
            <w:tcBorders>
              <w:top w:val="nil"/>
              <w:bottom w:val="nil"/>
            </w:tcBorders>
          </w:tcPr>
          <w:p w14:paraId="5E65907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7964AA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25E27F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A4C808" w14:textId="77777777">
        <w:tc>
          <w:tcPr>
            <w:tcW w:w="1384" w:type="dxa"/>
            <w:vMerge/>
            <w:tcBorders>
              <w:left w:val="single" w:sz="12" w:space="0" w:color="auto"/>
            </w:tcBorders>
          </w:tcPr>
          <w:p w14:paraId="551E95D0" w14:textId="77777777" w:rsidR="003B3105" w:rsidRDefault="003B3105" w:rsidP="001E533B">
            <w:pPr>
              <w:rPr>
                <w:rFonts w:ascii="新細明體" w:eastAsia="新細明體" w:hAnsi="新細明體"/>
              </w:rPr>
            </w:pPr>
          </w:p>
        </w:tc>
        <w:tc>
          <w:tcPr>
            <w:tcW w:w="1276" w:type="dxa"/>
            <w:vMerge/>
          </w:tcPr>
          <w:p w14:paraId="11661D1D" w14:textId="77777777" w:rsidR="003B3105" w:rsidRDefault="003B3105" w:rsidP="001E533B">
            <w:pPr>
              <w:rPr>
                <w:rFonts w:ascii="新細明體" w:eastAsia="新細明體" w:hAnsi="新細明體"/>
              </w:rPr>
            </w:pPr>
          </w:p>
        </w:tc>
        <w:tc>
          <w:tcPr>
            <w:tcW w:w="5386" w:type="dxa"/>
            <w:tcBorders>
              <w:top w:val="nil"/>
              <w:bottom w:val="nil"/>
            </w:tcBorders>
          </w:tcPr>
          <w:p w14:paraId="15779F2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5387" w:type="dxa"/>
            <w:tcBorders>
              <w:top w:val="nil"/>
              <w:bottom w:val="nil"/>
            </w:tcBorders>
          </w:tcPr>
          <w:p w14:paraId="2920744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2023" w:type="dxa"/>
            <w:vMerge/>
            <w:tcBorders>
              <w:right w:val="single" w:sz="12" w:space="0" w:color="auto"/>
            </w:tcBorders>
          </w:tcPr>
          <w:p w14:paraId="5D1A9A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45B352" w14:textId="77777777">
        <w:tc>
          <w:tcPr>
            <w:tcW w:w="1384" w:type="dxa"/>
            <w:vMerge/>
            <w:tcBorders>
              <w:left w:val="single" w:sz="12" w:space="0" w:color="auto"/>
            </w:tcBorders>
          </w:tcPr>
          <w:p w14:paraId="2C9ABDF7" w14:textId="77777777" w:rsidR="003B3105" w:rsidRDefault="003B3105" w:rsidP="001E533B">
            <w:pPr>
              <w:rPr>
                <w:rFonts w:ascii="新細明體" w:eastAsia="新細明體" w:hAnsi="新細明體"/>
              </w:rPr>
            </w:pPr>
          </w:p>
        </w:tc>
        <w:tc>
          <w:tcPr>
            <w:tcW w:w="1276" w:type="dxa"/>
            <w:vMerge/>
          </w:tcPr>
          <w:p w14:paraId="47766527" w14:textId="77777777" w:rsidR="003B3105" w:rsidRDefault="003B3105" w:rsidP="001E533B">
            <w:pPr>
              <w:rPr>
                <w:rFonts w:ascii="新細明體" w:eastAsia="新細明體" w:hAnsi="新細明體"/>
              </w:rPr>
            </w:pPr>
          </w:p>
        </w:tc>
        <w:tc>
          <w:tcPr>
            <w:tcW w:w="5386" w:type="dxa"/>
            <w:tcBorders>
              <w:top w:val="nil"/>
              <w:bottom w:val="nil"/>
            </w:tcBorders>
          </w:tcPr>
          <w:p w14:paraId="24135A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6.預收之款券，每日應將其收取情形編製預收款項明細表、預繳股票明細表。</w:t>
            </w:r>
          </w:p>
        </w:tc>
        <w:tc>
          <w:tcPr>
            <w:tcW w:w="5387" w:type="dxa"/>
            <w:tcBorders>
              <w:top w:val="nil"/>
              <w:bottom w:val="nil"/>
            </w:tcBorders>
          </w:tcPr>
          <w:p w14:paraId="157F84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6.預收之款券，每日應將其收取情形編製預收款項明細表、預繳股票明細表。</w:t>
            </w:r>
          </w:p>
        </w:tc>
        <w:tc>
          <w:tcPr>
            <w:tcW w:w="2023" w:type="dxa"/>
            <w:vMerge/>
            <w:tcBorders>
              <w:right w:val="single" w:sz="12" w:space="0" w:color="auto"/>
            </w:tcBorders>
          </w:tcPr>
          <w:p w14:paraId="580232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84522F" w14:textId="77777777">
        <w:tc>
          <w:tcPr>
            <w:tcW w:w="1384" w:type="dxa"/>
            <w:vMerge/>
            <w:tcBorders>
              <w:left w:val="single" w:sz="12" w:space="0" w:color="auto"/>
            </w:tcBorders>
          </w:tcPr>
          <w:p w14:paraId="77FD31E5" w14:textId="77777777" w:rsidR="003B3105" w:rsidRDefault="003B3105" w:rsidP="001E533B">
            <w:pPr>
              <w:rPr>
                <w:rFonts w:ascii="新細明體" w:eastAsia="新細明體" w:hAnsi="新細明體"/>
              </w:rPr>
            </w:pPr>
          </w:p>
        </w:tc>
        <w:tc>
          <w:tcPr>
            <w:tcW w:w="1276" w:type="dxa"/>
            <w:vMerge/>
          </w:tcPr>
          <w:p w14:paraId="4770079E" w14:textId="77777777" w:rsidR="003B3105" w:rsidRDefault="003B3105" w:rsidP="001E533B">
            <w:pPr>
              <w:rPr>
                <w:rFonts w:ascii="新細明體" w:eastAsia="新細明體" w:hAnsi="新細明體"/>
              </w:rPr>
            </w:pPr>
          </w:p>
        </w:tc>
        <w:tc>
          <w:tcPr>
            <w:tcW w:w="5386" w:type="dxa"/>
            <w:tcBorders>
              <w:top w:val="nil"/>
              <w:bottom w:val="nil"/>
            </w:tcBorders>
          </w:tcPr>
          <w:p w14:paraId="2FE101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7.對於必要預收之有價證券於受託賣出時應辦理圈存並列印電腦處理紀錄留存備查。</w:t>
            </w:r>
          </w:p>
        </w:tc>
        <w:tc>
          <w:tcPr>
            <w:tcW w:w="5387" w:type="dxa"/>
            <w:tcBorders>
              <w:top w:val="nil"/>
              <w:bottom w:val="nil"/>
            </w:tcBorders>
          </w:tcPr>
          <w:p w14:paraId="660D1C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7.對於必要預收之有價證券於受託賣出時應辦理圈存並列印電腦處理紀錄留存備查。</w:t>
            </w:r>
          </w:p>
        </w:tc>
        <w:tc>
          <w:tcPr>
            <w:tcW w:w="2023" w:type="dxa"/>
            <w:vMerge/>
            <w:tcBorders>
              <w:right w:val="single" w:sz="12" w:space="0" w:color="auto"/>
            </w:tcBorders>
          </w:tcPr>
          <w:p w14:paraId="2002E7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53BBDE" w14:textId="77777777">
        <w:tc>
          <w:tcPr>
            <w:tcW w:w="1384" w:type="dxa"/>
            <w:vMerge/>
            <w:tcBorders>
              <w:left w:val="single" w:sz="12" w:space="0" w:color="auto"/>
            </w:tcBorders>
          </w:tcPr>
          <w:p w14:paraId="3151A852" w14:textId="77777777" w:rsidR="003B3105" w:rsidRDefault="003B3105" w:rsidP="001E533B">
            <w:pPr>
              <w:rPr>
                <w:rFonts w:ascii="新細明體" w:eastAsia="新細明體" w:hAnsi="新細明體"/>
              </w:rPr>
            </w:pPr>
          </w:p>
        </w:tc>
        <w:tc>
          <w:tcPr>
            <w:tcW w:w="1276" w:type="dxa"/>
            <w:vMerge/>
          </w:tcPr>
          <w:p w14:paraId="24B32410" w14:textId="77777777" w:rsidR="003B3105" w:rsidRDefault="003B3105" w:rsidP="001E533B">
            <w:pPr>
              <w:rPr>
                <w:rFonts w:ascii="新細明體" w:eastAsia="新細明體" w:hAnsi="新細明體"/>
              </w:rPr>
            </w:pPr>
          </w:p>
        </w:tc>
        <w:tc>
          <w:tcPr>
            <w:tcW w:w="5386" w:type="dxa"/>
            <w:tcBorders>
              <w:top w:val="nil"/>
              <w:bottom w:val="nil"/>
            </w:tcBorders>
          </w:tcPr>
          <w:p w14:paraId="077B3E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(四)零股交易：</w:t>
            </w:r>
          </w:p>
        </w:tc>
        <w:tc>
          <w:tcPr>
            <w:tcW w:w="5387" w:type="dxa"/>
            <w:tcBorders>
              <w:top w:val="nil"/>
              <w:bottom w:val="nil"/>
            </w:tcBorders>
          </w:tcPr>
          <w:p w14:paraId="1E0EE45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(四)零股交易：</w:t>
            </w:r>
          </w:p>
        </w:tc>
        <w:tc>
          <w:tcPr>
            <w:tcW w:w="2023" w:type="dxa"/>
            <w:vMerge/>
            <w:tcBorders>
              <w:right w:val="single" w:sz="12" w:space="0" w:color="auto"/>
            </w:tcBorders>
          </w:tcPr>
          <w:p w14:paraId="3C5A39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80BCA0" w14:textId="77777777">
        <w:tc>
          <w:tcPr>
            <w:tcW w:w="1384" w:type="dxa"/>
            <w:vMerge/>
            <w:tcBorders>
              <w:left w:val="single" w:sz="12" w:space="0" w:color="auto"/>
            </w:tcBorders>
          </w:tcPr>
          <w:p w14:paraId="635B2F81" w14:textId="77777777" w:rsidR="003B3105" w:rsidRDefault="003B3105" w:rsidP="001E533B">
            <w:pPr>
              <w:rPr>
                <w:rFonts w:ascii="新細明體" w:eastAsia="新細明體" w:hAnsi="新細明體"/>
              </w:rPr>
            </w:pPr>
          </w:p>
        </w:tc>
        <w:tc>
          <w:tcPr>
            <w:tcW w:w="1276" w:type="dxa"/>
            <w:vMerge/>
          </w:tcPr>
          <w:p w14:paraId="3C3A4B72" w14:textId="77777777" w:rsidR="003B3105" w:rsidRDefault="003B3105" w:rsidP="001E533B">
            <w:pPr>
              <w:rPr>
                <w:rFonts w:ascii="新細明體" w:eastAsia="新細明體" w:hAnsi="新細明體"/>
              </w:rPr>
            </w:pPr>
          </w:p>
        </w:tc>
        <w:tc>
          <w:tcPr>
            <w:tcW w:w="5386" w:type="dxa"/>
            <w:tcBorders>
              <w:top w:val="nil"/>
              <w:bottom w:val="nil"/>
            </w:tcBorders>
          </w:tcPr>
          <w:p w14:paraId="236D17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1.客戶應開立集中保管劃撥帳戶，始得接受其委託零股買賣。</w:t>
            </w:r>
          </w:p>
        </w:tc>
        <w:tc>
          <w:tcPr>
            <w:tcW w:w="5387" w:type="dxa"/>
            <w:tcBorders>
              <w:top w:val="nil"/>
              <w:bottom w:val="nil"/>
            </w:tcBorders>
          </w:tcPr>
          <w:p w14:paraId="2B21CC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1.客戶應開立集中保管劃撥帳戶，始得接受其委託零股買賣。</w:t>
            </w:r>
          </w:p>
        </w:tc>
        <w:tc>
          <w:tcPr>
            <w:tcW w:w="2023" w:type="dxa"/>
            <w:vMerge/>
            <w:tcBorders>
              <w:right w:val="single" w:sz="12" w:space="0" w:color="auto"/>
            </w:tcBorders>
          </w:tcPr>
          <w:p w14:paraId="4AC1DE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662065" w14:textId="77777777">
        <w:tc>
          <w:tcPr>
            <w:tcW w:w="1384" w:type="dxa"/>
            <w:vMerge/>
            <w:tcBorders>
              <w:left w:val="single" w:sz="12" w:space="0" w:color="auto"/>
            </w:tcBorders>
          </w:tcPr>
          <w:p w14:paraId="07D0F27C" w14:textId="77777777" w:rsidR="003B3105" w:rsidRDefault="003B3105" w:rsidP="001E533B">
            <w:pPr>
              <w:rPr>
                <w:rFonts w:ascii="新細明體" w:eastAsia="新細明體" w:hAnsi="新細明體"/>
              </w:rPr>
            </w:pPr>
          </w:p>
        </w:tc>
        <w:tc>
          <w:tcPr>
            <w:tcW w:w="1276" w:type="dxa"/>
            <w:vMerge/>
          </w:tcPr>
          <w:p w14:paraId="75F346E6" w14:textId="77777777" w:rsidR="003B3105" w:rsidRDefault="003B3105" w:rsidP="001E533B">
            <w:pPr>
              <w:rPr>
                <w:rFonts w:ascii="新細明體" w:eastAsia="新細明體" w:hAnsi="新細明體"/>
              </w:rPr>
            </w:pPr>
          </w:p>
        </w:tc>
        <w:tc>
          <w:tcPr>
            <w:tcW w:w="5386" w:type="dxa"/>
            <w:tcBorders>
              <w:top w:val="nil"/>
              <w:bottom w:val="nil"/>
            </w:tcBorders>
          </w:tcPr>
          <w:p w14:paraId="10F3ED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78DEA8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10F2DF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5F9FD6" w14:textId="77777777">
        <w:tc>
          <w:tcPr>
            <w:tcW w:w="1384" w:type="dxa"/>
            <w:vMerge/>
            <w:tcBorders>
              <w:left w:val="single" w:sz="12" w:space="0" w:color="auto"/>
            </w:tcBorders>
          </w:tcPr>
          <w:p w14:paraId="78F599C1" w14:textId="77777777" w:rsidR="003B3105" w:rsidRDefault="003B3105" w:rsidP="001E533B">
            <w:pPr>
              <w:rPr>
                <w:rFonts w:ascii="新細明體" w:eastAsia="新細明體" w:hAnsi="新細明體"/>
              </w:rPr>
            </w:pPr>
          </w:p>
        </w:tc>
        <w:tc>
          <w:tcPr>
            <w:tcW w:w="1276" w:type="dxa"/>
            <w:vMerge/>
          </w:tcPr>
          <w:p w14:paraId="011883DE" w14:textId="77777777" w:rsidR="003B3105" w:rsidRDefault="003B3105" w:rsidP="001E533B">
            <w:pPr>
              <w:rPr>
                <w:rFonts w:ascii="新細明體" w:eastAsia="新細明體" w:hAnsi="新細明體"/>
              </w:rPr>
            </w:pPr>
          </w:p>
        </w:tc>
        <w:tc>
          <w:tcPr>
            <w:tcW w:w="5386" w:type="dxa"/>
            <w:tcBorders>
              <w:top w:val="nil"/>
              <w:bottom w:val="nil"/>
            </w:tcBorders>
          </w:tcPr>
          <w:p w14:paraId="24878D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3.盤後零股交易買賣申報時間應為每日下午一時四十分起至二時三十分止；公司若選擇參與盤中零股交易，盤中零股交易之買賣申報時間應為每日上午九時至下午一時三十分(自109年10月26日起</w:t>
            </w:r>
            <w:r>
              <w:rPr>
                <w:rFonts w:ascii="新細明體" w:eastAsia="新細明體" w:hAnsi="新細明體" w:cs="新細明體" w:hint="eastAsia"/>
              </w:rPr>
              <w:lastRenderedPageBreak/>
              <w:t>實施)。</w:t>
            </w:r>
          </w:p>
        </w:tc>
        <w:tc>
          <w:tcPr>
            <w:tcW w:w="5387" w:type="dxa"/>
            <w:tcBorders>
              <w:top w:val="nil"/>
              <w:bottom w:val="nil"/>
            </w:tcBorders>
          </w:tcPr>
          <w:p w14:paraId="7F56D2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3.盤後零股交易買賣申報時間應為每日下午一時四十分起至二時三十分止；公司若選擇參與盤中零股交易，盤中零股交易之買賣申報時間應為每日上午九時至下午一時三十分(自109年10月26日起</w:t>
            </w:r>
            <w:r>
              <w:rPr>
                <w:rFonts w:ascii="新細明體" w:eastAsia="新細明體" w:hAnsi="新細明體" w:cs="新細明體" w:hint="eastAsia"/>
              </w:rPr>
              <w:lastRenderedPageBreak/>
              <w:t>實施)。</w:t>
            </w:r>
          </w:p>
        </w:tc>
        <w:tc>
          <w:tcPr>
            <w:tcW w:w="2023" w:type="dxa"/>
            <w:vMerge/>
            <w:tcBorders>
              <w:right w:val="single" w:sz="12" w:space="0" w:color="auto"/>
            </w:tcBorders>
          </w:tcPr>
          <w:p w14:paraId="40DB26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BB26AD" w14:textId="77777777">
        <w:tc>
          <w:tcPr>
            <w:tcW w:w="1384" w:type="dxa"/>
            <w:vMerge/>
            <w:tcBorders>
              <w:left w:val="single" w:sz="12" w:space="0" w:color="auto"/>
            </w:tcBorders>
          </w:tcPr>
          <w:p w14:paraId="1983B135" w14:textId="77777777" w:rsidR="003B3105" w:rsidRDefault="003B3105" w:rsidP="001E533B">
            <w:pPr>
              <w:rPr>
                <w:rFonts w:ascii="新細明體" w:eastAsia="新細明體" w:hAnsi="新細明體"/>
              </w:rPr>
            </w:pPr>
          </w:p>
        </w:tc>
        <w:tc>
          <w:tcPr>
            <w:tcW w:w="1276" w:type="dxa"/>
            <w:vMerge/>
          </w:tcPr>
          <w:p w14:paraId="6C31F746" w14:textId="77777777" w:rsidR="003B3105" w:rsidRDefault="003B3105" w:rsidP="001E533B">
            <w:pPr>
              <w:rPr>
                <w:rFonts w:ascii="新細明體" w:eastAsia="新細明體" w:hAnsi="新細明體"/>
              </w:rPr>
            </w:pPr>
          </w:p>
        </w:tc>
        <w:tc>
          <w:tcPr>
            <w:tcW w:w="5386" w:type="dxa"/>
            <w:tcBorders>
              <w:top w:val="nil"/>
              <w:bottom w:val="nil"/>
            </w:tcBorders>
          </w:tcPr>
          <w:p w14:paraId="53E81B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4.零股交易每日升降幅度，適用證交所「營業細則」第六十三條規定或櫃檯買賣中心業務規則第五十五條。</w:t>
            </w:r>
          </w:p>
        </w:tc>
        <w:tc>
          <w:tcPr>
            <w:tcW w:w="5387" w:type="dxa"/>
            <w:tcBorders>
              <w:top w:val="nil"/>
              <w:bottom w:val="nil"/>
            </w:tcBorders>
          </w:tcPr>
          <w:p w14:paraId="0A6203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4.零股交易每日升降幅度，適用證交所「營業細則」第六十三條規定或櫃檯買賣中心業務規則第五十五條。</w:t>
            </w:r>
          </w:p>
        </w:tc>
        <w:tc>
          <w:tcPr>
            <w:tcW w:w="2023" w:type="dxa"/>
            <w:vMerge/>
            <w:tcBorders>
              <w:right w:val="single" w:sz="12" w:space="0" w:color="auto"/>
            </w:tcBorders>
          </w:tcPr>
          <w:p w14:paraId="6D313B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2058C9" w14:textId="77777777">
        <w:tc>
          <w:tcPr>
            <w:tcW w:w="1384" w:type="dxa"/>
            <w:vMerge/>
            <w:tcBorders>
              <w:left w:val="single" w:sz="12" w:space="0" w:color="auto"/>
            </w:tcBorders>
          </w:tcPr>
          <w:p w14:paraId="6AC76A46" w14:textId="77777777" w:rsidR="003B3105" w:rsidRDefault="003B3105" w:rsidP="001E533B">
            <w:pPr>
              <w:rPr>
                <w:rFonts w:ascii="新細明體" w:eastAsia="新細明體" w:hAnsi="新細明體"/>
              </w:rPr>
            </w:pPr>
          </w:p>
        </w:tc>
        <w:tc>
          <w:tcPr>
            <w:tcW w:w="1276" w:type="dxa"/>
            <w:vMerge/>
          </w:tcPr>
          <w:p w14:paraId="7F44FECE" w14:textId="77777777" w:rsidR="003B3105" w:rsidRDefault="003B3105" w:rsidP="001E533B">
            <w:pPr>
              <w:rPr>
                <w:rFonts w:ascii="新細明體" w:eastAsia="新細明體" w:hAnsi="新細明體"/>
              </w:rPr>
            </w:pPr>
          </w:p>
        </w:tc>
        <w:tc>
          <w:tcPr>
            <w:tcW w:w="5386" w:type="dxa"/>
            <w:tcBorders>
              <w:top w:val="nil"/>
              <w:bottom w:val="nil"/>
            </w:tcBorders>
          </w:tcPr>
          <w:p w14:paraId="14F01CF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凡客戶一次買賣上市櫃證券有證交所營業細則第七十一條或櫃檯買賣中心業務規則第三十五條之四情形之一者，委託書上須註明鉅額交易，其申報價格及時間依證交所「上市證券鉅額買賣辦法」或櫃檯買賣中心「上櫃證券鉅額買賣辦法」之相關規定辦理。</w:t>
            </w:r>
          </w:p>
        </w:tc>
        <w:tc>
          <w:tcPr>
            <w:tcW w:w="5387" w:type="dxa"/>
            <w:tcBorders>
              <w:top w:val="nil"/>
              <w:bottom w:val="nil"/>
            </w:tcBorders>
          </w:tcPr>
          <w:p w14:paraId="5A9350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凡客戶一次買賣上市櫃證券有證交所營業細則第七十一條或櫃檯買賣中心業務規則第三十五條之四情形之一者，委託書上須註明鉅額交易，其申報價格及時間依證交所「上市證券鉅額買賣辦法」或櫃檯買賣中心「上櫃證券鉅額買賣辦法」之相關規定辦理。</w:t>
            </w:r>
          </w:p>
        </w:tc>
        <w:tc>
          <w:tcPr>
            <w:tcW w:w="2023" w:type="dxa"/>
            <w:vMerge/>
            <w:tcBorders>
              <w:right w:val="single" w:sz="12" w:space="0" w:color="auto"/>
            </w:tcBorders>
          </w:tcPr>
          <w:p w14:paraId="607E37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EEFD04" w14:textId="77777777">
        <w:tc>
          <w:tcPr>
            <w:tcW w:w="1384" w:type="dxa"/>
            <w:vMerge/>
            <w:tcBorders>
              <w:left w:val="single" w:sz="12" w:space="0" w:color="auto"/>
            </w:tcBorders>
          </w:tcPr>
          <w:p w14:paraId="24FB0637" w14:textId="77777777" w:rsidR="003B3105" w:rsidRDefault="003B3105" w:rsidP="001E533B">
            <w:pPr>
              <w:rPr>
                <w:rFonts w:ascii="新細明體" w:eastAsia="新細明體" w:hAnsi="新細明體"/>
              </w:rPr>
            </w:pPr>
          </w:p>
        </w:tc>
        <w:tc>
          <w:tcPr>
            <w:tcW w:w="1276" w:type="dxa"/>
            <w:vMerge/>
          </w:tcPr>
          <w:p w14:paraId="4D2A34BC" w14:textId="77777777" w:rsidR="003B3105" w:rsidRDefault="003B3105" w:rsidP="001E533B">
            <w:pPr>
              <w:rPr>
                <w:rFonts w:ascii="新細明體" w:eastAsia="新細明體" w:hAnsi="新細明體"/>
              </w:rPr>
            </w:pPr>
          </w:p>
        </w:tc>
        <w:tc>
          <w:tcPr>
            <w:tcW w:w="5386" w:type="dxa"/>
            <w:tcBorders>
              <w:top w:val="nil"/>
              <w:bottom w:val="nil"/>
            </w:tcBorders>
          </w:tcPr>
          <w:p w14:paraId="6735F87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接受內部人員(含證券交易輔助人之內部人員)買賣應依證交所（櫃檯買賣中心）「證券商內部人員在所屬證券商開戶委託買賣有價證券管理辦法」之規定辦理（註：經營自營或承銷而無經紀業務之公司內部人員，限在公司指定之他證券商開戶，並受上述辦法規範，及公司內部人員得全權委託證券投資信託事業或證券投資顧問事業在公司開戶委託買賣，亦受上述辦法規範）：</w:t>
            </w:r>
          </w:p>
        </w:tc>
        <w:tc>
          <w:tcPr>
            <w:tcW w:w="5387" w:type="dxa"/>
            <w:tcBorders>
              <w:top w:val="nil"/>
              <w:bottom w:val="nil"/>
            </w:tcBorders>
          </w:tcPr>
          <w:p w14:paraId="1C8919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接受內部人員(含證券交易輔助人之內部人員)買賣應依證交所（櫃檯買賣中心）「證券商內部人員在所屬證券商開戶委託買賣有價證券管理辦法」之規定辦理（註：經營自營或承銷而無經紀業務之公司內部人員，限在公司指定之他證券商開戶，並受上述辦法規範，及公司內部人員得全權委託證券投資信託事業或證券投資顧問事業在公司開戶委託買賣，亦受上述辦法規範）：</w:t>
            </w:r>
          </w:p>
        </w:tc>
        <w:tc>
          <w:tcPr>
            <w:tcW w:w="2023" w:type="dxa"/>
            <w:vMerge/>
            <w:tcBorders>
              <w:right w:val="single" w:sz="12" w:space="0" w:color="auto"/>
            </w:tcBorders>
          </w:tcPr>
          <w:p w14:paraId="52AB3A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37DE70" w14:textId="77777777">
        <w:tc>
          <w:tcPr>
            <w:tcW w:w="1384" w:type="dxa"/>
            <w:vMerge/>
            <w:tcBorders>
              <w:left w:val="single" w:sz="12" w:space="0" w:color="auto"/>
            </w:tcBorders>
          </w:tcPr>
          <w:p w14:paraId="246D39C1" w14:textId="77777777" w:rsidR="003B3105" w:rsidRDefault="003B3105" w:rsidP="001E533B">
            <w:pPr>
              <w:rPr>
                <w:rFonts w:ascii="新細明體" w:eastAsia="新細明體" w:hAnsi="新細明體"/>
              </w:rPr>
            </w:pPr>
          </w:p>
        </w:tc>
        <w:tc>
          <w:tcPr>
            <w:tcW w:w="1276" w:type="dxa"/>
            <w:vMerge/>
          </w:tcPr>
          <w:p w14:paraId="0D4D568A" w14:textId="77777777" w:rsidR="003B3105" w:rsidRDefault="003B3105" w:rsidP="001E533B">
            <w:pPr>
              <w:rPr>
                <w:rFonts w:ascii="新細明體" w:eastAsia="新細明體" w:hAnsi="新細明體"/>
              </w:rPr>
            </w:pPr>
          </w:p>
        </w:tc>
        <w:tc>
          <w:tcPr>
            <w:tcW w:w="5386" w:type="dxa"/>
            <w:tcBorders>
              <w:top w:val="nil"/>
              <w:bottom w:val="nil"/>
            </w:tcBorders>
          </w:tcPr>
          <w:p w14:paraId="6AFDB3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1.公司內部人員之委託買賣應由公司於成交後檢查其交易有無涉及未公開資訊情形，或與公司或其他客戶有利益衝突而有迴避之必要，並於內部控制制度中訂定檢查程序（註：請公司自訂檢查程序）。</w:t>
            </w:r>
          </w:p>
        </w:tc>
        <w:tc>
          <w:tcPr>
            <w:tcW w:w="5387" w:type="dxa"/>
            <w:tcBorders>
              <w:top w:val="nil"/>
              <w:bottom w:val="nil"/>
            </w:tcBorders>
          </w:tcPr>
          <w:p w14:paraId="21CF33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1.公司內部人員之委託買賣應由公司於成交後檢查其交易有無涉及未公開資訊情形，或與公司或其他客戶有利益衝突而有迴避之必要，並於內部控制制度中訂定檢查程序（註：請公司自訂檢查程序）。</w:t>
            </w:r>
          </w:p>
        </w:tc>
        <w:tc>
          <w:tcPr>
            <w:tcW w:w="2023" w:type="dxa"/>
            <w:vMerge/>
            <w:tcBorders>
              <w:right w:val="single" w:sz="12" w:space="0" w:color="auto"/>
            </w:tcBorders>
          </w:tcPr>
          <w:p w14:paraId="24FAFFE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9AC8AC" w14:textId="77777777">
        <w:tc>
          <w:tcPr>
            <w:tcW w:w="1384" w:type="dxa"/>
            <w:vMerge/>
            <w:tcBorders>
              <w:left w:val="single" w:sz="12" w:space="0" w:color="auto"/>
            </w:tcBorders>
          </w:tcPr>
          <w:p w14:paraId="165D5E42" w14:textId="77777777" w:rsidR="003B3105" w:rsidRDefault="003B3105" w:rsidP="001E533B">
            <w:pPr>
              <w:rPr>
                <w:rFonts w:ascii="新細明體" w:eastAsia="新細明體" w:hAnsi="新細明體"/>
              </w:rPr>
            </w:pPr>
          </w:p>
        </w:tc>
        <w:tc>
          <w:tcPr>
            <w:tcW w:w="1276" w:type="dxa"/>
            <w:vMerge/>
          </w:tcPr>
          <w:p w14:paraId="16F5CF37" w14:textId="77777777" w:rsidR="003B3105" w:rsidRDefault="003B3105" w:rsidP="001E533B">
            <w:pPr>
              <w:rPr>
                <w:rFonts w:ascii="新細明體" w:eastAsia="新細明體" w:hAnsi="新細明體"/>
              </w:rPr>
            </w:pPr>
          </w:p>
        </w:tc>
        <w:tc>
          <w:tcPr>
            <w:tcW w:w="5386" w:type="dxa"/>
            <w:tcBorders>
              <w:top w:val="nil"/>
              <w:bottom w:val="nil"/>
            </w:tcBorders>
          </w:tcPr>
          <w:p w14:paraId="6F1B1E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2.公司應指定專人每日分別檢視當日下列</w:t>
            </w:r>
            <w:r>
              <w:rPr>
                <w:rFonts w:ascii="新細明體" w:eastAsia="新細明體" w:hAnsi="新細明體" w:cs="新細明體" w:hint="eastAsia"/>
              </w:rPr>
              <w:lastRenderedPageBreak/>
              <w:t>內部人員(含總公司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之委託買賣明細及其權責可知悉客戶之委託買賣明細，以瞭解內部人員有無利用職務知悉之消息而發生利益衝突之情事，如有於短時間(前後5分鐘)內同方向買進或賣出相同標的者，應請其出具說明書說明原因後陳送其權責主管審核，並留存相關紀錄。</w:t>
            </w:r>
          </w:p>
        </w:tc>
        <w:tc>
          <w:tcPr>
            <w:tcW w:w="5387" w:type="dxa"/>
            <w:tcBorders>
              <w:top w:val="nil"/>
              <w:bottom w:val="nil"/>
            </w:tcBorders>
          </w:tcPr>
          <w:p w14:paraId="7E60F9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2.公司應指定專人每日分別檢視當日下列</w:t>
            </w:r>
            <w:r>
              <w:rPr>
                <w:rFonts w:ascii="新細明體" w:eastAsia="新細明體" w:hAnsi="新細明體" w:cs="新細明體" w:hint="eastAsia"/>
              </w:rPr>
              <w:lastRenderedPageBreak/>
              <w:t>內部人員(含總</w:t>
            </w:r>
            <w:r>
              <w:rPr>
                <w:rFonts w:ascii="新細明體" w:eastAsia="新細明體" w:hAnsi="新細明體" w:cs="新細明體" w:hint="eastAsia"/>
                <w:b/>
                <w:color w:val="FF0000"/>
              </w:rPr>
              <w:t>分</w:t>
            </w:r>
            <w:r>
              <w:rPr>
                <w:rFonts w:ascii="新細明體" w:eastAsia="新細明體" w:hAnsi="新細明體" w:cs="新細明體" w:hint="eastAsia"/>
              </w:rPr>
              <w:t>公司)之委託買賣明細及其權責可知悉客戶之委託買賣明細，以瞭解內部人員有無利用職務知悉之消息而發生利益衝突之情事，如有於短時間(前後5分鐘)內同方向買進或賣出相同標的者，應請其出具說明書說明原因後陳送其權責主管審核，並留存相關紀錄。</w:t>
            </w:r>
          </w:p>
        </w:tc>
        <w:tc>
          <w:tcPr>
            <w:tcW w:w="2023" w:type="dxa"/>
            <w:vMerge/>
            <w:tcBorders>
              <w:right w:val="single" w:sz="12" w:space="0" w:color="auto"/>
            </w:tcBorders>
          </w:tcPr>
          <w:p w14:paraId="693ECF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E37BBE" w14:textId="77777777">
        <w:tc>
          <w:tcPr>
            <w:tcW w:w="1384" w:type="dxa"/>
            <w:vMerge/>
            <w:tcBorders>
              <w:left w:val="single" w:sz="12" w:space="0" w:color="auto"/>
            </w:tcBorders>
          </w:tcPr>
          <w:p w14:paraId="32112DE0" w14:textId="77777777" w:rsidR="003B3105" w:rsidRDefault="003B3105" w:rsidP="001E533B">
            <w:pPr>
              <w:rPr>
                <w:rFonts w:ascii="新細明體" w:eastAsia="新細明體" w:hAnsi="新細明體"/>
              </w:rPr>
            </w:pPr>
          </w:p>
        </w:tc>
        <w:tc>
          <w:tcPr>
            <w:tcW w:w="1276" w:type="dxa"/>
            <w:vMerge/>
          </w:tcPr>
          <w:p w14:paraId="5819B77A" w14:textId="77777777" w:rsidR="003B3105" w:rsidRDefault="003B3105" w:rsidP="001E533B">
            <w:pPr>
              <w:rPr>
                <w:rFonts w:ascii="新細明體" w:eastAsia="新細明體" w:hAnsi="新細明體"/>
              </w:rPr>
            </w:pPr>
          </w:p>
        </w:tc>
        <w:tc>
          <w:tcPr>
            <w:tcW w:w="5386" w:type="dxa"/>
            <w:tcBorders>
              <w:top w:val="nil"/>
              <w:bottom w:val="nil"/>
            </w:tcBorders>
          </w:tcPr>
          <w:p w14:paraId="6DA099A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5387" w:type="dxa"/>
            <w:tcBorders>
              <w:top w:val="nil"/>
              <w:bottom w:val="nil"/>
            </w:tcBorders>
          </w:tcPr>
          <w:p w14:paraId="4532E5A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2023" w:type="dxa"/>
            <w:vMerge/>
            <w:tcBorders>
              <w:right w:val="single" w:sz="12" w:space="0" w:color="auto"/>
            </w:tcBorders>
          </w:tcPr>
          <w:p w14:paraId="4CA0C6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138C47" w14:textId="77777777">
        <w:tc>
          <w:tcPr>
            <w:tcW w:w="1384" w:type="dxa"/>
            <w:vMerge/>
            <w:tcBorders>
              <w:left w:val="single" w:sz="12" w:space="0" w:color="auto"/>
            </w:tcBorders>
          </w:tcPr>
          <w:p w14:paraId="080EFBB9" w14:textId="77777777" w:rsidR="003B3105" w:rsidRDefault="003B3105" w:rsidP="001E533B">
            <w:pPr>
              <w:rPr>
                <w:rFonts w:ascii="新細明體" w:eastAsia="新細明體" w:hAnsi="新細明體"/>
              </w:rPr>
            </w:pPr>
          </w:p>
        </w:tc>
        <w:tc>
          <w:tcPr>
            <w:tcW w:w="1276" w:type="dxa"/>
            <w:vMerge/>
          </w:tcPr>
          <w:p w14:paraId="41DB9790" w14:textId="77777777" w:rsidR="003B3105" w:rsidRDefault="003B3105" w:rsidP="001E533B">
            <w:pPr>
              <w:rPr>
                <w:rFonts w:ascii="新細明體" w:eastAsia="新細明體" w:hAnsi="新細明體"/>
              </w:rPr>
            </w:pPr>
          </w:p>
        </w:tc>
        <w:tc>
          <w:tcPr>
            <w:tcW w:w="5386" w:type="dxa"/>
            <w:tcBorders>
              <w:top w:val="nil"/>
              <w:bottom w:val="nil"/>
            </w:tcBorders>
          </w:tcPr>
          <w:p w14:paraId="2052415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5387" w:type="dxa"/>
            <w:tcBorders>
              <w:top w:val="nil"/>
              <w:bottom w:val="nil"/>
            </w:tcBorders>
          </w:tcPr>
          <w:p w14:paraId="0EA23C4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2023" w:type="dxa"/>
            <w:vMerge/>
            <w:tcBorders>
              <w:right w:val="single" w:sz="12" w:space="0" w:color="auto"/>
            </w:tcBorders>
          </w:tcPr>
          <w:p w14:paraId="00EFC2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281E51" w14:textId="77777777">
        <w:tc>
          <w:tcPr>
            <w:tcW w:w="1384" w:type="dxa"/>
            <w:vMerge/>
            <w:tcBorders>
              <w:left w:val="single" w:sz="12" w:space="0" w:color="auto"/>
            </w:tcBorders>
          </w:tcPr>
          <w:p w14:paraId="4DF93A2A" w14:textId="77777777" w:rsidR="003B3105" w:rsidRDefault="003B3105" w:rsidP="001E533B">
            <w:pPr>
              <w:rPr>
                <w:rFonts w:ascii="新細明體" w:eastAsia="新細明體" w:hAnsi="新細明體"/>
              </w:rPr>
            </w:pPr>
          </w:p>
        </w:tc>
        <w:tc>
          <w:tcPr>
            <w:tcW w:w="1276" w:type="dxa"/>
            <w:vMerge/>
          </w:tcPr>
          <w:p w14:paraId="6D392F57" w14:textId="77777777" w:rsidR="003B3105" w:rsidRDefault="003B3105" w:rsidP="001E533B">
            <w:pPr>
              <w:rPr>
                <w:rFonts w:ascii="新細明體" w:eastAsia="新細明體" w:hAnsi="新細明體"/>
              </w:rPr>
            </w:pPr>
          </w:p>
        </w:tc>
        <w:tc>
          <w:tcPr>
            <w:tcW w:w="5386" w:type="dxa"/>
            <w:tcBorders>
              <w:top w:val="nil"/>
              <w:bottom w:val="nil"/>
            </w:tcBorders>
          </w:tcPr>
          <w:p w14:paraId="45DA091A"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5387" w:type="dxa"/>
            <w:tcBorders>
              <w:top w:val="nil"/>
              <w:bottom w:val="nil"/>
            </w:tcBorders>
          </w:tcPr>
          <w:p w14:paraId="589C04E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2023" w:type="dxa"/>
            <w:vMerge/>
            <w:tcBorders>
              <w:right w:val="single" w:sz="12" w:space="0" w:color="auto"/>
            </w:tcBorders>
          </w:tcPr>
          <w:p w14:paraId="747435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E67C0E" w14:textId="77777777">
        <w:tc>
          <w:tcPr>
            <w:tcW w:w="1384" w:type="dxa"/>
            <w:vMerge/>
            <w:tcBorders>
              <w:left w:val="single" w:sz="12" w:space="0" w:color="auto"/>
            </w:tcBorders>
          </w:tcPr>
          <w:p w14:paraId="031FDABA" w14:textId="77777777" w:rsidR="003B3105" w:rsidRDefault="003B3105" w:rsidP="001E533B">
            <w:pPr>
              <w:rPr>
                <w:rFonts w:ascii="新細明體" w:eastAsia="新細明體" w:hAnsi="新細明體"/>
              </w:rPr>
            </w:pPr>
          </w:p>
        </w:tc>
        <w:tc>
          <w:tcPr>
            <w:tcW w:w="1276" w:type="dxa"/>
            <w:vMerge/>
          </w:tcPr>
          <w:p w14:paraId="7816C81D" w14:textId="77777777" w:rsidR="003B3105" w:rsidRDefault="003B3105" w:rsidP="001E533B">
            <w:pPr>
              <w:rPr>
                <w:rFonts w:ascii="新細明體" w:eastAsia="新細明體" w:hAnsi="新細明體"/>
              </w:rPr>
            </w:pPr>
          </w:p>
        </w:tc>
        <w:tc>
          <w:tcPr>
            <w:tcW w:w="5386" w:type="dxa"/>
            <w:tcBorders>
              <w:top w:val="nil"/>
              <w:bottom w:val="nil"/>
            </w:tcBorders>
          </w:tcPr>
          <w:p w14:paraId="1D0809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5387" w:type="dxa"/>
            <w:tcBorders>
              <w:top w:val="nil"/>
              <w:bottom w:val="nil"/>
            </w:tcBorders>
          </w:tcPr>
          <w:p w14:paraId="586A2BD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2023" w:type="dxa"/>
            <w:vMerge/>
            <w:tcBorders>
              <w:right w:val="single" w:sz="12" w:space="0" w:color="auto"/>
            </w:tcBorders>
          </w:tcPr>
          <w:p w14:paraId="7C1FC5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74E29E" w14:textId="77777777">
        <w:tc>
          <w:tcPr>
            <w:tcW w:w="1384" w:type="dxa"/>
            <w:vMerge/>
            <w:tcBorders>
              <w:left w:val="single" w:sz="12" w:space="0" w:color="auto"/>
            </w:tcBorders>
          </w:tcPr>
          <w:p w14:paraId="4A32169A" w14:textId="77777777" w:rsidR="003B3105" w:rsidRDefault="003B3105" w:rsidP="001E533B">
            <w:pPr>
              <w:rPr>
                <w:rFonts w:ascii="新細明體" w:eastAsia="新細明體" w:hAnsi="新細明體"/>
              </w:rPr>
            </w:pPr>
          </w:p>
        </w:tc>
        <w:tc>
          <w:tcPr>
            <w:tcW w:w="1276" w:type="dxa"/>
            <w:vMerge/>
          </w:tcPr>
          <w:p w14:paraId="7E99F2E6" w14:textId="77777777" w:rsidR="003B3105" w:rsidRDefault="003B3105" w:rsidP="001E533B">
            <w:pPr>
              <w:rPr>
                <w:rFonts w:ascii="新細明體" w:eastAsia="新細明體" w:hAnsi="新細明體"/>
              </w:rPr>
            </w:pPr>
          </w:p>
        </w:tc>
        <w:tc>
          <w:tcPr>
            <w:tcW w:w="5386" w:type="dxa"/>
            <w:tcBorders>
              <w:top w:val="nil"/>
              <w:bottom w:val="nil"/>
            </w:tcBorders>
          </w:tcPr>
          <w:p w14:paraId="7308636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5387" w:type="dxa"/>
            <w:tcBorders>
              <w:top w:val="nil"/>
              <w:bottom w:val="nil"/>
            </w:tcBorders>
          </w:tcPr>
          <w:p w14:paraId="23DA5E6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2023" w:type="dxa"/>
            <w:vMerge/>
            <w:tcBorders>
              <w:right w:val="single" w:sz="12" w:space="0" w:color="auto"/>
            </w:tcBorders>
          </w:tcPr>
          <w:p w14:paraId="0B6381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B0AF57" w14:textId="77777777">
        <w:tc>
          <w:tcPr>
            <w:tcW w:w="1384" w:type="dxa"/>
            <w:vMerge/>
            <w:tcBorders>
              <w:left w:val="single" w:sz="12" w:space="0" w:color="auto"/>
            </w:tcBorders>
          </w:tcPr>
          <w:p w14:paraId="3626684B" w14:textId="77777777" w:rsidR="003B3105" w:rsidRDefault="003B3105" w:rsidP="001E533B">
            <w:pPr>
              <w:rPr>
                <w:rFonts w:ascii="新細明體" w:eastAsia="新細明體" w:hAnsi="新細明體"/>
              </w:rPr>
            </w:pPr>
          </w:p>
        </w:tc>
        <w:tc>
          <w:tcPr>
            <w:tcW w:w="1276" w:type="dxa"/>
            <w:vMerge/>
          </w:tcPr>
          <w:p w14:paraId="7A7BD51E" w14:textId="77777777" w:rsidR="003B3105" w:rsidRDefault="003B3105" w:rsidP="001E533B">
            <w:pPr>
              <w:rPr>
                <w:rFonts w:ascii="新細明體" w:eastAsia="新細明體" w:hAnsi="新細明體"/>
              </w:rPr>
            </w:pPr>
          </w:p>
        </w:tc>
        <w:tc>
          <w:tcPr>
            <w:tcW w:w="5386" w:type="dxa"/>
            <w:tcBorders>
              <w:top w:val="nil"/>
              <w:bottom w:val="nil"/>
            </w:tcBorders>
          </w:tcPr>
          <w:p w14:paraId="7BABD1D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5387" w:type="dxa"/>
            <w:tcBorders>
              <w:top w:val="nil"/>
              <w:bottom w:val="nil"/>
            </w:tcBorders>
          </w:tcPr>
          <w:p w14:paraId="099EEF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2023" w:type="dxa"/>
            <w:vMerge/>
            <w:tcBorders>
              <w:right w:val="single" w:sz="12" w:space="0" w:color="auto"/>
            </w:tcBorders>
          </w:tcPr>
          <w:p w14:paraId="3160FC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A3E498" w14:textId="77777777">
        <w:tc>
          <w:tcPr>
            <w:tcW w:w="1384" w:type="dxa"/>
            <w:vMerge/>
            <w:tcBorders>
              <w:left w:val="single" w:sz="12" w:space="0" w:color="auto"/>
            </w:tcBorders>
          </w:tcPr>
          <w:p w14:paraId="45439BE9" w14:textId="77777777" w:rsidR="003B3105" w:rsidRDefault="003B3105" w:rsidP="001E533B">
            <w:pPr>
              <w:rPr>
                <w:rFonts w:ascii="新細明體" w:eastAsia="新細明體" w:hAnsi="新細明體"/>
              </w:rPr>
            </w:pPr>
          </w:p>
        </w:tc>
        <w:tc>
          <w:tcPr>
            <w:tcW w:w="1276" w:type="dxa"/>
            <w:vMerge/>
          </w:tcPr>
          <w:p w14:paraId="4DC1047F" w14:textId="77777777" w:rsidR="003B3105" w:rsidRDefault="003B3105" w:rsidP="001E533B">
            <w:pPr>
              <w:rPr>
                <w:rFonts w:ascii="新細明體" w:eastAsia="新細明體" w:hAnsi="新細明體"/>
              </w:rPr>
            </w:pPr>
          </w:p>
        </w:tc>
        <w:tc>
          <w:tcPr>
            <w:tcW w:w="5386" w:type="dxa"/>
            <w:tcBorders>
              <w:top w:val="nil"/>
              <w:bottom w:val="nil"/>
            </w:tcBorders>
          </w:tcPr>
          <w:p w14:paraId="00D6679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5387" w:type="dxa"/>
            <w:tcBorders>
              <w:top w:val="nil"/>
              <w:bottom w:val="nil"/>
            </w:tcBorders>
          </w:tcPr>
          <w:p w14:paraId="3C50AB1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2023" w:type="dxa"/>
            <w:vMerge/>
            <w:tcBorders>
              <w:right w:val="single" w:sz="12" w:space="0" w:color="auto"/>
            </w:tcBorders>
          </w:tcPr>
          <w:p w14:paraId="7DC0D4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3C4B2D" w14:textId="77777777">
        <w:tc>
          <w:tcPr>
            <w:tcW w:w="1384" w:type="dxa"/>
            <w:vMerge/>
            <w:tcBorders>
              <w:left w:val="single" w:sz="12" w:space="0" w:color="auto"/>
            </w:tcBorders>
          </w:tcPr>
          <w:p w14:paraId="4F8595BA" w14:textId="77777777" w:rsidR="003B3105" w:rsidRDefault="003B3105" w:rsidP="001E533B">
            <w:pPr>
              <w:rPr>
                <w:rFonts w:ascii="新細明體" w:eastAsia="新細明體" w:hAnsi="新細明體"/>
              </w:rPr>
            </w:pPr>
          </w:p>
        </w:tc>
        <w:tc>
          <w:tcPr>
            <w:tcW w:w="1276" w:type="dxa"/>
            <w:vMerge/>
          </w:tcPr>
          <w:p w14:paraId="52CDD9BC" w14:textId="77777777" w:rsidR="003B3105" w:rsidRDefault="003B3105" w:rsidP="001E533B">
            <w:pPr>
              <w:rPr>
                <w:rFonts w:ascii="新細明體" w:eastAsia="新細明體" w:hAnsi="新細明體"/>
              </w:rPr>
            </w:pPr>
          </w:p>
        </w:tc>
        <w:tc>
          <w:tcPr>
            <w:tcW w:w="5386" w:type="dxa"/>
            <w:tcBorders>
              <w:top w:val="nil"/>
              <w:bottom w:val="nil"/>
            </w:tcBorders>
          </w:tcPr>
          <w:p w14:paraId="3E26E0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5387" w:type="dxa"/>
            <w:tcBorders>
              <w:top w:val="nil"/>
              <w:bottom w:val="nil"/>
            </w:tcBorders>
          </w:tcPr>
          <w:p w14:paraId="7491D5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2023" w:type="dxa"/>
            <w:vMerge/>
            <w:tcBorders>
              <w:right w:val="single" w:sz="12" w:space="0" w:color="auto"/>
            </w:tcBorders>
          </w:tcPr>
          <w:p w14:paraId="19B0B5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022A02" w14:textId="77777777">
        <w:tc>
          <w:tcPr>
            <w:tcW w:w="1384" w:type="dxa"/>
            <w:vMerge/>
            <w:tcBorders>
              <w:left w:val="single" w:sz="12" w:space="0" w:color="auto"/>
            </w:tcBorders>
          </w:tcPr>
          <w:p w14:paraId="431CC9ED" w14:textId="77777777" w:rsidR="003B3105" w:rsidRDefault="003B3105" w:rsidP="001E533B">
            <w:pPr>
              <w:rPr>
                <w:rFonts w:ascii="新細明體" w:eastAsia="新細明體" w:hAnsi="新細明體"/>
              </w:rPr>
            </w:pPr>
          </w:p>
        </w:tc>
        <w:tc>
          <w:tcPr>
            <w:tcW w:w="1276" w:type="dxa"/>
            <w:vMerge/>
          </w:tcPr>
          <w:p w14:paraId="427B5500" w14:textId="77777777" w:rsidR="003B3105" w:rsidRDefault="003B3105" w:rsidP="001E533B">
            <w:pPr>
              <w:rPr>
                <w:rFonts w:ascii="新細明體" w:eastAsia="新細明體" w:hAnsi="新細明體"/>
              </w:rPr>
            </w:pPr>
          </w:p>
        </w:tc>
        <w:tc>
          <w:tcPr>
            <w:tcW w:w="5386" w:type="dxa"/>
            <w:tcBorders>
              <w:top w:val="nil"/>
              <w:bottom w:val="nil"/>
            </w:tcBorders>
          </w:tcPr>
          <w:p w14:paraId="1078BAEB"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發現有利益衝突情事者，應依公司相關規定予以處置。</w:t>
            </w:r>
          </w:p>
        </w:tc>
        <w:tc>
          <w:tcPr>
            <w:tcW w:w="5387" w:type="dxa"/>
            <w:tcBorders>
              <w:top w:val="nil"/>
              <w:bottom w:val="nil"/>
            </w:tcBorders>
          </w:tcPr>
          <w:p w14:paraId="02A77BA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發現有利益衝突情事者，應依公司相關規定予以處置。</w:t>
            </w:r>
          </w:p>
        </w:tc>
        <w:tc>
          <w:tcPr>
            <w:tcW w:w="2023" w:type="dxa"/>
            <w:vMerge/>
            <w:tcBorders>
              <w:right w:val="single" w:sz="12" w:space="0" w:color="auto"/>
            </w:tcBorders>
          </w:tcPr>
          <w:p w14:paraId="6E3F64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FC4068" w14:textId="77777777">
        <w:tc>
          <w:tcPr>
            <w:tcW w:w="1384" w:type="dxa"/>
            <w:vMerge/>
            <w:tcBorders>
              <w:left w:val="single" w:sz="12" w:space="0" w:color="auto"/>
            </w:tcBorders>
          </w:tcPr>
          <w:p w14:paraId="1B12479A" w14:textId="77777777" w:rsidR="003B3105" w:rsidRDefault="003B3105" w:rsidP="001E533B">
            <w:pPr>
              <w:rPr>
                <w:rFonts w:ascii="新細明體" w:eastAsia="新細明體" w:hAnsi="新細明體"/>
              </w:rPr>
            </w:pPr>
          </w:p>
        </w:tc>
        <w:tc>
          <w:tcPr>
            <w:tcW w:w="1276" w:type="dxa"/>
            <w:vMerge/>
          </w:tcPr>
          <w:p w14:paraId="27518D41" w14:textId="77777777" w:rsidR="003B3105" w:rsidRDefault="003B3105" w:rsidP="001E533B">
            <w:pPr>
              <w:rPr>
                <w:rFonts w:ascii="新細明體" w:eastAsia="新細明體" w:hAnsi="新細明體"/>
              </w:rPr>
            </w:pPr>
          </w:p>
        </w:tc>
        <w:tc>
          <w:tcPr>
            <w:tcW w:w="5386" w:type="dxa"/>
            <w:tcBorders>
              <w:top w:val="nil"/>
              <w:bottom w:val="nil"/>
            </w:tcBorders>
          </w:tcPr>
          <w:p w14:paraId="7EA4B3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3.受託買賣業務人員接受內部人員及證券交易輔助人之內部人員委託買賣，如知悉其有利用他人名義為之時，應拒絕接受委託買賣，並通知受託買賣主管處理。受託買賣業務人員除自行以電子式交易</w:t>
            </w:r>
            <w:r>
              <w:rPr>
                <w:rFonts w:ascii="新細明體" w:eastAsia="新細明體" w:hAnsi="新細明體" w:cs="新細明體" w:hint="eastAsia"/>
              </w:rPr>
              <w:lastRenderedPageBreak/>
              <w:t>外，不得受理自身及依證交所營業細則第七十五條第一項第四款、櫃檯買賣中心證券商營業處所買賣有價證券業務規則第四十五條之一第一項所代理帳戶之委託交易。</w:t>
            </w:r>
          </w:p>
        </w:tc>
        <w:tc>
          <w:tcPr>
            <w:tcW w:w="5387" w:type="dxa"/>
            <w:tcBorders>
              <w:top w:val="nil"/>
              <w:bottom w:val="nil"/>
            </w:tcBorders>
          </w:tcPr>
          <w:p w14:paraId="0F93B5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3.受託買賣業務人員接受內部人員及證券交易輔助人之內部人員委託買賣，如知悉其有利用他人名義為之時，應拒絕接受委託買賣，並通知受託買賣主管處理。受託買賣業務人員除自行以電子式交易</w:t>
            </w:r>
            <w:r>
              <w:rPr>
                <w:rFonts w:ascii="新細明體" w:eastAsia="新細明體" w:hAnsi="新細明體" w:cs="新細明體" w:hint="eastAsia"/>
              </w:rPr>
              <w:lastRenderedPageBreak/>
              <w:t>外，不得受理自身及依證交所營業細則第七十五條第一項第四款、櫃檯買賣中心證券商營業處所買賣有價證券業務規則第四十五條之一第一項所代理帳戶之委託交易。</w:t>
            </w:r>
          </w:p>
        </w:tc>
        <w:tc>
          <w:tcPr>
            <w:tcW w:w="2023" w:type="dxa"/>
            <w:vMerge/>
            <w:tcBorders>
              <w:right w:val="single" w:sz="12" w:space="0" w:color="auto"/>
            </w:tcBorders>
          </w:tcPr>
          <w:p w14:paraId="309BD9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5DDFB5" w14:textId="77777777">
        <w:tc>
          <w:tcPr>
            <w:tcW w:w="1384" w:type="dxa"/>
            <w:vMerge/>
            <w:tcBorders>
              <w:left w:val="single" w:sz="12" w:space="0" w:color="auto"/>
            </w:tcBorders>
          </w:tcPr>
          <w:p w14:paraId="193FCA73" w14:textId="77777777" w:rsidR="003B3105" w:rsidRDefault="003B3105" w:rsidP="001E533B">
            <w:pPr>
              <w:rPr>
                <w:rFonts w:ascii="新細明體" w:eastAsia="新細明體" w:hAnsi="新細明體"/>
              </w:rPr>
            </w:pPr>
          </w:p>
        </w:tc>
        <w:tc>
          <w:tcPr>
            <w:tcW w:w="1276" w:type="dxa"/>
            <w:vMerge/>
          </w:tcPr>
          <w:p w14:paraId="3F464A23" w14:textId="77777777" w:rsidR="003B3105" w:rsidRDefault="003B3105" w:rsidP="001E533B">
            <w:pPr>
              <w:rPr>
                <w:rFonts w:ascii="新細明體" w:eastAsia="新細明體" w:hAnsi="新細明體"/>
              </w:rPr>
            </w:pPr>
          </w:p>
        </w:tc>
        <w:tc>
          <w:tcPr>
            <w:tcW w:w="5386" w:type="dxa"/>
            <w:tcBorders>
              <w:top w:val="nil"/>
              <w:bottom w:val="nil"/>
            </w:tcBorders>
          </w:tcPr>
          <w:p w14:paraId="0696E8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4.公司內部人員獲悉承銷部門出售其包銷取得之股票或自營部門欲為買賣股票種類者，於承銷部門出售或自營部門買賣前，不得為同種類股票之買賣委託。</w:t>
            </w:r>
          </w:p>
        </w:tc>
        <w:tc>
          <w:tcPr>
            <w:tcW w:w="5387" w:type="dxa"/>
            <w:tcBorders>
              <w:top w:val="nil"/>
              <w:bottom w:val="nil"/>
            </w:tcBorders>
          </w:tcPr>
          <w:p w14:paraId="66650A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4.公司內部人員獲悉承銷部門出售其包銷取得之股票或自營部門欲為買賣股票種類者，於承銷部門出售或自營部門買賣前，不得為同種類股票之買賣委託。</w:t>
            </w:r>
          </w:p>
        </w:tc>
        <w:tc>
          <w:tcPr>
            <w:tcW w:w="2023" w:type="dxa"/>
            <w:vMerge/>
            <w:tcBorders>
              <w:right w:val="single" w:sz="12" w:space="0" w:color="auto"/>
            </w:tcBorders>
          </w:tcPr>
          <w:p w14:paraId="4D48D6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18313A" w14:textId="77777777">
        <w:tc>
          <w:tcPr>
            <w:tcW w:w="1384" w:type="dxa"/>
            <w:vMerge/>
            <w:tcBorders>
              <w:left w:val="single" w:sz="12" w:space="0" w:color="auto"/>
            </w:tcBorders>
          </w:tcPr>
          <w:p w14:paraId="725C1611" w14:textId="77777777" w:rsidR="003B3105" w:rsidRDefault="003B3105" w:rsidP="001E533B">
            <w:pPr>
              <w:rPr>
                <w:rFonts w:ascii="新細明體" w:eastAsia="新細明體" w:hAnsi="新細明體"/>
              </w:rPr>
            </w:pPr>
          </w:p>
        </w:tc>
        <w:tc>
          <w:tcPr>
            <w:tcW w:w="1276" w:type="dxa"/>
            <w:vMerge/>
          </w:tcPr>
          <w:p w14:paraId="51C778FE" w14:textId="77777777" w:rsidR="003B3105" w:rsidRDefault="003B3105" w:rsidP="001E533B">
            <w:pPr>
              <w:rPr>
                <w:rFonts w:ascii="新細明體" w:eastAsia="新細明體" w:hAnsi="新細明體"/>
              </w:rPr>
            </w:pPr>
          </w:p>
        </w:tc>
        <w:tc>
          <w:tcPr>
            <w:tcW w:w="5386" w:type="dxa"/>
            <w:tcBorders>
              <w:top w:val="nil"/>
              <w:bottom w:val="nil"/>
            </w:tcBorders>
          </w:tcPr>
          <w:p w14:paraId="6C799A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內部人員得在所屬公司從事信用交易，惟公司對其從事信用交易之融資利率、融券手續費費率及融券賣出價款與融券保證金利率標準，不得與一般客戶有差別待遇，並應確依陳報主管機關之利率及費率辦理，於有價證券進行融資融券額度分配時，僅能了結該有價證券之融資融券交易，不得再為新增該有價證券之融資融券委託。</w:t>
            </w:r>
          </w:p>
        </w:tc>
        <w:tc>
          <w:tcPr>
            <w:tcW w:w="5387" w:type="dxa"/>
            <w:tcBorders>
              <w:top w:val="nil"/>
              <w:bottom w:val="nil"/>
            </w:tcBorders>
          </w:tcPr>
          <w:p w14:paraId="103BB9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內部人員得在所屬公司從事信用交易，惟公司對其從事信用交易之融資利率、融券手續費費率及融券賣出價款與融券保證金利率標準，不得與一般客戶有差別待遇，並應確依陳報主管機關之利率及費率辦理，於有價證券進行融資融券額度分配時，僅能了結該有價證券之融資融券交易，不得再為新增該有價證券之融資融券委託。</w:t>
            </w:r>
          </w:p>
        </w:tc>
        <w:tc>
          <w:tcPr>
            <w:tcW w:w="2023" w:type="dxa"/>
            <w:vMerge/>
            <w:tcBorders>
              <w:right w:val="single" w:sz="12" w:space="0" w:color="auto"/>
            </w:tcBorders>
          </w:tcPr>
          <w:p w14:paraId="5E3F72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DF9C86" w14:textId="77777777">
        <w:tc>
          <w:tcPr>
            <w:tcW w:w="1384" w:type="dxa"/>
            <w:vMerge/>
            <w:tcBorders>
              <w:left w:val="single" w:sz="12" w:space="0" w:color="auto"/>
            </w:tcBorders>
          </w:tcPr>
          <w:p w14:paraId="122555AA" w14:textId="77777777" w:rsidR="003B3105" w:rsidRDefault="003B3105" w:rsidP="001E533B">
            <w:pPr>
              <w:rPr>
                <w:rFonts w:ascii="新細明體" w:eastAsia="新細明體" w:hAnsi="新細明體"/>
              </w:rPr>
            </w:pPr>
          </w:p>
        </w:tc>
        <w:tc>
          <w:tcPr>
            <w:tcW w:w="1276" w:type="dxa"/>
            <w:vMerge/>
          </w:tcPr>
          <w:p w14:paraId="3D541B32" w14:textId="77777777" w:rsidR="003B3105" w:rsidRDefault="003B3105" w:rsidP="001E533B">
            <w:pPr>
              <w:rPr>
                <w:rFonts w:ascii="新細明體" w:eastAsia="新細明體" w:hAnsi="新細明體"/>
              </w:rPr>
            </w:pPr>
          </w:p>
        </w:tc>
        <w:tc>
          <w:tcPr>
            <w:tcW w:w="5386" w:type="dxa"/>
            <w:tcBorders>
              <w:top w:val="nil"/>
              <w:bottom w:val="nil"/>
            </w:tcBorders>
          </w:tcPr>
          <w:p w14:paraId="5EA42F1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公司對內部人員之開戶徵信管理及風險控管作業應包含下列控管事項：</w:t>
            </w:r>
          </w:p>
        </w:tc>
        <w:tc>
          <w:tcPr>
            <w:tcW w:w="5387" w:type="dxa"/>
            <w:tcBorders>
              <w:top w:val="nil"/>
              <w:bottom w:val="nil"/>
            </w:tcBorders>
          </w:tcPr>
          <w:p w14:paraId="5BAF9511"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公司對內部人員之開戶徵信管理及風險控管作業應包含下列控管事項：</w:t>
            </w:r>
          </w:p>
        </w:tc>
        <w:tc>
          <w:tcPr>
            <w:tcW w:w="2023" w:type="dxa"/>
            <w:vMerge/>
            <w:tcBorders>
              <w:right w:val="single" w:sz="12" w:space="0" w:color="auto"/>
            </w:tcBorders>
          </w:tcPr>
          <w:p w14:paraId="79F695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F33B83" w14:textId="77777777">
        <w:tc>
          <w:tcPr>
            <w:tcW w:w="1384" w:type="dxa"/>
            <w:vMerge/>
            <w:tcBorders>
              <w:left w:val="single" w:sz="12" w:space="0" w:color="auto"/>
            </w:tcBorders>
          </w:tcPr>
          <w:p w14:paraId="3484695E" w14:textId="77777777" w:rsidR="003B3105" w:rsidRDefault="003B3105" w:rsidP="001E533B">
            <w:pPr>
              <w:rPr>
                <w:rFonts w:ascii="新細明體" w:eastAsia="新細明體" w:hAnsi="新細明體"/>
              </w:rPr>
            </w:pPr>
          </w:p>
        </w:tc>
        <w:tc>
          <w:tcPr>
            <w:tcW w:w="1276" w:type="dxa"/>
            <w:vMerge/>
          </w:tcPr>
          <w:p w14:paraId="56CB06D3" w14:textId="77777777" w:rsidR="003B3105" w:rsidRDefault="003B3105" w:rsidP="001E533B">
            <w:pPr>
              <w:rPr>
                <w:rFonts w:ascii="新細明體" w:eastAsia="新細明體" w:hAnsi="新細明體"/>
              </w:rPr>
            </w:pPr>
          </w:p>
        </w:tc>
        <w:tc>
          <w:tcPr>
            <w:tcW w:w="5386" w:type="dxa"/>
            <w:tcBorders>
              <w:top w:val="nil"/>
              <w:bottom w:val="nil"/>
            </w:tcBorders>
          </w:tcPr>
          <w:p w14:paraId="45D1B8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(1)自辦信用交易公司：</w:t>
            </w:r>
          </w:p>
        </w:tc>
        <w:tc>
          <w:tcPr>
            <w:tcW w:w="5387" w:type="dxa"/>
            <w:tcBorders>
              <w:top w:val="nil"/>
              <w:bottom w:val="nil"/>
            </w:tcBorders>
          </w:tcPr>
          <w:p w14:paraId="198DA3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(1)自辦信用交易公司：</w:t>
            </w:r>
          </w:p>
        </w:tc>
        <w:tc>
          <w:tcPr>
            <w:tcW w:w="2023" w:type="dxa"/>
            <w:vMerge/>
            <w:tcBorders>
              <w:right w:val="single" w:sz="12" w:space="0" w:color="auto"/>
            </w:tcBorders>
          </w:tcPr>
          <w:p w14:paraId="69BA16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2A5773" w14:textId="77777777">
        <w:tc>
          <w:tcPr>
            <w:tcW w:w="1384" w:type="dxa"/>
            <w:vMerge/>
            <w:tcBorders>
              <w:left w:val="single" w:sz="12" w:space="0" w:color="auto"/>
            </w:tcBorders>
          </w:tcPr>
          <w:p w14:paraId="683EC9E8" w14:textId="77777777" w:rsidR="003B3105" w:rsidRDefault="003B3105" w:rsidP="001E533B">
            <w:pPr>
              <w:rPr>
                <w:rFonts w:ascii="新細明體" w:eastAsia="新細明體" w:hAnsi="新細明體"/>
              </w:rPr>
            </w:pPr>
          </w:p>
        </w:tc>
        <w:tc>
          <w:tcPr>
            <w:tcW w:w="1276" w:type="dxa"/>
            <w:vMerge/>
          </w:tcPr>
          <w:p w14:paraId="4BD4C7C3" w14:textId="77777777" w:rsidR="003B3105" w:rsidRDefault="003B3105" w:rsidP="001E533B">
            <w:pPr>
              <w:rPr>
                <w:rFonts w:ascii="新細明體" w:eastAsia="新細明體" w:hAnsi="新細明體"/>
              </w:rPr>
            </w:pPr>
          </w:p>
        </w:tc>
        <w:tc>
          <w:tcPr>
            <w:tcW w:w="5386" w:type="dxa"/>
            <w:tcBorders>
              <w:top w:val="nil"/>
              <w:bottom w:val="nil"/>
            </w:tcBorders>
          </w:tcPr>
          <w:p w14:paraId="3D004EB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A.公司所有內部人員帳戶對單一有價證券之融資或融券張數，不得超過公司該有價證券總融資或總融券張數之百分之二十，若超過，次日內部人員帳戶對該有價證券僅能了結交易，不得再為新增委</w:t>
            </w:r>
            <w:r>
              <w:rPr>
                <w:rFonts w:ascii="新細明體" w:eastAsia="新細明體" w:hAnsi="新細明體" w:cs="新細明體" w:hint="eastAsia"/>
              </w:rPr>
              <w:lastRenderedPageBreak/>
              <w:t>託，直到比例降低至百分之二十以下。</w:t>
            </w:r>
          </w:p>
        </w:tc>
        <w:tc>
          <w:tcPr>
            <w:tcW w:w="5387" w:type="dxa"/>
            <w:tcBorders>
              <w:top w:val="nil"/>
              <w:bottom w:val="nil"/>
            </w:tcBorders>
          </w:tcPr>
          <w:p w14:paraId="4FD7C7B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A.公司所有內部人員帳戶對單一有價證券之融資或融券張數，不得超過公司該有價證券總融資或總融券張數之百分之二十，若超過，次日內部人員帳戶對該有價證券僅能了結交易，不得再為新增委</w:t>
            </w:r>
            <w:r>
              <w:rPr>
                <w:rFonts w:ascii="新細明體" w:eastAsia="新細明體" w:hAnsi="新細明體" w:cs="新細明體" w:hint="eastAsia"/>
              </w:rPr>
              <w:lastRenderedPageBreak/>
              <w:t>託，直到比例降低至百分之二十以下。</w:t>
            </w:r>
          </w:p>
        </w:tc>
        <w:tc>
          <w:tcPr>
            <w:tcW w:w="2023" w:type="dxa"/>
            <w:vMerge/>
            <w:tcBorders>
              <w:right w:val="single" w:sz="12" w:space="0" w:color="auto"/>
            </w:tcBorders>
          </w:tcPr>
          <w:p w14:paraId="2416D6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2DA38E" w14:textId="77777777">
        <w:tc>
          <w:tcPr>
            <w:tcW w:w="1384" w:type="dxa"/>
            <w:vMerge/>
            <w:tcBorders>
              <w:left w:val="single" w:sz="12" w:space="0" w:color="auto"/>
            </w:tcBorders>
          </w:tcPr>
          <w:p w14:paraId="426989F4" w14:textId="77777777" w:rsidR="003B3105" w:rsidRDefault="003B3105" w:rsidP="001E533B">
            <w:pPr>
              <w:rPr>
                <w:rFonts w:ascii="新細明體" w:eastAsia="新細明體" w:hAnsi="新細明體"/>
              </w:rPr>
            </w:pPr>
          </w:p>
        </w:tc>
        <w:tc>
          <w:tcPr>
            <w:tcW w:w="1276" w:type="dxa"/>
            <w:vMerge/>
          </w:tcPr>
          <w:p w14:paraId="65DE31CD" w14:textId="77777777" w:rsidR="003B3105" w:rsidRDefault="003B3105" w:rsidP="001E533B">
            <w:pPr>
              <w:rPr>
                <w:rFonts w:ascii="新細明體" w:eastAsia="新細明體" w:hAnsi="新細明體"/>
              </w:rPr>
            </w:pPr>
          </w:p>
        </w:tc>
        <w:tc>
          <w:tcPr>
            <w:tcW w:w="5386" w:type="dxa"/>
            <w:tcBorders>
              <w:top w:val="nil"/>
              <w:bottom w:val="nil"/>
            </w:tcBorders>
          </w:tcPr>
          <w:p w14:paraId="18296F5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B.公司內部人員從事信用交易因追繳未處理而遭公司逕行處分其有價證券者，即取消其信用交易資格。</w:t>
            </w:r>
          </w:p>
        </w:tc>
        <w:tc>
          <w:tcPr>
            <w:tcW w:w="5387" w:type="dxa"/>
            <w:tcBorders>
              <w:top w:val="nil"/>
              <w:bottom w:val="nil"/>
            </w:tcBorders>
          </w:tcPr>
          <w:p w14:paraId="08A1761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B.公司內部人員從事信用交易因追繳未處理而遭公司逕行處分其有價證券者，即取消其信用交易資格。</w:t>
            </w:r>
          </w:p>
        </w:tc>
        <w:tc>
          <w:tcPr>
            <w:tcW w:w="2023" w:type="dxa"/>
            <w:vMerge/>
            <w:tcBorders>
              <w:right w:val="single" w:sz="12" w:space="0" w:color="auto"/>
            </w:tcBorders>
          </w:tcPr>
          <w:p w14:paraId="353AF7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164C79" w14:textId="77777777">
        <w:tc>
          <w:tcPr>
            <w:tcW w:w="1384" w:type="dxa"/>
            <w:vMerge/>
            <w:tcBorders>
              <w:left w:val="single" w:sz="12" w:space="0" w:color="auto"/>
            </w:tcBorders>
          </w:tcPr>
          <w:p w14:paraId="1BE857FA" w14:textId="77777777" w:rsidR="003B3105" w:rsidRDefault="003B3105" w:rsidP="001E533B">
            <w:pPr>
              <w:rPr>
                <w:rFonts w:ascii="新細明體" w:eastAsia="新細明體" w:hAnsi="新細明體"/>
              </w:rPr>
            </w:pPr>
          </w:p>
        </w:tc>
        <w:tc>
          <w:tcPr>
            <w:tcW w:w="1276" w:type="dxa"/>
            <w:vMerge/>
          </w:tcPr>
          <w:p w14:paraId="3B83E00C" w14:textId="77777777" w:rsidR="003B3105" w:rsidRDefault="003B3105" w:rsidP="001E533B">
            <w:pPr>
              <w:rPr>
                <w:rFonts w:ascii="新細明體" w:eastAsia="新細明體" w:hAnsi="新細明體"/>
              </w:rPr>
            </w:pPr>
          </w:p>
        </w:tc>
        <w:tc>
          <w:tcPr>
            <w:tcW w:w="5386" w:type="dxa"/>
            <w:tcBorders>
              <w:top w:val="nil"/>
              <w:bottom w:val="nil"/>
            </w:tcBorders>
          </w:tcPr>
          <w:p w14:paraId="4D36F81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C.公司每月檢視內部人信用交易之盈虧，其虧損達融資額度之百分之五十者，由單位主管審核其信用交易之適格性，必要時調降其額度或取消其信用交易資格。</w:t>
            </w:r>
          </w:p>
        </w:tc>
        <w:tc>
          <w:tcPr>
            <w:tcW w:w="5387" w:type="dxa"/>
            <w:tcBorders>
              <w:top w:val="nil"/>
              <w:bottom w:val="nil"/>
            </w:tcBorders>
          </w:tcPr>
          <w:p w14:paraId="50D93C8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C.公司每月檢視內部人信用交易之盈虧，其虧損達融資額度之百分之五十者，由單位主管審核其信用交易之適格性，必要時調降其額度或取消其信用交易資格。</w:t>
            </w:r>
          </w:p>
        </w:tc>
        <w:tc>
          <w:tcPr>
            <w:tcW w:w="2023" w:type="dxa"/>
            <w:vMerge/>
            <w:tcBorders>
              <w:right w:val="single" w:sz="12" w:space="0" w:color="auto"/>
            </w:tcBorders>
          </w:tcPr>
          <w:p w14:paraId="38F34E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B17A33" w14:textId="77777777">
        <w:tc>
          <w:tcPr>
            <w:tcW w:w="1384" w:type="dxa"/>
            <w:vMerge/>
            <w:tcBorders>
              <w:left w:val="single" w:sz="12" w:space="0" w:color="auto"/>
            </w:tcBorders>
          </w:tcPr>
          <w:p w14:paraId="1780B9F7" w14:textId="77777777" w:rsidR="003B3105" w:rsidRDefault="003B3105" w:rsidP="001E533B">
            <w:pPr>
              <w:rPr>
                <w:rFonts w:ascii="新細明體" w:eastAsia="新細明體" w:hAnsi="新細明體"/>
              </w:rPr>
            </w:pPr>
          </w:p>
        </w:tc>
        <w:tc>
          <w:tcPr>
            <w:tcW w:w="1276" w:type="dxa"/>
            <w:vMerge/>
          </w:tcPr>
          <w:p w14:paraId="406B03CF" w14:textId="77777777" w:rsidR="003B3105" w:rsidRDefault="003B3105" w:rsidP="001E533B">
            <w:pPr>
              <w:rPr>
                <w:rFonts w:ascii="新細明體" w:eastAsia="新細明體" w:hAnsi="新細明體"/>
              </w:rPr>
            </w:pPr>
          </w:p>
        </w:tc>
        <w:tc>
          <w:tcPr>
            <w:tcW w:w="5386" w:type="dxa"/>
            <w:tcBorders>
              <w:top w:val="nil"/>
              <w:bottom w:val="nil"/>
            </w:tcBorders>
          </w:tcPr>
          <w:p w14:paraId="647DF6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(2)代理信用交易公司：</w:t>
            </w:r>
          </w:p>
        </w:tc>
        <w:tc>
          <w:tcPr>
            <w:tcW w:w="5387" w:type="dxa"/>
            <w:tcBorders>
              <w:top w:val="nil"/>
              <w:bottom w:val="nil"/>
            </w:tcBorders>
          </w:tcPr>
          <w:p w14:paraId="4F5A6F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(2)代理信用交易公司：</w:t>
            </w:r>
          </w:p>
        </w:tc>
        <w:tc>
          <w:tcPr>
            <w:tcW w:w="2023" w:type="dxa"/>
            <w:vMerge/>
            <w:tcBorders>
              <w:right w:val="single" w:sz="12" w:space="0" w:color="auto"/>
            </w:tcBorders>
          </w:tcPr>
          <w:p w14:paraId="5B62F0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FBD7E1" w14:textId="77777777">
        <w:tc>
          <w:tcPr>
            <w:tcW w:w="1384" w:type="dxa"/>
            <w:vMerge/>
            <w:tcBorders>
              <w:left w:val="single" w:sz="12" w:space="0" w:color="auto"/>
            </w:tcBorders>
          </w:tcPr>
          <w:p w14:paraId="1CA9E19A" w14:textId="77777777" w:rsidR="003B3105" w:rsidRDefault="003B3105" w:rsidP="001E533B">
            <w:pPr>
              <w:rPr>
                <w:rFonts w:ascii="新細明體" w:eastAsia="新細明體" w:hAnsi="新細明體"/>
              </w:rPr>
            </w:pPr>
          </w:p>
        </w:tc>
        <w:tc>
          <w:tcPr>
            <w:tcW w:w="1276" w:type="dxa"/>
            <w:vMerge/>
          </w:tcPr>
          <w:p w14:paraId="3C409A27" w14:textId="77777777" w:rsidR="003B3105" w:rsidRDefault="003B3105" w:rsidP="001E533B">
            <w:pPr>
              <w:rPr>
                <w:rFonts w:ascii="新細明體" w:eastAsia="新細明體" w:hAnsi="新細明體"/>
              </w:rPr>
            </w:pPr>
          </w:p>
        </w:tc>
        <w:tc>
          <w:tcPr>
            <w:tcW w:w="5386" w:type="dxa"/>
            <w:tcBorders>
              <w:top w:val="nil"/>
              <w:bottom w:val="nil"/>
            </w:tcBorders>
          </w:tcPr>
          <w:p w14:paraId="15668F68"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所有內部人員帳戶對單一有價證券之融資或融券張數，不得超過公司該有價證券總融資或總融券張數餘額之百分之二十（總融資或總融券張數餘額，依公司每日收盤後產製之資料為準。另每日總融資或總融券張數餘額之百分之二十須減除內部人員已使用餘額，作為次一營業日內部人員融資或融券買賣上限；倘代理多家證券金融公司者，依所代理每家證券金融公司之個別餘額數為基礎，分別計算可供內部人員使用限額），若超過，次日內部人員帳戶對該有價證券僅能了結交</w:t>
            </w:r>
            <w:r>
              <w:rPr>
                <w:rFonts w:ascii="新細明體" w:eastAsia="新細明體" w:hAnsi="新細明體" w:cs="新細明體" w:hint="eastAsia"/>
              </w:rPr>
              <w:lastRenderedPageBreak/>
              <w:t>易，不得再為新增委託，直到比例降低至百分之二十以下。</w:t>
            </w:r>
          </w:p>
        </w:tc>
        <w:tc>
          <w:tcPr>
            <w:tcW w:w="5387" w:type="dxa"/>
            <w:tcBorders>
              <w:top w:val="nil"/>
              <w:bottom w:val="nil"/>
            </w:tcBorders>
          </w:tcPr>
          <w:p w14:paraId="1A9835F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A.公司所有內部人員帳戶對單一有價證券之融資或融券張數，不得超過公司該有價證券總融資或總融券張數餘額之百分之二十（總融資或總融券張數餘額，依公司每日收盤後產製之資料為準。另每日總融資或總融券張數餘額之百分之二十須減除內部人員已使用餘額，作為次一營業日內部人員融資或融券買賣上限；倘代理多家證券金融公司者，依所代理每家證券金融公司之個別餘額數為基礎，分別計算可供內部人員使用限額），若超過，次日內部人員帳戶對該有價證券僅能了結交</w:t>
            </w:r>
            <w:r>
              <w:rPr>
                <w:rFonts w:ascii="新細明體" w:eastAsia="新細明體" w:hAnsi="新細明體" w:cs="新細明體" w:hint="eastAsia"/>
              </w:rPr>
              <w:lastRenderedPageBreak/>
              <w:t>易，不得再為新增委託，直到比例降低至百分之二十以下。</w:t>
            </w:r>
          </w:p>
        </w:tc>
        <w:tc>
          <w:tcPr>
            <w:tcW w:w="2023" w:type="dxa"/>
            <w:vMerge/>
            <w:tcBorders>
              <w:right w:val="single" w:sz="12" w:space="0" w:color="auto"/>
            </w:tcBorders>
          </w:tcPr>
          <w:p w14:paraId="5C5B0C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634332" w14:textId="77777777">
        <w:tc>
          <w:tcPr>
            <w:tcW w:w="1384" w:type="dxa"/>
            <w:vMerge/>
            <w:tcBorders>
              <w:left w:val="single" w:sz="12" w:space="0" w:color="auto"/>
            </w:tcBorders>
          </w:tcPr>
          <w:p w14:paraId="7795A7DB" w14:textId="77777777" w:rsidR="003B3105" w:rsidRDefault="003B3105" w:rsidP="001E533B">
            <w:pPr>
              <w:rPr>
                <w:rFonts w:ascii="新細明體" w:eastAsia="新細明體" w:hAnsi="新細明體"/>
              </w:rPr>
            </w:pPr>
          </w:p>
        </w:tc>
        <w:tc>
          <w:tcPr>
            <w:tcW w:w="1276" w:type="dxa"/>
            <w:vMerge/>
          </w:tcPr>
          <w:p w14:paraId="43556396" w14:textId="77777777" w:rsidR="003B3105" w:rsidRDefault="003B3105" w:rsidP="001E533B">
            <w:pPr>
              <w:rPr>
                <w:rFonts w:ascii="新細明體" w:eastAsia="新細明體" w:hAnsi="新細明體"/>
              </w:rPr>
            </w:pPr>
          </w:p>
        </w:tc>
        <w:tc>
          <w:tcPr>
            <w:tcW w:w="5386" w:type="dxa"/>
            <w:tcBorders>
              <w:top w:val="nil"/>
              <w:bottom w:val="nil"/>
            </w:tcBorders>
          </w:tcPr>
          <w:p w14:paraId="3DDA420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B.公司內部人員從事信用交易因追繳未處理而遭證券金融公司逕行處分其有價證券者，由公司請證券金融公司即取消其信用交易資格。</w:t>
            </w:r>
          </w:p>
        </w:tc>
        <w:tc>
          <w:tcPr>
            <w:tcW w:w="5387" w:type="dxa"/>
            <w:tcBorders>
              <w:top w:val="nil"/>
              <w:bottom w:val="nil"/>
            </w:tcBorders>
          </w:tcPr>
          <w:p w14:paraId="79245D9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B.公司內部人員從事信用交易因追繳未處理而遭證券金融公司逕行處分其有價證券者，由公司請證券金融公司即取消其信用交易資格。</w:t>
            </w:r>
          </w:p>
        </w:tc>
        <w:tc>
          <w:tcPr>
            <w:tcW w:w="2023" w:type="dxa"/>
            <w:vMerge/>
            <w:tcBorders>
              <w:right w:val="single" w:sz="12" w:space="0" w:color="auto"/>
            </w:tcBorders>
          </w:tcPr>
          <w:p w14:paraId="032729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5690BE" w14:textId="77777777">
        <w:tc>
          <w:tcPr>
            <w:tcW w:w="1384" w:type="dxa"/>
            <w:vMerge/>
            <w:tcBorders>
              <w:left w:val="single" w:sz="12" w:space="0" w:color="auto"/>
            </w:tcBorders>
          </w:tcPr>
          <w:p w14:paraId="4B159036" w14:textId="77777777" w:rsidR="003B3105" w:rsidRDefault="003B3105" w:rsidP="001E533B">
            <w:pPr>
              <w:rPr>
                <w:rFonts w:ascii="新細明體" w:eastAsia="新細明體" w:hAnsi="新細明體"/>
              </w:rPr>
            </w:pPr>
          </w:p>
        </w:tc>
        <w:tc>
          <w:tcPr>
            <w:tcW w:w="1276" w:type="dxa"/>
            <w:vMerge/>
          </w:tcPr>
          <w:p w14:paraId="154A3732" w14:textId="77777777" w:rsidR="003B3105" w:rsidRDefault="003B3105" w:rsidP="001E533B">
            <w:pPr>
              <w:rPr>
                <w:rFonts w:ascii="新細明體" w:eastAsia="新細明體" w:hAnsi="新細明體"/>
              </w:rPr>
            </w:pPr>
          </w:p>
        </w:tc>
        <w:tc>
          <w:tcPr>
            <w:tcW w:w="5386" w:type="dxa"/>
            <w:tcBorders>
              <w:top w:val="nil"/>
              <w:bottom w:val="nil"/>
            </w:tcBorders>
          </w:tcPr>
          <w:p w14:paraId="5B3428E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C.公司每月檢視內部人信用交易之盈虧，其虧損達融資額度之百分之五十者，由單位主管審核其信用交易之適格性，必要時，由公司請證券金融公司調降其額度或取消其信用交易資格。</w:t>
            </w:r>
          </w:p>
        </w:tc>
        <w:tc>
          <w:tcPr>
            <w:tcW w:w="5387" w:type="dxa"/>
            <w:tcBorders>
              <w:top w:val="nil"/>
              <w:bottom w:val="nil"/>
            </w:tcBorders>
          </w:tcPr>
          <w:p w14:paraId="7B11A7B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C.公司每月檢視內部人信用交易之盈虧，其虧損達融資額度之百分之五十者，由單位主管審核其信用交易之適格性，必要時，由公司請證券金融公司調降其額度或取消其信用交易資格。</w:t>
            </w:r>
          </w:p>
        </w:tc>
        <w:tc>
          <w:tcPr>
            <w:tcW w:w="2023" w:type="dxa"/>
            <w:vMerge/>
            <w:tcBorders>
              <w:right w:val="single" w:sz="12" w:space="0" w:color="auto"/>
            </w:tcBorders>
          </w:tcPr>
          <w:p w14:paraId="6F5BFF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B2940B" w14:textId="77777777">
        <w:tc>
          <w:tcPr>
            <w:tcW w:w="1384" w:type="dxa"/>
            <w:vMerge/>
            <w:tcBorders>
              <w:left w:val="single" w:sz="12" w:space="0" w:color="auto"/>
            </w:tcBorders>
          </w:tcPr>
          <w:p w14:paraId="0EFB8C16" w14:textId="77777777" w:rsidR="003B3105" w:rsidRDefault="003B3105" w:rsidP="001E533B">
            <w:pPr>
              <w:rPr>
                <w:rFonts w:ascii="新細明體" w:eastAsia="新細明體" w:hAnsi="新細明體"/>
              </w:rPr>
            </w:pPr>
          </w:p>
        </w:tc>
        <w:tc>
          <w:tcPr>
            <w:tcW w:w="1276" w:type="dxa"/>
            <w:vMerge/>
          </w:tcPr>
          <w:p w14:paraId="6339F145" w14:textId="77777777" w:rsidR="003B3105" w:rsidRDefault="003B3105" w:rsidP="001E533B">
            <w:pPr>
              <w:rPr>
                <w:rFonts w:ascii="新細明體" w:eastAsia="新細明體" w:hAnsi="新細明體"/>
              </w:rPr>
            </w:pPr>
          </w:p>
        </w:tc>
        <w:tc>
          <w:tcPr>
            <w:tcW w:w="5386" w:type="dxa"/>
            <w:tcBorders>
              <w:top w:val="nil"/>
              <w:bottom w:val="nil"/>
            </w:tcBorders>
          </w:tcPr>
          <w:p w14:paraId="40E9D6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6.公司對於內部人員委託買賣相關憑證資料應與其他客戶分別保管。</w:t>
            </w:r>
          </w:p>
        </w:tc>
        <w:tc>
          <w:tcPr>
            <w:tcW w:w="5387" w:type="dxa"/>
            <w:tcBorders>
              <w:top w:val="nil"/>
              <w:bottom w:val="nil"/>
            </w:tcBorders>
          </w:tcPr>
          <w:p w14:paraId="65DBD4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6.公司對於內部人員委託買賣相關憑證資料應與其他客戶分別保管。</w:t>
            </w:r>
          </w:p>
        </w:tc>
        <w:tc>
          <w:tcPr>
            <w:tcW w:w="2023" w:type="dxa"/>
            <w:vMerge/>
            <w:tcBorders>
              <w:right w:val="single" w:sz="12" w:space="0" w:color="auto"/>
            </w:tcBorders>
          </w:tcPr>
          <w:p w14:paraId="3D6B6F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95CDBD" w14:textId="77777777">
        <w:tc>
          <w:tcPr>
            <w:tcW w:w="1384" w:type="dxa"/>
            <w:vMerge/>
            <w:tcBorders>
              <w:left w:val="single" w:sz="12" w:space="0" w:color="auto"/>
            </w:tcBorders>
          </w:tcPr>
          <w:p w14:paraId="26E650E0" w14:textId="77777777" w:rsidR="003B3105" w:rsidRDefault="003B3105" w:rsidP="001E533B">
            <w:pPr>
              <w:rPr>
                <w:rFonts w:ascii="新細明體" w:eastAsia="新細明體" w:hAnsi="新細明體"/>
              </w:rPr>
            </w:pPr>
          </w:p>
        </w:tc>
        <w:tc>
          <w:tcPr>
            <w:tcW w:w="1276" w:type="dxa"/>
            <w:vMerge/>
          </w:tcPr>
          <w:p w14:paraId="6CB963E9" w14:textId="77777777" w:rsidR="003B3105" w:rsidRDefault="003B3105" w:rsidP="001E533B">
            <w:pPr>
              <w:rPr>
                <w:rFonts w:ascii="新細明體" w:eastAsia="新細明體" w:hAnsi="新細明體"/>
              </w:rPr>
            </w:pPr>
          </w:p>
        </w:tc>
        <w:tc>
          <w:tcPr>
            <w:tcW w:w="5386" w:type="dxa"/>
            <w:tcBorders>
              <w:top w:val="nil"/>
              <w:bottom w:val="nil"/>
            </w:tcBorders>
          </w:tcPr>
          <w:p w14:paraId="1F3AC6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7.公司之法人董事、監察人如係金融機構者，因從事信託或授信業務需要，得於其他公司開立證券交易帳戶，不受證交所（櫃檯買賣中心）「證券商內部人員在所屬證券商開戶委託買賣有價證券管理辦法 」第2條第2項規定之限制，惟僅限為信託專戶或設質目的，且該等金融機構之自有資金不得於前揭帳戶從事交易。</w:t>
            </w:r>
          </w:p>
        </w:tc>
        <w:tc>
          <w:tcPr>
            <w:tcW w:w="5387" w:type="dxa"/>
            <w:tcBorders>
              <w:top w:val="nil"/>
              <w:bottom w:val="nil"/>
            </w:tcBorders>
          </w:tcPr>
          <w:p w14:paraId="2CEC42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7.公司之法人董事、監察人如係金融機構者，因從事信託或授信業務需要，得於其他公司開立證券交易帳戶，不受證交所（櫃檯買賣中心）「證券商內部人員在所屬證券商開戶委託買賣有價證券管理辦法 」第2條第2項規定之限制，惟僅限為信託專戶或設質目的，且該等金融機構之自有資金不得於前揭帳戶從事交易。</w:t>
            </w:r>
          </w:p>
        </w:tc>
        <w:tc>
          <w:tcPr>
            <w:tcW w:w="2023" w:type="dxa"/>
            <w:vMerge/>
            <w:tcBorders>
              <w:right w:val="single" w:sz="12" w:space="0" w:color="auto"/>
            </w:tcBorders>
          </w:tcPr>
          <w:p w14:paraId="7EB20C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CE3A55" w14:textId="77777777">
        <w:tc>
          <w:tcPr>
            <w:tcW w:w="1384" w:type="dxa"/>
            <w:vMerge/>
            <w:tcBorders>
              <w:left w:val="single" w:sz="12" w:space="0" w:color="auto"/>
            </w:tcBorders>
          </w:tcPr>
          <w:p w14:paraId="0102734D" w14:textId="77777777" w:rsidR="003B3105" w:rsidRDefault="003B3105" w:rsidP="001E533B">
            <w:pPr>
              <w:rPr>
                <w:rFonts w:ascii="新細明體" w:eastAsia="新細明體" w:hAnsi="新細明體"/>
              </w:rPr>
            </w:pPr>
          </w:p>
        </w:tc>
        <w:tc>
          <w:tcPr>
            <w:tcW w:w="1276" w:type="dxa"/>
            <w:vMerge/>
          </w:tcPr>
          <w:p w14:paraId="560E07D2" w14:textId="77777777" w:rsidR="003B3105" w:rsidRDefault="003B3105" w:rsidP="001E533B">
            <w:pPr>
              <w:rPr>
                <w:rFonts w:ascii="新細明體" w:eastAsia="新細明體" w:hAnsi="新細明體"/>
              </w:rPr>
            </w:pPr>
          </w:p>
        </w:tc>
        <w:tc>
          <w:tcPr>
            <w:tcW w:w="5386" w:type="dxa"/>
            <w:tcBorders>
              <w:top w:val="nil"/>
              <w:bottom w:val="nil"/>
            </w:tcBorders>
          </w:tcPr>
          <w:p w14:paraId="734EDB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8.公司應避免內部人員與客戶因應付當日沖銷券差取借之利益衝突，公司對已確認有意願出借者，依出借費率由低而高</w:t>
            </w:r>
            <w:r>
              <w:rPr>
                <w:rFonts w:ascii="新細明體" w:eastAsia="新細明體" w:hAnsi="新細明體" w:cs="新細明體" w:hint="eastAsia"/>
              </w:rPr>
              <w:lastRenderedPageBreak/>
              <w:t>取借，內部人員出借費率與客戶相同時，應優先向客戶取借。</w:t>
            </w:r>
          </w:p>
        </w:tc>
        <w:tc>
          <w:tcPr>
            <w:tcW w:w="5387" w:type="dxa"/>
            <w:tcBorders>
              <w:top w:val="nil"/>
              <w:bottom w:val="nil"/>
            </w:tcBorders>
          </w:tcPr>
          <w:p w14:paraId="334C9A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8.公司應避免內部人員與客戶因應付當日沖銷券差取借之利益衝突，公司對已確認有意願出借者，依出借費率由低而高</w:t>
            </w:r>
            <w:r>
              <w:rPr>
                <w:rFonts w:ascii="新細明體" w:eastAsia="新細明體" w:hAnsi="新細明體" w:cs="新細明體" w:hint="eastAsia"/>
              </w:rPr>
              <w:lastRenderedPageBreak/>
              <w:t>取借，內部人員出借費率與客戶相同時，應優先向客戶取借。</w:t>
            </w:r>
          </w:p>
        </w:tc>
        <w:tc>
          <w:tcPr>
            <w:tcW w:w="2023" w:type="dxa"/>
            <w:vMerge/>
            <w:tcBorders>
              <w:right w:val="single" w:sz="12" w:space="0" w:color="auto"/>
            </w:tcBorders>
          </w:tcPr>
          <w:p w14:paraId="1CD80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7FF05A" w14:textId="77777777">
        <w:tc>
          <w:tcPr>
            <w:tcW w:w="1384" w:type="dxa"/>
            <w:vMerge/>
            <w:tcBorders>
              <w:left w:val="single" w:sz="12" w:space="0" w:color="auto"/>
            </w:tcBorders>
          </w:tcPr>
          <w:p w14:paraId="2DA0A32D" w14:textId="77777777" w:rsidR="003B3105" w:rsidRDefault="003B3105" w:rsidP="001E533B">
            <w:pPr>
              <w:rPr>
                <w:rFonts w:ascii="新細明體" w:eastAsia="新細明體" w:hAnsi="新細明體"/>
              </w:rPr>
            </w:pPr>
          </w:p>
        </w:tc>
        <w:tc>
          <w:tcPr>
            <w:tcW w:w="1276" w:type="dxa"/>
            <w:vMerge/>
          </w:tcPr>
          <w:p w14:paraId="06A0B617" w14:textId="77777777" w:rsidR="003B3105" w:rsidRDefault="003B3105" w:rsidP="001E533B">
            <w:pPr>
              <w:rPr>
                <w:rFonts w:ascii="新細明體" w:eastAsia="新細明體" w:hAnsi="新細明體"/>
              </w:rPr>
            </w:pPr>
          </w:p>
        </w:tc>
        <w:tc>
          <w:tcPr>
            <w:tcW w:w="5386" w:type="dxa"/>
            <w:tcBorders>
              <w:top w:val="nil"/>
              <w:bottom w:val="nil"/>
            </w:tcBorders>
          </w:tcPr>
          <w:p w14:paraId="5E7641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9.營業員交易帳戶(通稱98戶，包含在公司指定之他證券商開立帳戶)有下列情形之一者(量化標準請公司自訂)，權責主管應按季評估營業員帳戶交易情形與其所得財力是否相當，並留存評估紀錄：</w:t>
            </w:r>
          </w:p>
        </w:tc>
        <w:tc>
          <w:tcPr>
            <w:tcW w:w="5387" w:type="dxa"/>
            <w:tcBorders>
              <w:top w:val="nil"/>
              <w:bottom w:val="nil"/>
            </w:tcBorders>
          </w:tcPr>
          <w:p w14:paraId="79B918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9.營業員交易帳戶(通稱98戶，包含在公司指定之他證券商開立帳戶)有下列情形之一者(量化標準請公司自訂)，權責主管應按季評估營業員帳戶交易情形與其所得財力是否相當，並留存評估紀錄：</w:t>
            </w:r>
          </w:p>
        </w:tc>
        <w:tc>
          <w:tcPr>
            <w:tcW w:w="2023" w:type="dxa"/>
            <w:vMerge/>
            <w:tcBorders>
              <w:right w:val="single" w:sz="12" w:space="0" w:color="auto"/>
            </w:tcBorders>
          </w:tcPr>
          <w:p w14:paraId="4CE1D3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A61C9F" w14:textId="77777777">
        <w:tc>
          <w:tcPr>
            <w:tcW w:w="1384" w:type="dxa"/>
            <w:vMerge/>
            <w:tcBorders>
              <w:left w:val="single" w:sz="12" w:space="0" w:color="auto"/>
            </w:tcBorders>
          </w:tcPr>
          <w:p w14:paraId="5D3456A7" w14:textId="77777777" w:rsidR="003B3105" w:rsidRDefault="003B3105" w:rsidP="001E533B">
            <w:pPr>
              <w:rPr>
                <w:rFonts w:ascii="新細明體" w:eastAsia="新細明體" w:hAnsi="新細明體"/>
              </w:rPr>
            </w:pPr>
          </w:p>
        </w:tc>
        <w:tc>
          <w:tcPr>
            <w:tcW w:w="1276" w:type="dxa"/>
            <w:vMerge/>
          </w:tcPr>
          <w:p w14:paraId="3BED3A15" w14:textId="77777777" w:rsidR="003B3105" w:rsidRDefault="003B3105" w:rsidP="001E533B">
            <w:pPr>
              <w:rPr>
                <w:rFonts w:ascii="新細明體" w:eastAsia="新細明體" w:hAnsi="新細明體"/>
              </w:rPr>
            </w:pPr>
          </w:p>
        </w:tc>
        <w:tc>
          <w:tcPr>
            <w:tcW w:w="5386" w:type="dxa"/>
            <w:tcBorders>
              <w:top w:val="nil"/>
              <w:bottom w:val="nil"/>
            </w:tcBorders>
          </w:tcPr>
          <w:p w14:paraId="16DA034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(1)營業員交易帳戶有頻繁交易者；</w:t>
            </w:r>
          </w:p>
        </w:tc>
        <w:tc>
          <w:tcPr>
            <w:tcW w:w="5387" w:type="dxa"/>
            <w:tcBorders>
              <w:top w:val="nil"/>
              <w:bottom w:val="nil"/>
            </w:tcBorders>
          </w:tcPr>
          <w:p w14:paraId="44BDB2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(1)營業員交易帳戶有頻繁交易者；</w:t>
            </w:r>
          </w:p>
        </w:tc>
        <w:tc>
          <w:tcPr>
            <w:tcW w:w="2023" w:type="dxa"/>
            <w:vMerge/>
            <w:tcBorders>
              <w:right w:val="single" w:sz="12" w:space="0" w:color="auto"/>
            </w:tcBorders>
          </w:tcPr>
          <w:p w14:paraId="3C7DAE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DA266A" w14:textId="77777777">
        <w:tc>
          <w:tcPr>
            <w:tcW w:w="1384" w:type="dxa"/>
            <w:vMerge/>
            <w:tcBorders>
              <w:left w:val="single" w:sz="12" w:space="0" w:color="auto"/>
            </w:tcBorders>
          </w:tcPr>
          <w:p w14:paraId="4BA4D8ED" w14:textId="77777777" w:rsidR="003B3105" w:rsidRDefault="003B3105" w:rsidP="001E533B">
            <w:pPr>
              <w:rPr>
                <w:rFonts w:ascii="新細明體" w:eastAsia="新細明體" w:hAnsi="新細明體"/>
              </w:rPr>
            </w:pPr>
          </w:p>
        </w:tc>
        <w:tc>
          <w:tcPr>
            <w:tcW w:w="1276" w:type="dxa"/>
            <w:vMerge/>
          </w:tcPr>
          <w:p w14:paraId="0E22DBC9" w14:textId="77777777" w:rsidR="003B3105" w:rsidRDefault="003B3105" w:rsidP="001E533B">
            <w:pPr>
              <w:rPr>
                <w:rFonts w:ascii="新細明體" w:eastAsia="新細明體" w:hAnsi="新細明體"/>
              </w:rPr>
            </w:pPr>
          </w:p>
        </w:tc>
        <w:tc>
          <w:tcPr>
            <w:tcW w:w="5386" w:type="dxa"/>
            <w:tcBorders>
              <w:top w:val="nil"/>
              <w:bottom w:val="nil"/>
            </w:tcBorders>
          </w:tcPr>
          <w:p w14:paraId="6A565F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(2)營業員業績過度集中於自身交易帳戶者；</w:t>
            </w:r>
          </w:p>
        </w:tc>
        <w:tc>
          <w:tcPr>
            <w:tcW w:w="5387" w:type="dxa"/>
            <w:tcBorders>
              <w:top w:val="nil"/>
              <w:bottom w:val="nil"/>
            </w:tcBorders>
          </w:tcPr>
          <w:p w14:paraId="0EA4F9C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(2)營業員業績過度集中於自身交易帳戶者；</w:t>
            </w:r>
          </w:p>
        </w:tc>
        <w:tc>
          <w:tcPr>
            <w:tcW w:w="2023" w:type="dxa"/>
            <w:vMerge/>
            <w:tcBorders>
              <w:right w:val="single" w:sz="12" w:space="0" w:color="auto"/>
            </w:tcBorders>
          </w:tcPr>
          <w:p w14:paraId="6A0F59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7148F5" w14:textId="77777777">
        <w:tc>
          <w:tcPr>
            <w:tcW w:w="1384" w:type="dxa"/>
            <w:vMerge/>
            <w:tcBorders>
              <w:left w:val="single" w:sz="12" w:space="0" w:color="auto"/>
            </w:tcBorders>
          </w:tcPr>
          <w:p w14:paraId="7100A6E4" w14:textId="77777777" w:rsidR="003B3105" w:rsidRDefault="003B3105" w:rsidP="001E533B">
            <w:pPr>
              <w:rPr>
                <w:rFonts w:ascii="新細明體" w:eastAsia="新細明體" w:hAnsi="新細明體"/>
              </w:rPr>
            </w:pPr>
          </w:p>
        </w:tc>
        <w:tc>
          <w:tcPr>
            <w:tcW w:w="1276" w:type="dxa"/>
            <w:vMerge/>
          </w:tcPr>
          <w:p w14:paraId="410F78BB" w14:textId="77777777" w:rsidR="003B3105" w:rsidRDefault="003B3105" w:rsidP="001E533B">
            <w:pPr>
              <w:rPr>
                <w:rFonts w:ascii="新細明體" w:eastAsia="新細明體" w:hAnsi="新細明體"/>
              </w:rPr>
            </w:pPr>
          </w:p>
        </w:tc>
        <w:tc>
          <w:tcPr>
            <w:tcW w:w="5386" w:type="dxa"/>
            <w:tcBorders>
              <w:top w:val="nil"/>
              <w:bottom w:val="nil"/>
            </w:tcBorders>
          </w:tcPr>
          <w:p w14:paraId="09977A2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(3)營業員交易帳戶持續虧損者。</w:t>
            </w:r>
          </w:p>
        </w:tc>
        <w:tc>
          <w:tcPr>
            <w:tcW w:w="5387" w:type="dxa"/>
            <w:tcBorders>
              <w:top w:val="nil"/>
              <w:bottom w:val="nil"/>
            </w:tcBorders>
          </w:tcPr>
          <w:p w14:paraId="1336B4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(3)營業員交易帳戶持續虧損者。</w:t>
            </w:r>
          </w:p>
        </w:tc>
        <w:tc>
          <w:tcPr>
            <w:tcW w:w="2023" w:type="dxa"/>
            <w:vMerge/>
            <w:tcBorders>
              <w:right w:val="single" w:sz="12" w:space="0" w:color="auto"/>
            </w:tcBorders>
          </w:tcPr>
          <w:p w14:paraId="34B601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ACEF91" w14:textId="77777777">
        <w:tc>
          <w:tcPr>
            <w:tcW w:w="1384" w:type="dxa"/>
            <w:vMerge/>
            <w:tcBorders>
              <w:left w:val="single" w:sz="12" w:space="0" w:color="auto"/>
            </w:tcBorders>
          </w:tcPr>
          <w:p w14:paraId="2608AD28" w14:textId="77777777" w:rsidR="003B3105" w:rsidRDefault="003B3105" w:rsidP="001E533B">
            <w:pPr>
              <w:rPr>
                <w:rFonts w:ascii="新細明體" w:eastAsia="新細明體" w:hAnsi="新細明體"/>
              </w:rPr>
            </w:pPr>
          </w:p>
        </w:tc>
        <w:tc>
          <w:tcPr>
            <w:tcW w:w="1276" w:type="dxa"/>
            <w:vMerge/>
          </w:tcPr>
          <w:p w14:paraId="35E79C51" w14:textId="77777777" w:rsidR="003B3105" w:rsidRDefault="003B3105" w:rsidP="001E533B">
            <w:pPr>
              <w:rPr>
                <w:rFonts w:ascii="新細明體" w:eastAsia="新細明體" w:hAnsi="新細明體"/>
              </w:rPr>
            </w:pPr>
          </w:p>
        </w:tc>
        <w:tc>
          <w:tcPr>
            <w:tcW w:w="5386" w:type="dxa"/>
            <w:tcBorders>
              <w:top w:val="nil"/>
              <w:bottom w:val="nil"/>
            </w:tcBorders>
          </w:tcPr>
          <w:p w14:paraId="11649F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倘公司內部人員之配偶及未成年子女有至他家證券商開戶，渠等人員之委託買賣應由公司於成交後檢查其交易有無涉及未公開資訊情形，或與公司或其他客戶有利益衝突而有迴避之必要，並於內部控制制度中訂定檢查程序（註：請公司自訂檢查程序）。</w:t>
            </w:r>
          </w:p>
        </w:tc>
        <w:tc>
          <w:tcPr>
            <w:tcW w:w="5387" w:type="dxa"/>
            <w:tcBorders>
              <w:top w:val="nil"/>
              <w:bottom w:val="nil"/>
            </w:tcBorders>
          </w:tcPr>
          <w:p w14:paraId="5C48B8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倘公司內部人員之配偶及未成年子女有至他家證券商開戶，渠等人員之委託買賣應由公司於成交後檢查其交易有無涉及未公開資訊情形，或與公司或其他客戶有利益衝突而有迴避之必要，並於內部控制制度中訂定檢查程序（註：請公司自訂檢查程序）。</w:t>
            </w:r>
          </w:p>
        </w:tc>
        <w:tc>
          <w:tcPr>
            <w:tcW w:w="2023" w:type="dxa"/>
            <w:vMerge/>
            <w:tcBorders>
              <w:right w:val="single" w:sz="12" w:space="0" w:color="auto"/>
            </w:tcBorders>
          </w:tcPr>
          <w:p w14:paraId="6CCEE1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2674C8" w14:textId="77777777">
        <w:tc>
          <w:tcPr>
            <w:tcW w:w="1384" w:type="dxa"/>
            <w:vMerge/>
            <w:tcBorders>
              <w:left w:val="single" w:sz="12" w:space="0" w:color="auto"/>
            </w:tcBorders>
          </w:tcPr>
          <w:p w14:paraId="206F7D65" w14:textId="77777777" w:rsidR="003B3105" w:rsidRDefault="003B3105" w:rsidP="001E533B">
            <w:pPr>
              <w:rPr>
                <w:rFonts w:ascii="新細明體" w:eastAsia="新細明體" w:hAnsi="新細明體"/>
              </w:rPr>
            </w:pPr>
          </w:p>
        </w:tc>
        <w:tc>
          <w:tcPr>
            <w:tcW w:w="1276" w:type="dxa"/>
            <w:vMerge/>
          </w:tcPr>
          <w:p w14:paraId="702A5EDC" w14:textId="77777777" w:rsidR="003B3105" w:rsidRDefault="003B3105" w:rsidP="001E533B">
            <w:pPr>
              <w:rPr>
                <w:rFonts w:ascii="新細明體" w:eastAsia="新細明體" w:hAnsi="新細明體"/>
              </w:rPr>
            </w:pPr>
          </w:p>
        </w:tc>
        <w:tc>
          <w:tcPr>
            <w:tcW w:w="5386" w:type="dxa"/>
            <w:tcBorders>
              <w:top w:val="nil"/>
              <w:bottom w:val="nil"/>
            </w:tcBorders>
          </w:tcPr>
          <w:p w14:paraId="24860F9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Note,ETN)等，依證交所及櫃檯買賣中心各</w:t>
            </w:r>
            <w:r>
              <w:rPr>
                <w:rFonts w:ascii="新細明體" w:eastAsia="新細明體" w:hAnsi="新細明體" w:cs="新細明體" w:hint="eastAsia"/>
              </w:rPr>
              <w:lastRenderedPageBreak/>
              <w:t>該買賣辦法及相關規定辦理。</w:t>
            </w:r>
          </w:p>
        </w:tc>
        <w:tc>
          <w:tcPr>
            <w:tcW w:w="5387" w:type="dxa"/>
            <w:tcBorders>
              <w:top w:val="nil"/>
              <w:bottom w:val="nil"/>
            </w:tcBorders>
          </w:tcPr>
          <w:p w14:paraId="4610DC7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Note,ETN)等，依證交所及櫃檯買賣中心各</w:t>
            </w:r>
            <w:r>
              <w:rPr>
                <w:rFonts w:ascii="新細明體" w:eastAsia="新細明體" w:hAnsi="新細明體" w:cs="新細明體" w:hint="eastAsia"/>
              </w:rPr>
              <w:lastRenderedPageBreak/>
              <w:t>該買賣辦法及相關規定辦理。</w:t>
            </w:r>
          </w:p>
        </w:tc>
        <w:tc>
          <w:tcPr>
            <w:tcW w:w="2023" w:type="dxa"/>
            <w:vMerge/>
            <w:tcBorders>
              <w:right w:val="single" w:sz="12" w:space="0" w:color="auto"/>
            </w:tcBorders>
          </w:tcPr>
          <w:p w14:paraId="0FE675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A9FBDF" w14:textId="77777777">
        <w:tc>
          <w:tcPr>
            <w:tcW w:w="1384" w:type="dxa"/>
            <w:vMerge/>
            <w:tcBorders>
              <w:left w:val="single" w:sz="12" w:space="0" w:color="auto"/>
            </w:tcBorders>
          </w:tcPr>
          <w:p w14:paraId="395AE171" w14:textId="77777777" w:rsidR="003B3105" w:rsidRDefault="003B3105" w:rsidP="001E533B">
            <w:pPr>
              <w:rPr>
                <w:rFonts w:ascii="新細明體" w:eastAsia="新細明體" w:hAnsi="新細明體"/>
              </w:rPr>
            </w:pPr>
          </w:p>
        </w:tc>
        <w:tc>
          <w:tcPr>
            <w:tcW w:w="1276" w:type="dxa"/>
            <w:vMerge/>
          </w:tcPr>
          <w:p w14:paraId="6E877C26" w14:textId="77777777" w:rsidR="003B3105" w:rsidRDefault="003B3105" w:rsidP="001E533B">
            <w:pPr>
              <w:rPr>
                <w:rFonts w:ascii="新細明體" w:eastAsia="新細明體" w:hAnsi="新細明體"/>
              </w:rPr>
            </w:pPr>
          </w:p>
        </w:tc>
        <w:tc>
          <w:tcPr>
            <w:tcW w:w="5386" w:type="dxa"/>
            <w:tcBorders>
              <w:top w:val="nil"/>
              <w:bottom w:val="nil"/>
            </w:tcBorders>
          </w:tcPr>
          <w:p w14:paraId="5EB29E50"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對於客戶為取得首次買賣槓桿反向指數股票型證券投資信託基金受益憑證、槓桿反向指數股票型期貨信託基金受益憑證、槓桿反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5387" w:type="dxa"/>
            <w:tcBorders>
              <w:top w:val="nil"/>
              <w:bottom w:val="nil"/>
            </w:tcBorders>
          </w:tcPr>
          <w:p w14:paraId="05703B1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對於客戶為取得首次買賣槓桿反向指數股票型證券投資信託基金受益憑證、槓桿反向指數股票型期貨信託基金受益憑證、槓桿反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2023" w:type="dxa"/>
            <w:vMerge/>
            <w:tcBorders>
              <w:right w:val="single" w:sz="12" w:space="0" w:color="auto"/>
            </w:tcBorders>
          </w:tcPr>
          <w:p w14:paraId="3D983E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D6E8D" w14:textId="77777777">
        <w:tc>
          <w:tcPr>
            <w:tcW w:w="1384" w:type="dxa"/>
            <w:vMerge/>
            <w:tcBorders>
              <w:left w:val="single" w:sz="12" w:space="0" w:color="auto"/>
            </w:tcBorders>
          </w:tcPr>
          <w:p w14:paraId="58305F3F" w14:textId="77777777" w:rsidR="003B3105" w:rsidRDefault="003B3105" w:rsidP="001E533B">
            <w:pPr>
              <w:rPr>
                <w:rFonts w:ascii="新細明體" w:eastAsia="新細明體" w:hAnsi="新細明體"/>
              </w:rPr>
            </w:pPr>
          </w:p>
        </w:tc>
        <w:tc>
          <w:tcPr>
            <w:tcW w:w="1276" w:type="dxa"/>
            <w:vMerge/>
          </w:tcPr>
          <w:p w14:paraId="52C2C76E" w14:textId="77777777" w:rsidR="003B3105" w:rsidRDefault="003B3105" w:rsidP="001E533B">
            <w:pPr>
              <w:rPr>
                <w:rFonts w:ascii="新細明體" w:eastAsia="新細明體" w:hAnsi="新細明體"/>
              </w:rPr>
            </w:pPr>
          </w:p>
        </w:tc>
        <w:tc>
          <w:tcPr>
            <w:tcW w:w="5386" w:type="dxa"/>
            <w:tcBorders>
              <w:top w:val="nil"/>
              <w:bottom w:val="nil"/>
            </w:tcBorders>
          </w:tcPr>
          <w:p w14:paraId="1569B51C"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經證交所函知，公司對於大量買進停止信用交易及借券交易指數股票型期貨信託基金受益憑證之客戶，應加強執行下列調查作業，並製作調查報告提報最近期董事會報告：</w:t>
            </w:r>
          </w:p>
        </w:tc>
        <w:tc>
          <w:tcPr>
            <w:tcW w:w="5387" w:type="dxa"/>
            <w:tcBorders>
              <w:top w:val="nil"/>
              <w:bottom w:val="nil"/>
            </w:tcBorders>
          </w:tcPr>
          <w:p w14:paraId="1355A71A"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經證交所函知，公司對於大量買進停止信用交易及借券交易指數股票型期貨信託基金受益憑證之客戶，應加強執行下列調查作業，並製作調查報告提報最近期董事會報告：</w:t>
            </w:r>
          </w:p>
        </w:tc>
        <w:tc>
          <w:tcPr>
            <w:tcW w:w="2023" w:type="dxa"/>
            <w:vMerge/>
            <w:tcBorders>
              <w:right w:val="single" w:sz="12" w:space="0" w:color="auto"/>
            </w:tcBorders>
          </w:tcPr>
          <w:p w14:paraId="57F83F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68059B" w14:textId="77777777">
        <w:tc>
          <w:tcPr>
            <w:tcW w:w="1384" w:type="dxa"/>
            <w:vMerge/>
            <w:tcBorders>
              <w:left w:val="single" w:sz="12" w:space="0" w:color="auto"/>
            </w:tcBorders>
          </w:tcPr>
          <w:p w14:paraId="57A70E0F" w14:textId="77777777" w:rsidR="003B3105" w:rsidRDefault="003B3105" w:rsidP="001E533B">
            <w:pPr>
              <w:rPr>
                <w:rFonts w:ascii="新細明體" w:eastAsia="新細明體" w:hAnsi="新細明體"/>
              </w:rPr>
            </w:pPr>
          </w:p>
        </w:tc>
        <w:tc>
          <w:tcPr>
            <w:tcW w:w="1276" w:type="dxa"/>
            <w:vMerge/>
          </w:tcPr>
          <w:p w14:paraId="3ED33270" w14:textId="77777777" w:rsidR="003B3105" w:rsidRDefault="003B3105" w:rsidP="001E533B">
            <w:pPr>
              <w:rPr>
                <w:rFonts w:ascii="新細明體" w:eastAsia="新細明體" w:hAnsi="新細明體"/>
              </w:rPr>
            </w:pPr>
          </w:p>
        </w:tc>
        <w:tc>
          <w:tcPr>
            <w:tcW w:w="5386" w:type="dxa"/>
            <w:tcBorders>
              <w:top w:val="nil"/>
              <w:bottom w:val="nil"/>
            </w:tcBorders>
          </w:tcPr>
          <w:p w14:paraId="4742B61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1.該客戶開戶作業及簽具風險預告書是否符合相關規定。</w:t>
            </w:r>
          </w:p>
        </w:tc>
        <w:tc>
          <w:tcPr>
            <w:tcW w:w="5387" w:type="dxa"/>
            <w:tcBorders>
              <w:top w:val="nil"/>
              <w:bottom w:val="nil"/>
            </w:tcBorders>
          </w:tcPr>
          <w:p w14:paraId="6551AF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1.該客戶開戶作業及簽具風險預告書是否符合相關規定。</w:t>
            </w:r>
          </w:p>
        </w:tc>
        <w:tc>
          <w:tcPr>
            <w:tcW w:w="2023" w:type="dxa"/>
            <w:vMerge/>
            <w:tcBorders>
              <w:right w:val="single" w:sz="12" w:space="0" w:color="auto"/>
            </w:tcBorders>
          </w:tcPr>
          <w:p w14:paraId="09C220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D39865" w14:textId="77777777">
        <w:tc>
          <w:tcPr>
            <w:tcW w:w="1384" w:type="dxa"/>
            <w:vMerge/>
            <w:tcBorders>
              <w:left w:val="single" w:sz="12" w:space="0" w:color="auto"/>
            </w:tcBorders>
          </w:tcPr>
          <w:p w14:paraId="6CAC0E95" w14:textId="77777777" w:rsidR="003B3105" w:rsidRDefault="003B3105" w:rsidP="001E533B">
            <w:pPr>
              <w:rPr>
                <w:rFonts w:ascii="新細明體" w:eastAsia="新細明體" w:hAnsi="新細明體"/>
              </w:rPr>
            </w:pPr>
          </w:p>
        </w:tc>
        <w:tc>
          <w:tcPr>
            <w:tcW w:w="1276" w:type="dxa"/>
            <w:vMerge/>
          </w:tcPr>
          <w:p w14:paraId="1FB84CF6" w14:textId="77777777" w:rsidR="003B3105" w:rsidRDefault="003B3105" w:rsidP="001E533B">
            <w:pPr>
              <w:rPr>
                <w:rFonts w:ascii="新細明體" w:eastAsia="新細明體" w:hAnsi="新細明體"/>
              </w:rPr>
            </w:pPr>
          </w:p>
        </w:tc>
        <w:tc>
          <w:tcPr>
            <w:tcW w:w="5386" w:type="dxa"/>
            <w:tcBorders>
              <w:top w:val="nil"/>
              <w:bottom w:val="nil"/>
            </w:tcBorders>
          </w:tcPr>
          <w:p w14:paraId="7C6D43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2.該客戶最近一次徵授信與額度管理作業之執行情形。</w:t>
            </w:r>
          </w:p>
        </w:tc>
        <w:tc>
          <w:tcPr>
            <w:tcW w:w="5387" w:type="dxa"/>
            <w:tcBorders>
              <w:top w:val="nil"/>
              <w:bottom w:val="nil"/>
            </w:tcBorders>
          </w:tcPr>
          <w:p w14:paraId="06BC85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2.該客戶最近一次徵授信與額度管理作業之執行情形。</w:t>
            </w:r>
          </w:p>
        </w:tc>
        <w:tc>
          <w:tcPr>
            <w:tcW w:w="2023" w:type="dxa"/>
            <w:vMerge/>
            <w:tcBorders>
              <w:right w:val="single" w:sz="12" w:space="0" w:color="auto"/>
            </w:tcBorders>
          </w:tcPr>
          <w:p w14:paraId="095451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5582E9" w14:textId="77777777">
        <w:tc>
          <w:tcPr>
            <w:tcW w:w="1384" w:type="dxa"/>
            <w:vMerge/>
            <w:tcBorders>
              <w:left w:val="single" w:sz="12" w:space="0" w:color="auto"/>
            </w:tcBorders>
          </w:tcPr>
          <w:p w14:paraId="0A8A0986" w14:textId="77777777" w:rsidR="003B3105" w:rsidRDefault="003B3105" w:rsidP="001E533B">
            <w:pPr>
              <w:rPr>
                <w:rFonts w:ascii="新細明體" w:eastAsia="新細明體" w:hAnsi="新細明體"/>
              </w:rPr>
            </w:pPr>
          </w:p>
        </w:tc>
        <w:tc>
          <w:tcPr>
            <w:tcW w:w="1276" w:type="dxa"/>
            <w:vMerge/>
          </w:tcPr>
          <w:p w14:paraId="6C9C2150" w14:textId="77777777" w:rsidR="003B3105" w:rsidRDefault="003B3105" w:rsidP="001E533B">
            <w:pPr>
              <w:rPr>
                <w:rFonts w:ascii="新細明體" w:eastAsia="新細明體" w:hAnsi="新細明體"/>
              </w:rPr>
            </w:pPr>
          </w:p>
        </w:tc>
        <w:tc>
          <w:tcPr>
            <w:tcW w:w="5386" w:type="dxa"/>
            <w:tcBorders>
              <w:top w:val="nil"/>
              <w:bottom w:val="nil"/>
            </w:tcBorders>
          </w:tcPr>
          <w:p w14:paraId="3CB6DD6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3.該客戶首次買賣槓桿反向指數股票型期貨信託基金受益憑證是否具備適格性。</w:t>
            </w:r>
          </w:p>
        </w:tc>
        <w:tc>
          <w:tcPr>
            <w:tcW w:w="5387" w:type="dxa"/>
            <w:tcBorders>
              <w:top w:val="nil"/>
              <w:bottom w:val="nil"/>
            </w:tcBorders>
          </w:tcPr>
          <w:p w14:paraId="4E58CA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3.該客戶首次買賣槓桿反向指數股票型期貨信託基金受益憑證是否具備適格性。</w:t>
            </w:r>
          </w:p>
        </w:tc>
        <w:tc>
          <w:tcPr>
            <w:tcW w:w="2023" w:type="dxa"/>
            <w:vMerge/>
            <w:tcBorders>
              <w:right w:val="single" w:sz="12" w:space="0" w:color="auto"/>
            </w:tcBorders>
          </w:tcPr>
          <w:p w14:paraId="3F55DE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87E0B4" w14:textId="77777777">
        <w:tc>
          <w:tcPr>
            <w:tcW w:w="1384" w:type="dxa"/>
            <w:vMerge/>
            <w:tcBorders>
              <w:left w:val="single" w:sz="12" w:space="0" w:color="auto"/>
            </w:tcBorders>
          </w:tcPr>
          <w:p w14:paraId="578BFE8F" w14:textId="77777777" w:rsidR="003B3105" w:rsidRDefault="003B3105" w:rsidP="001E533B">
            <w:pPr>
              <w:rPr>
                <w:rFonts w:ascii="新細明體" w:eastAsia="新細明體" w:hAnsi="新細明體"/>
              </w:rPr>
            </w:pPr>
          </w:p>
        </w:tc>
        <w:tc>
          <w:tcPr>
            <w:tcW w:w="1276" w:type="dxa"/>
            <w:vMerge/>
          </w:tcPr>
          <w:p w14:paraId="30B18C97" w14:textId="77777777" w:rsidR="003B3105" w:rsidRDefault="003B3105" w:rsidP="001E533B">
            <w:pPr>
              <w:rPr>
                <w:rFonts w:ascii="新細明體" w:eastAsia="新細明體" w:hAnsi="新細明體"/>
              </w:rPr>
            </w:pPr>
          </w:p>
        </w:tc>
        <w:tc>
          <w:tcPr>
            <w:tcW w:w="5386" w:type="dxa"/>
            <w:tcBorders>
              <w:top w:val="nil"/>
              <w:bottom w:val="nil"/>
            </w:tcBorders>
          </w:tcPr>
          <w:p w14:paraId="266B52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4.該客戶首次買賣槓桿反向指數股票型期貨信託基金受益憑證是否完成檢核表。</w:t>
            </w:r>
          </w:p>
        </w:tc>
        <w:tc>
          <w:tcPr>
            <w:tcW w:w="5387" w:type="dxa"/>
            <w:tcBorders>
              <w:top w:val="nil"/>
              <w:bottom w:val="nil"/>
            </w:tcBorders>
          </w:tcPr>
          <w:p w14:paraId="7E3A64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4.該客戶首次買賣槓桿反向指數股票型期貨信託基金受益憑證是否完成檢核表。</w:t>
            </w:r>
          </w:p>
        </w:tc>
        <w:tc>
          <w:tcPr>
            <w:tcW w:w="2023" w:type="dxa"/>
            <w:vMerge/>
            <w:tcBorders>
              <w:right w:val="single" w:sz="12" w:space="0" w:color="auto"/>
            </w:tcBorders>
          </w:tcPr>
          <w:p w14:paraId="2123CD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559F9C" w14:textId="77777777">
        <w:tc>
          <w:tcPr>
            <w:tcW w:w="1384" w:type="dxa"/>
            <w:vMerge/>
            <w:tcBorders>
              <w:left w:val="single" w:sz="12" w:space="0" w:color="auto"/>
            </w:tcBorders>
          </w:tcPr>
          <w:p w14:paraId="78C46282" w14:textId="77777777" w:rsidR="003B3105" w:rsidRDefault="003B3105" w:rsidP="001E533B">
            <w:pPr>
              <w:rPr>
                <w:rFonts w:ascii="新細明體" w:eastAsia="新細明體" w:hAnsi="新細明體"/>
              </w:rPr>
            </w:pPr>
          </w:p>
        </w:tc>
        <w:tc>
          <w:tcPr>
            <w:tcW w:w="1276" w:type="dxa"/>
            <w:vMerge/>
          </w:tcPr>
          <w:p w14:paraId="2103FEA7" w14:textId="77777777" w:rsidR="003B3105" w:rsidRDefault="003B3105" w:rsidP="001E533B">
            <w:pPr>
              <w:rPr>
                <w:rFonts w:ascii="新細明體" w:eastAsia="新細明體" w:hAnsi="新細明體"/>
              </w:rPr>
            </w:pPr>
          </w:p>
        </w:tc>
        <w:tc>
          <w:tcPr>
            <w:tcW w:w="5386" w:type="dxa"/>
            <w:tcBorders>
              <w:top w:val="nil"/>
              <w:bottom w:val="nil"/>
            </w:tcBorders>
          </w:tcPr>
          <w:p w14:paraId="314D160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備妥前開所作調查報告及董事會議事錄(可後補)，並依證交所函知期限函復備查。</w:t>
            </w:r>
          </w:p>
        </w:tc>
        <w:tc>
          <w:tcPr>
            <w:tcW w:w="5387" w:type="dxa"/>
            <w:tcBorders>
              <w:top w:val="nil"/>
              <w:bottom w:val="nil"/>
            </w:tcBorders>
          </w:tcPr>
          <w:p w14:paraId="7552B75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備妥前開所作調查報告及董事會議事錄(可後補)，並依證交所函知期限函復備查。</w:t>
            </w:r>
          </w:p>
        </w:tc>
        <w:tc>
          <w:tcPr>
            <w:tcW w:w="2023" w:type="dxa"/>
            <w:vMerge/>
            <w:tcBorders>
              <w:right w:val="single" w:sz="12" w:space="0" w:color="auto"/>
            </w:tcBorders>
          </w:tcPr>
          <w:p w14:paraId="0150C3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51F53C" w14:textId="77777777">
        <w:tc>
          <w:tcPr>
            <w:tcW w:w="1384" w:type="dxa"/>
            <w:vMerge/>
            <w:tcBorders>
              <w:left w:val="single" w:sz="12" w:space="0" w:color="auto"/>
            </w:tcBorders>
          </w:tcPr>
          <w:p w14:paraId="79D8D785" w14:textId="77777777" w:rsidR="003B3105" w:rsidRDefault="003B3105" w:rsidP="001E533B">
            <w:pPr>
              <w:rPr>
                <w:rFonts w:ascii="新細明體" w:eastAsia="新細明體" w:hAnsi="新細明體"/>
              </w:rPr>
            </w:pPr>
          </w:p>
        </w:tc>
        <w:tc>
          <w:tcPr>
            <w:tcW w:w="1276" w:type="dxa"/>
            <w:vMerge/>
          </w:tcPr>
          <w:p w14:paraId="0ED10956" w14:textId="77777777" w:rsidR="003B3105" w:rsidRDefault="003B3105" w:rsidP="001E533B">
            <w:pPr>
              <w:rPr>
                <w:rFonts w:ascii="新細明體" w:eastAsia="新細明體" w:hAnsi="新細明體"/>
              </w:rPr>
            </w:pPr>
          </w:p>
        </w:tc>
        <w:tc>
          <w:tcPr>
            <w:tcW w:w="5386" w:type="dxa"/>
            <w:tcBorders>
              <w:top w:val="nil"/>
              <w:bottom w:val="nil"/>
            </w:tcBorders>
          </w:tcPr>
          <w:p w14:paraId="045FD56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(八)受託買賣認購(售)權證應依證交所及櫃檯買賣中心「認購(售)權證買賣辦法」及相關規定辦理。</w:t>
            </w:r>
          </w:p>
        </w:tc>
        <w:tc>
          <w:tcPr>
            <w:tcW w:w="5387" w:type="dxa"/>
            <w:tcBorders>
              <w:top w:val="nil"/>
              <w:bottom w:val="nil"/>
            </w:tcBorders>
          </w:tcPr>
          <w:p w14:paraId="6B8B7E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(八)受託買賣認購(售)權證應依證交所及櫃檯買賣中心「認購(售)權證買賣辦法」及相關規定辦理。</w:t>
            </w:r>
          </w:p>
        </w:tc>
        <w:tc>
          <w:tcPr>
            <w:tcW w:w="2023" w:type="dxa"/>
            <w:vMerge/>
            <w:tcBorders>
              <w:right w:val="single" w:sz="12" w:space="0" w:color="auto"/>
            </w:tcBorders>
          </w:tcPr>
          <w:p w14:paraId="617C29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3F85BE" w14:textId="77777777">
        <w:tc>
          <w:tcPr>
            <w:tcW w:w="1384" w:type="dxa"/>
            <w:vMerge/>
            <w:tcBorders>
              <w:left w:val="single" w:sz="12" w:space="0" w:color="auto"/>
            </w:tcBorders>
          </w:tcPr>
          <w:p w14:paraId="2A39ECCB" w14:textId="77777777" w:rsidR="003B3105" w:rsidRDefault="003B3105" w:rsidP="001E533B">
            <w:pPr>
              <w:rPr>
                <w:rFonts w:ascii="新細明體" w:eastAsia="新細明體" w:hAnsi="新細明體"/>
              </w:rPr>
            </w:pPr>
          </w:p>
        </w:tc>
        <w:tc>
          <w:tcPr>
            <w:tcW w:w="1276" w:type="dxa"/>
            <w:vMerge/>
          </w:tcPr>
          <w:p w14:paraId="0B3DF41A" w14:textId="77777777" w:rsidR="003B3105" w:rsidRDefault="003B3105" w:rsidP="001E533B">
            <w:pPr>
              <w:rPr>
                <w:rFonts w:ascii="新細明體" w:eastAsia="新細明體" w:hAnsi="新細明體"/>
              </w:rPr>
            </w:pPr>
          </w:p>
        </w:tc>
        <w:tc>
          <w:tcPr>
            <w:tcW w:w="5386" w:type="dxa"/>
            <w:tcBorders>
              <w:top w:val="nil"/>
              <w:bottom w:val="nil"/>
            </w:tcBorders>
          </w:tcPr>
          <w:p w14:paraId="62CA40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(九)接受客戶委託拍賣、標購上市證券者，應</w:t>
            </w:r>
            <w:r>
              <w:rPr>
                <w:rFonts w:ascii="新細明體" w:eastAsia="新細明體" w:hAnsi="新細明體" w:cs="新細明體" w:hint="eastAsia"/>
              </w:rPr>
              <w:lastRenderedPageBreak/>
              <w:t>依證交所「受託辦理上市證券拍賣辦法」、「辦理上市證券標購辦法」及櫃檯買賣中心「辦理上櫃證券標購辦法」辦理。</w:t>
            </w:r>
          </w:p>
        </w:tc>
        <w:tc>
          <w:tcPr>
            <w:tcW w:w="5387" w:type="dxa"/>
            <w:tcBorders>
              <w:top w:val="nil"/>
              <w:bottom w:val="nil"/>
            </w:tcBorders>
          </w:tcPr>
          <w:p w14:paraId="0417155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(九)接受客戶委託拍賣、標購上市證券者，應</w:t>
            </w:r>
            <w:r>
              <w:rPr>
                <w:rFonts w:ascii="新細明體" w:eastAsia="新細明體" w:hAnsi="新細明體" w:cs="新細明體" w:hint="eastAsia"/>
              </w:rPr>
              <w:lastRenderedPageBreak/>
              <w:t>依證交所「受託辦理上市證券拍賣辦法」、「辦理上市證券標購辦法」及櫃檯買賣中心「辦理上櫃證券標購辦法」辦理。</w:t>
            </w:r>
          </w:p>
        </w:tc>
        <w:tc>
          <w:tcPr>
            <w:tcW w:w="2023" w:type="dxa"/>
            <w:vMerge/>
            <w:tcBorders>
              <w:right w:val="single" w:sz="12" w:space="0" w:color="auto"/>
            </w:tcBorders>
          </w:tcPr>
          <w:p w14:paraId="049A0F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8B9E1F" w14:textId="77777777">
        <w:tc>
          <w:tcPr>
            <w:tcW w:w="1384" w:type="dxa"/>
            <w:vMerge/>
            <w:tcBorders>
              <w:left w:val="single" w:sz="12" w:space="0" w:color="auto"/>
            </w:tcBorders>
          </w:tcPr>
          <w:p w14:paraId="10FA89B7" w14:textId="77777777" w:rsidR="003B3105" w:rsidRDefault="003B3105" w:rsidP="001E533B">
            <w:pPr>
              <w:rPr>
                <w:rFonts w:ascii="新細明體" w:eastAsia="新細明體" w:hAnsi="新細明體"/>
              </w:rPr>
            </w:pPr>
          </w:p>
        </w:tc>
        <w:tc>
          <w:tcPr>
            <w:tcW w:w="1276" w:type="dxa"/>
            <w:vMerge/>
          </w:tcPr>
          <w:p w14:paraId="7681F417" w14:textId="77777777" w:rsidR="003B3105" w:rsidRDefault="003B3105" w:rsidP="001E533B">
            <w:pPr>
              <w:rPr>
                <w:rFonts w:ascii="新細明體" w:eastAsia="新細明體" w:hAnsi="新細明體"/>
              </w:rPr>
            </w:pPr>
          </w:p>
        </w:tc>
        <w:tc>
          <w:tcPr>
            <w:tcW w:w="5386" w:type="dxa"/>
            <w:tcBorders>
              <w:top w:val="nil"/>
              <w:bottom w:val="nil"/>
            </w:tcBorders>
          </w:tcPr>
          <w:p w14:paraId="727E028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如遇公司停電或電信局線路故障或終端機無法作業，若在時間、距離之允許範圍內，為維持交易之正常進行，業務主管應即與證交所或櫃檯買賣中心電腦中心連絡，並派員至證交所或櫃檯買賣中心提供之備用終端機室進行臨時輸入作業。另公司如與證交所或櫃檯買賣中心之備援撥接系統有進行連線時，則在區域性數據線路中斷，而無法立即修復時，無論距離遠近該備援撥接系統可經普通之電話連絡於極短時間內連線，維持交易之正常作業。</w:t>
            </w:r>
          </w:p>
        </w:tc>
        <w:tc>
          <w:tcPr>
            <w:tcW w:w="5387" w:type="dxa"/>
            <w:tcBorders>
              <w:top w:val="nil"/>
              <w:bottom w:val="nil"/>
            </w:tcBorders>
          </w:tcPr>
          <w:p w14:paraId="6734C02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如遇公司停電或電信局線路故障或終端機無法作業，若在時間、距離之允許範圍內，為維持交易之正常進行，業務主管應即與證交所或櫃檯買賣中心電腦中心連絡，並派員至證交所或櫃檯買賣中心提供之備用終端機室進行臨時輸入作業。另公司如與證交所或櫃檯買賣中心之備援撥接系統有進行連線時，則在區域性數據線路中斷，而無法立即修復時，無論距離遠近該備援撥接系統可經普通之電話連絡於極短時間內連線，維持交易之正常作業。</w:t>
            </w:r>
          </w:p>
        </w:tc>
        <w:tc>
          <w:tcPr>
            <w:tcW w:w="2023" w:type="dxa"/>
            <w:vMerge/>
            <w:tcBorders>
              <w:right w:val="single" w:sz="12" w:space="0" w:color="auto"/>
            </w:tcBorders>
          </w:tcPr>
          <w:p w14:paraId="6DBC65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BAE78B" w14:textId="77777777">
        <w:tc>
          <w:tcPr>
            <w:tcW w:w="1384" w:type="dxa"/>
            <w:vMerge/>
            <w:tcBorders>
              <w:left w:val="single" w:sz="12" w:space="0" w:color="auto"/>
            </w:tcBorders>
          </w:tcPr>
          <w:p w14:paraId="5A3E0CF6" w14:textId="77777777" w:rsidR="003B3105" w:rsidRDefault="003B3105" w:rsidP="001E533B">
            <w:pPr>
              <w:rPr>
                <w:rFonts w:ascii="新細明體" w:eastAsia="新細明體" w:hAnsi="新細明體"/>
              </w:rPr>
            </w:pPr>
          </w:p>
        </w:tc>
        <w:tc>
          <w:tcPr>
            <w:tcW w:w="1276" w:type="dxa"/>
            <w:vMerge/>
          </w:tcPr>
          <w:p w14:paraId="19842365" w14:textId="77777777" w:rsidR="003B3105" w:rsidRDefault="003B3105" w:rsidP="001E533B">
            <w:pPr>
              <w:rPr>
                <w:rFonts w:ascii="新細明體" w:eastAsia="新細明體" w:hAnsi="新細明體"/>
              </w:rPr>
            </w:pPr>
          </w:p>
        </w:tc>
        <w:tc>
          <w:tcPr>
            <w:tcW w:w="5386" w:type="dxa"/>
            <w:tcBorders>
              <w:top w:val="nil"/>
              <w:bottom w:val="nil"/>
            </w:tcBorders>
          </w:tcPr>
          <w:p w14:paraId="7D4E8DF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(十一)遇有列表機之色帶清淡，不易閱讀，應事先於開盤前通知資訊部門人員更換新色帶，以免開盤後，因印表忙碌而無法更換。</w:t>
            </w:r>
          </w:p>
        </w:tc>
        <w:tc>
          <w:tcPr>
            <w:tcW w:w="5387" w:type="dxa"/>
            <w:tcBorders>
              <w:top w:val="nil"/>
              <w:bottom w:val="nil"/>
            </w:tcBorders>
          </w:tcPr>
          <w:p w14:paraId="49AA1AD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(十一)遇有列表機之色帶清淡，不易閱讀，應事先於開盤前通知資訊部門人員更換新色帶，以免開盤後，因印表忙碌而無法更換。</w:t>
            </w:r>
          </w:p>
        </w:tc>
        <w:tc>
          <w:tcPr>
            <w:tcW w:w="2023" w:type="dxa"/>
            <w:vMerge/>
            <w:tcBorders>
              <w:right w:val="single" w:sz="12" w:space="0" w:color="auto"/>
            </w:tcBorders>
          </w:tcPr>
          <w:p w14:paraId="1DD5AF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8DCC0C" w14:textId="77777777">
        <w:tc>
          <w:tcPr>
            <w:tcW w:w="1384" w:type="dxa"/>
            <w:vMerge/>
            <w:tcBorders>
              <w:left w:val="single" w:sz="12" w:space="0" w:color="auto"/>
            </w:tcBorders>
          </w:tcPr>
          <w:p w14:paraId="025186C2" w14:textId="77777777" w:rsidR="003B3105" w:rsidRDefault="003B3105" w:rsidP="001E533B">
            <w:pPr>
              <w:rPr>
                <w:rFonts w:ascii="新細明體" w:eastAsia="新細明體" w:hAnsi="新細明體"/>
              </w:rPr>
            </w:pPr>
          </w:p>
        </w:tc>
        <w:tc>
          <w:tcPr>
            <w:tcW w:w="1276" w:type="dxa"/>
            <w:vMerge/>
          </w:tcPr>
          <w:p w14:paraId="0CAB69FE" w14:textId="77777777" w:rsidR="003B3105" w:rsidRDefault="003B3105" w:rsidP="001E533B">
            <w:pPr>
              <w:rPr>
                <w:rFonts w:ascii="新細明體" w:eastAsia="新細明體" w:hAnsi="新細明體"/>
              </w:rPr>
            </w:pPr>
          </w:p>
        </w:tc>
        <w:tc>
          <w:tcPr>
            <w:tcW w:w="5386" w:type="dxa"/>
            <w:tcBorders>
              <w:top w:val="nil"/>
              <w:bottom w:val="nil"/>
            </w:tcBorders>
          </w:tcPr>
          <w:p w14:paraId="270DDA8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5387" w:type="dxa"/>
            <w:tcBorders>
              <w:top w:val="nil"/>
              <w:bottom w:val="nil"/>
            </w:tcBorders>
          </w:tcPr>
          <w:p w14:paraId="5984CEF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2023" w:type="dxa"/>
            <w:vMerge/>
            <w:tcBorders>
              <w:right w:val="single" w:sz="12" w:space="0" w:color="auto"/>
            </w:tcBorders>
          </w:tcPr>
          <w:p w14:paraId="570590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818501" w14:textId="77777777">
        <w:tc>
          <w:tcPr>
            <w:tcW w:w="1384" w:type="dxa"/>
            <w:vMerge/>
            <w:tcBorders>
              <w:left w:val="single" w:sz="12" w:space="0" w:color="auto"/>
            </w:tcBorders>
          </w:tcPr>
          <w:p w14:paraId="59D99CBC" w14:textId="77777777" w:rsidR="003B3105" w:rsidRDefault="003B3105" w:rsidP="001E533B">
            <w:pPr>
              <w:rPr>
                <w:rFonts w:ascii="新細明體" w:eastAsia="新細明體" w:hAnsi="新細明體"/>
              </w:rPr>
            </w:pPr>
          </w:p>
        </w:tc>
        <w:tc>
          <w:tcPr>
            <w:tcW w:w="1276" w:type="dxa"/>
            <w:vMerge/>
          </w:tcPr>
          <w:p w14:paraId="0C5EB0DE" w14:textId="77777777" w:rsidR="003B3105" w:rsidRDefault="003B3105" w:rsidP="001E533B">
            <w:pPr>
              <w:rPr>
                <w:rFonts w:ascii="新細明體" w:eastAsia="新細明體" w:hAnsi="新細明體"/>
              </w:rPr>
            </w:pPr>
          </w:p>
        </w:tc>
        <w:tc>
          <w:tcPr>
            <w:tcW w:w="5386" w:type="dxa"/>
            <w:tcBorders>
              <w:top w:val="nil"/>
              <w:bottom w:val="nil"/>
            </w:tcBorders>
          </w:tcPr>
          <w:p w14:paraId="27B3DC9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(十三)營業時間內僅董事長、總經理、營業部門經理、分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經理、登記合格之辦理受託買賣有價證券及申報(電腦操作)業務之人員、內部稽核人員、法令遵循人員及營業櫃檯事務員方得進入營業櫃檯、交易室，公司並應落實下列控管配套措施：</w:t>
            </w:r>
          </w:p>
        </w:tc>
        <w:tc>
          <w:tcPr>
            <w:tcW w:w="5387" w:type="dxa"/>
            <w:tcBorders>
              <w:top w:val="nil"/>
              <w:bottom w:val="nil"/>
            </w:tcBorders>
          </w:tcPr>
          <w:p w14:paraId="3A2239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(十三)營業時間內僅董事長、總經理、營業部門經理、分</w:t>
            </w:r>
            <w:r>
              <w:rPr>
                <w:rFonts w:ascii="新細明體" w:eastAsia="新細明體" w:hAnsi="新細明體" w:cs="新細明體" w:hint="eastAsia"/>
                <w:b/>
                <w:color w:val="FF0000"/>
              </w:rPr>
              <w:t>公司</w:t>
            </w:r>
            <w:r>
              <w:rPr>
                <w:rFonts w:ascii="新細明體" w:eastAsia="新細明體" w:hAnsi="新細明體" w:cs="新細明體" w:hint="eastAsia"/>
              </w:rPr>
              <w:t>經理、登記合格之辦理受託買賣有價證券及申報(電腦操作)業務之人員、內部稽核人員、法令遵循人員及營業櫃檯事務員方得進入營業櫃檯、交易室，公司並應落實下列控管配套措施：</w:t>
            </w:r>
          </w:p>
        </w:tc>
        <w:tc>
          <w:tcPr>
            <w:tcW w:w="2023" w:type="dxa"/>
            <w:vMerge/>
            <w:tcBorders>
              <w:right w:val="single" w:sz="12" w:space="0" w:color="auto"/>
            </w:tcBorders>
          </w:tcPr>
          <w:p w14:paraId="4DF9BA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E31BC9" w14:textId="77777777">
        <w:tc>
          <w:tcPr>
            <w:tcW w:w="1384" w:type="dxa"/>
            <w:vMerge/>
            <w:tcBorders>
              <w:left w:val="single" w:sz="12" w:space="0" w:color="auto"/>
            </w:tcBorders>
          </w:tcPr>
          <w:p w14:paraId="03D82200" w14:textId="77777777" w:rsidR="003B3105" w:rsidRDefault="003B3105" w:rsidP="001E533B">
            <w:pPr>
              <w:rPr>
                <w:rFonts w:ascii="新細明體" w:eastAsia="新細明體" w:hAnsi="新細明體"/>
              </w:rPr>
            </w:pPr>
          </w:p>
        </w:tc>
        <w:tc>
          <w:tcPr>
            <w:tcW w:w="1276" w:type="dxa"/>
            <w:vMerge/>
          </w:tcPr>
          <w:p w14:paraId="159D1B0B" w14:textId="77777777" w:rsidR="003B3105" w:rsidRDefault="003B3105" w:rsidP="001E533B">
            <w:pPr>
              <w:rPr>
                <w:rFonts w:ascii="新細明體" w:eastAsia="新細明體" w:hAnsi="新細明體"/>
              </w:rPr>
            </w:pPr>
          </w:p>
        </w:tc>
        <w:tc>
          <w:tcPr>
            <w:tcW w:w="5386" w:type="dxa"/>
            <w:tcBorders>
              <w:top w:val="nil"/>
              <w:bottom w:val="nil"/>
            </w:tcBorders>
          </w:tcPr>
          <w:p w14:paraId="472327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1.內部稽核人員及法令遵循人員進入營業</w:t>
            </w:r>
            <w:r>
              <w:rPr>
                <w:rFonts w:ascii="新細明體" w:eastAsia="新細明體" w:hAnsi="新細明體" w:cs="新細明體" w:hint="eastAsia"/>
              </w:rPr>
              <w:lastRenderedPageBreak/>
              <w:t>櫃檯、交易室，應簽署避免利益衝突聲明書並提出進入申請且經權責主管核可後方得進入，相關紀錄至少保存五年。</w:t>
            </w:r>
          </w:p>
        </w:tc>
        <w:tc>
          <w:tcPr>
            <w:tcW w:w="5387" w:type="dxa"/>
            <w:tcBorders>
              <w:top w:val="nil"/>
              <w:bottom w:val="nil"/>
            </w:tcBorders>
          </w:tcPr>
          <w:p w14:paraId="2A9F20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1.內部稽核人員及法令遵循人員進入營業</w:t>
            </w:r>
            <w:r>
              <w:rPr>
                <w:rFonts w:ascii="新細明體" w:eastAsia="新細明體" w:hAnsi="新細明體" w:cs="新細明體" w:hint="eastAsia"/>
              </w:rPr>
              <w:lastRenderedPageBreak/>
              <w:t>櫃檯、交易室，應簽署避免利益衝突聲明書並提出進入申請且經權責主管核可後方得進入，相關紀錄至少保存五年。</w:t>
            </w:r>
          </w:p>
        </w:tc>
        <w:tc>
          <w:tcPr>
            <w:tcW w:w="2023" w:type="dxa"/>
            <w:vMerge/>
            <w:tcBorders>
              <w:right w:val="single" w:sz="12" w:space="0" w:color="auto"/>
            </w:tcBorders>
          </w:tcPr>
          <w:p w14:paraId="359CC9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EDA5C7" w14:textId="77777777">
        <w:tc>
          <w:tcPr>
            <w:tcW w:w="1384" w:type="dxa"/>
            <w:vMerge/>
            <w:tcBorders>
              <w:left w:val="single" w:sz="12" w:space="0" w:color="auto"/>
            </w:tcBorders>
          </w:tcPr>
          <w:p w14:paraId="55ADCA2E" w14:textId="77777777" w:rsidR="003B3105" w:rsidRDefault="003B3105" w:rsidP="001E533B">
            <w:pPr>
              <w:rPr>
                <w:rFonts w:ascii="新細明體" w:eastAsia="新細明體" w:hAnsi="新細明體"/>
              </w:rPr>
            </w:pPr>
          </w:p>
        </w:tc>
        <w:tc>
          <w:tcPr>
            <w:tcW w:w="1276" w:type="dxa"/>
            <w:vMerge/>
          </w:tcPr>
          <w:p w14:paraId="07323097" w14:textId="77777777" w:rsidR="003B3105" w:rsidRDefault="003B3105" w:rsidP="001E533B">
            <w:pPr>
              <w:rPr>
                <w:rFonts w:ascii="新細明體" w:eastAsia="新細明體" w:hAnsi="新細明體"/>
              </w:rPr>
            </w:pPr>
          </w:p>
        </w:tc>
        <w:tc>
          <w:tcPr>
            <w:tcW w:w="5386" w:type="dxa"/>
            <w:tcBorders>
              <w:top w:val="nil"/>
              <w:bottom w:val="nil"/>
            </w:tcBorders>
          </w:tcPr>
          <w:p w14:paraId="2B7EB7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2.董事長、總經理及分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經理因業務需要，方得進入營業櫃檯、交易室，進入時應登記及載明進入事由，進出紀錄至少保存五年。</w:t>
            </w:r>
          </w:p>
        </w:tc>
        <w:tc>
          <w:tcPr>
            <w:tcW w:w="5387" w:type="dxa"/>
            <w:tcBorders>
              <w:top w:val="nil"/>
              <w:bottom w:val="nil"/>
            </w:tcBorders>
          </w:tcPr>
          <w:p w14:paraId="3747B9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2.董事長、總經理及分</w:t>
            </w:r>
            <w:r>
              <w:rPr>
                <w:rFonts w:ascii="新細明體" w:eastAsia="新細明體" w:hAnsi="新細明體" w:cs="新細明體" w:hint="eastAsia"/>
                <w:b/>
                <w:color w:val="FF0000"/>
              </w:rPr>
              <w:t>公司</w:t>
            </w:r>
            <w:r>
              <w:rPr>
                <w:rFonts w:ascii="新細明體" w:eastAsia="新細明體" w:hAnsi="新細明體" w:cs="新細明體" w:hint="eastAsia"/>
              </w:rPr>
              <w:t>經理因業務需要，方得進入營業櫃檯、交易室，進入時應登記及載明進入事由，進出紀錄至少保存五年。</w:t>
            </w:r>
          </w:p>
        </w:tc>
        <w:tc>
          <w:tcPr>
            <w:tcW w:w="2023" w:type="dxa"/>
            <w:vMerge/>
            <w:tcBorders>
              <w:right w:val="single" w:sz="12" w:space="0" w:color="auto"/>
            </w:tcBorders>
          </w:tcPr>
          <w:p w14:paraId="559811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BCE2FC" w14:textId="77777777">
        <w:tc>
          <w:tcPr>
            <w:tcW w:w="1384" w:type="dxa"/>
            <w:vMerge/>
            <w:tcBorders>
              <w:left w:val="single" w:sz="12" w:space="0" w:color="auto"/>
            </w:tcBorders>
          </w:tcPr>
          <w:p w14:paraId="48FD9185" w14:textId="77777777" w:rsidR="003B3105" w:rsidRDefault="003B3105" w:rsidP="001E533B">
            <w:pPr>
              <w:rPr>
                <w:rFonts w:ascii="新細明體" w:eastAsia="新細明體" w:hAnsi="新細明體"/>
              </w:rPr>
            </w:pPr>
          </w:p>
        </w:tc>
        <w:tc>
          <w:tcPr>
            <w:tcW w:w="1276" w:type="dxa"/>
            <w:vMerge/>
          </w:tcPr>
          <w:p w14:paraId="42C46712" w14:textId="77777777" w:rsidR="003B3105" w:rsidRDefault="003B3105" w:rsidP="001E533B">
            <w:pPr>
              <w:rPr>
                <w:rFonts w:ascii="新細明體" w:eastAsia="新細明體" w:hAnsi="新細明體"/>
              </w:rPr>
            </w:pPr>
          </w:p>
        </w:tc>
        <w:tc>
          <w:tcPr>
            <w:tcW w:w="5386" w:type="dxa"/>
            <w:tcBorders>
              <w:top w:val="nil"/>
              <w:bottom w:val="nil"/>
            </w:tcBorders>
          </w:tcPr>
          <w:p w14:paraId="03B2E9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5387" w:type="dxa"/>
            <w:tcBorders>
              <w:top w:val="nil"/>
              <w:bottom w:val="nil"/>
            </w:tcBorders>
          </w:tcPr>
          <w:p w14:paraId="01B54DD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2023" w:type="dxa"/>
            <w:vMerge/>
            <w:tcBorders>
              <w:right w:val="single" w:sz="12" w:space="0" w:color="auto"/>
            </w:tcBorders>
          </w:tcPr>
          <w:p w14:paraId="2377D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192F5D" w14:textId="77777777">
        <w:tc>
          <w:tcPr>
            <w:tcW w:w="1384" w:type="dxa"/>
            <w:vMerge/>
            <w:tcBorders>
              <w:left w:val="single" w:sz="12" w:space="0" w:color="auto"/>
            </w:tcBorders>
          </w:tcPr>
          <w:p w14:paraId="115CBFA2" w14:textId="77777777" w:rsidR="003B3105" w:rsidRDefault="003B3105" w:rsidP="001E533B">
            <w:pPr>
              <w:rPr>
                <w:rFonts w:ascii="新細明體" w:eastAsia="新細明體" w:hAnsi="新細明體"/>
              </w:rPr>
            </w:pPr>
          </w:p>
        </w:tc>
        <w:tc>
          <w:tcPr>
            <w:tcW w:w="1276" w:type="dxa"/>
            <w:vMerge/>
          </w:tcPr>
          <w:p w14:paraId="2E30546A" w14:textId="77777777" w:rsidR="003B3105" w:rsidRDefault="003B3105" w:rsidP="001E533B">
            <w:pPr>
              <w:rPr>
                <w:rFonts w:ascii="新細明體" w:eastAsia="新細明體" w:hAnsi="新細明體"/>
              </w:rPr>
            </w:pPr>
          </w:p>
        </w:tc>
        <w:tc>
          <w:tcPr>
            <w:tcW w:w="5386" w:type="dxa"/>
            <w:tcBorders>
              <w:top w:val="nil"/>
              <w:bottom w:val="nil"/>
            </w:tcBorders>
          </w:tcPr>
          <w:p w14:paraId="0F2320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1.提供新臺幣五千萬元以上之財力證明。</w:t>
            </w:r>
          </w:p>
        </w:tc>
        <w:tc>
          <w:tcPr>
            <w:tcW w:w="5387" w:type="dxa"/>
            <w:tcBorders>
              <w:top w:val="nil"/>
              <w:bottom w:val="nil"/>
            </w:tcBorders>
          </w:tcPr>
          <w:p w14:paraId="51A59E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1.提供新臺幣五千萬元以上之財力證明。</w:t>
            </w:r>
          </w:p>
        </w:tc>
        <w:tc>
          <w:tcPr>
            <w:tcW w:w="2023" w:type="dxa"/>
            <w:vMerge/>
            <w:tcBorders>
              <w:right w:val="single" w:sz="12" w:space="0" w:color="auto"/>
            </w:tcBorders>
          </w:tcPr>
          <w:p w14:paraId="59CB66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B2C5ED" w14:textId="77777777">
        <w:tc>
          <w:tcPr>
            <w:tcW w:w="1384" w:type="dxa"/>
            <w:vMerge/>
            <w:tcBorders>
              <w:left w:val="single" w:sz="12" w:space="0" w:color="auto"/>
            </w:tcBorders>
          </w:tcPr>
          <w:p w14:paraId="403AF1E7" w14:textId="77777777" w:rsidR="003B3105" w:rsidRDefault="003B3105" w:rsidP="001E533B">
            <w:pPr>
              <w:rPr>
                <w:rFonts w:ascii="新細明體" w:eastAsia="新細明體" w:hAnsi="新細明體"/>
              </w:rPr>
            </w:pPr>
          </w:p>
        </w:tc>
        <w:tc>
          <w:tcPr>
            <w:tcW w:w="1276" w:type="dxa"/>
            <w:vMerge/>
          </w:tcPr>
          <w:p w14:paraId="305F1325" w14:textId="77777777" w:rsidR="003B3105" w:rsidRDefault="003B3105" w:rsidP="001E533B">
            <w:pPr>
              <w:rPr>
                <w:rFonts w:ascii="新細明體" w:eastAsia="新細明體" w:hAnsi="新細明體"/>
              </w:rPr>
            </w:pPr>
          </w:p>
        </w:tc>
        <w:tc>
          <w:tcPr>
            <w:tcW w:w="5386" w:type="dxa"/>
            <w:tcBorders>
              <w:top w:val="nil"/>
              <w:bottom w:val="nil"/>
            </w:tcBorders>
          </w:tcPr>
          <w:p w14:paraId="4A6E3F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2.具備充分之金融商品專業知識或交易經驗（係指符合下列條件之一者：一、曾任職於證券、期貨、金融或保險機構，或有</w:t>
            </w:r>
            <w:r>
              <w:rPr>
                <w:rFonts w:ascii="新細明體" w:eastAsia="新細明體" w:hAnsi="新細明體" w:cs="新細明體" w:hint="eastAsia"/>
              </w:rPr>
              <w:lastRenderedPageBreak/>
              <w:t>其他學經歷足資證明具備證券專業知識者。二、同時符合下列條件者：（一）開戶滿六個月。（二）提出最近一年於證券市場交易滿二十筆之證明；開戶未滿一年者，亦同。（三）未有證券交易違約紀錄。）。</w:t>
            </w:r>
          </w:p>
        </w:tc>
        <w:tc>
          <w:tcPr>
            <w:tcW w:w="5387" w:type="dxa"/>
            <w:tcBorders>
              <w:top w:val="nil"/>
              <w:bottom w:val="nil"/>
            </w:tcBorders>
          </w:tcPr>
          <w:p w14:paraId="027FEE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2.具備充分之金融商品專業知識或交易經驗（係指符合下列條件之一者：一、曾任職於證券、期貨、金融或保險機構，或有</w:t>
            </w:r>
            <w:r>
              <w:rPr>
                <w:rFonts w:ascii="新細明體" w:eastAsia="新細明體" w:hAnsi="新細明體" w:cs="新細明體" w:hint="eastAsia"/>
              </w:rPr>
              <w:lastRenderedPageBreak/>
              <w:t>其他學經歷足資證明具備證券專業知識者。二、同時符合下列條件者：（一）開戶滿六個月。（二）提出最近一年於證券市場交易滿二十筆之證明；開戶未滿一年者，亦同。（三）未有證券交易違約紀錄。）。</w:t>
            </w:r>
          </w:p>
        </w:tc>
        <w:tc>
          <w:tcPr>
            <w:tcW w:w="2023" w:type="dxa"/>
            <w:vMerge/>
            <w:tcBorders>
              <w:right w:val="single" w:sz="12" w:space="0" w:color="auto"/>
            </w:tcBorders>
          </w:tcPr>
          <w:p w14:paraId="00E20A5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901DD8" w14:textId="77777777">
        <w:tc>
          <w:tcPr>
            <w:tcW w:w="1384" w:type="dxa"/>
            <w:vMerge/>
            <w:tcBorders>
              <w:left w:val="single" w:sz="12" w:space="0" w:color="auto"/>
            </w:tcBorders>
          </w:tcPr>
          <w:p w14:paraId="376019A4" w14:textId="77777777" w:rsidR="003B3105" w:rsidRDefault="003B3105" w:rsidP="001E533B">
            <w:pPr>
              <w:rPr>
                <w:rFonts w:ascii="新細明體" w:eastAsia="新細明體" w:hAnsi="新細明體"/>
              </w:rPr>
            </w:pPr>
          </w:p>
        </w:tc>
        <w:tc>
          <w:tcPr>
            <w:tcW w:w="1276" w:type="dxa"/>
            <w:vMerge/>
          </w:tcPr>
          <w:p w14:paraId="7CC47BAC" w14:textId="77777777" w:rsidR="003B3105" w:rsidRDefault="003B3105" w:rsidP="001E533B">
            <w:pPr>
              <w:rPr>
                <w:rFonts w:ascii="新細明體" w:eastAsia="新細明體" w:hAnsi="新細明體"/>
              </w:rPr>
            </w:pPr>
          </w:p>
        </w:tc>
        <w:tc>
          <w:tcPr>
            <w:tcW w:w="5386" w:type="dxa"/>
            <w:tcBorders>
              <w:top w:val="nil"/>
              <w:bottom w:val="nil"/>
            </w:tcBorders>
          </w:tcPr>
          <w:p w14:paraId="18C960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3.出具載明由證券商登記合格之業務員向其詳盡說明授權委託相關權利義務關係及風險注意事項，並確認已受充分告知及暸解且同意簽署為特定自然人之聲明書。</w:t>
            </w:r>
          </w:p>
        </w:tc>
        <w:tc>
          <w:tcPr>
            <w:tcW w:w="5387" w:type="dxa"/>
            <w:tcBorders>
              <w:top w:val="nil"/>
              <w:bottom w:val="nil"/>
            </w:tcBorders>
          </w:tcPr>
          <w:p w14:paraId="007BB7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3.出具載明由證券商登記合格之業務員向其詳盡說明授權委託相關權利義務關係及風險注意事項，並確認已受充分告知及暸解且同意簽署為特定自然人之聲明書。</w:t>
            </w:r>
          </w:p>
        </w:tc>
        <w:tc>
          <w:tcPr>
            <w:tcW w:w="2023" w:type="dxa"/>
            <w:vMerge/>
            <w:tcBorders>
              <w:right w:val="single" w:sz="12" w:space="0" w:color="auto"/>
            </w:tcBorders>
          </w:tcPr>
          <w:p w14:paraId="25442D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83C1B4" w14:textId="77777777">
        <w:tc>
          <w:tcPr>
            <w:tcW w:w="1384" w:type="dxa"/>
            <w:vMerge/>
            <w:tcBorders>
              <w:left w:val="single" w:sz="12" w:space="0" w:color="auto"/>
            </w:tcBorders>
          </w:tcPr>
          <w:p w14:paraId="0AD5CBFD" w14:textId="77777777" w:rsidR="003B3105" w:rsidRDefault="003B3105" w:rsidP="001E533B">
            <w:pPr>
              <w:rPr>
                <w:rFonts w:ascii="新細明體" w:eastAsia="新細明體" w:hAnsi="新細明體"/>
              </w:rPr>
            </w:pPr>
          </w:p>
        </w:tc>
        <w:tc>
          <w:tcPr>
            <w:tcW w:w="1276" w:type="dxa"/>
            <w:vMerge/>
          </w:tcPr>
          <w:p w14:paraId="46FF62E8" w14:textId="77777777" w:rsidR="003B3105" w:rsidRDefault="003B3105" w:rsidP="001E533B">
            <w:pPr>
              <w:rPr>
                <w:rFonts w:ascii="新細明體" w:eastAsia="新細明體" w:hAnsi="新細明體"/>
              </w:rPr>
            </w:pPr>
          </w:p>
        </w:tc>
        <w:tc>
          <w:tcPr>
            <w:tcW w:w="5386" w:type="dxa"/>
            <w:tcBorders>
              <w:top w:val="nil"/>
              <w:bottom w:val="nil"/>
            </w:tcBorders>
          </w:tcPr>
          <w:p w14:paraId="4E822863"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5387" w:type="dxa"/>
            <w:tcBorders>
              <w:top w:val="nil"/>
              <w:bottom w:val="nil"/>
            </w:tcBorders>
          </w:tcPr>
          <w:p w14:paraId="72542A1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2023" w:type="dxa"/>
            <w:vMerge/>
            <w:tcBorders>
              <w:right w:val="single" w:sz="12" w:space="0" w:color="auto"/>
            </w:tcBorders>
          </w:tcPr>
          <w:p w14:paraId="21DFA3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622848" w14:textId="77777777">
        <w:tc>
          <w:tcPr>
            <w:tcW w:w="1384" w:type="dxa"/>
            <w:vMerge/>
            <w:tcBorders>
              <w:left w:val="single" w:sz="12" w:space="0" w:color="auto"/>
            </w:tcBorders>
          </w:tcPr>
          <w:p w14:paraId="28AACD64" w14:textId="77777777" w:rsidR="003B3105" w:rsidRDefault="003B3105" w:rsidP="001E533B">
            <w:pPr>
              <w:rPr>
                <w:rFonts w:ascii="新細明體" w:eastAsia="新細明體" w:hAnsi="新細明體"/>
              </w:rPr>
            </w:pPr>
          </w:p>
        </w:tc>
        <w:tc>
          <w:tcPr>
            <w:tcW w:w="1276" w:type="dxa"/>
            <w:vMerge/>
          </w:tcPr>
          <w:p w14:paraId="3B96353E" w14:textId="77777777" w:rsidR="003B3105" w:rsidRDefault="003B3105" w:rsidP="001E533B">
            <w:pPr>
              <w:rPr>
                <w:rFonts w:ascii="新細明體" w:eastAsia="新細明體" w:hAnsi="新細明體"/>
              </w:rPr>
            </w:pPr>
          </w:p>
        </w:tc>
        <w:tc>
          <w:tcPr>
            <w:tcW w:w="5386" w:type="dxa"/>
            <w:tcBorders>
              <w:top w:val="nil"/>
              <w:bottom w:val="nil"/>
            </w:tcBorders>
          </w:tcPr>
          <w:p w14:paraId="0C85630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公司接受前開特定自然人授權委託，應符合下列各項之內部管控措施：一、應對客戶屬性或適當性作充分之評估及瞭解。二、</w:t>
            </w:r>
            <w:r>
              <w:rPr>
                <w:rFonts w:ascii="新細明體" w:eastAsia="新細明體" w:hAnsi="新細明體" w:cs="新細明體" w:hint="eastAsia"/>
              </w:rPr>
              <w:lastRenderedPageBreak/>
              <w:t>應告知客戶授權委託相關風險事項。三、接受客戶授權委託之時間區間、頻率及執行價格範圍等方式之限制。</w:t>
            </w:r>
          </w:p>
        </w:tc>
        <w:tc>
          <w:tcPr>
            <w:tcW w:w="5387" w:type="dxa"/>
            <w:tcBorders>
              <w:top w:val="nil"/>
              <w:bottom w:val="nil"/>
            </w:tcBorders>
          </w:tcPr>
          <w:p w14:paraId="7435567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lastRenderedPageBreak/>
              <w:t>公司接受前開特定自然人授權委託，應符合下列各項之內部管控措施：一、應對客戶屬性或適當性作充分之評估及瞭解。二、</w:t>
            </w:r>
            <w:r>
              <w:rPr>
                <w:rFonts w:ascii="新細明體" w:eastAsia="新細明體" w:hAnsi="新細明體" w:cs="新細明體" w:hint="eastAsia"/>
              </w:rPr>
              <w:lastRenderedPageBreak/>
              <w:t>應告知客戶授權委託相關風險事項。三、接受客戶授權委託之時間區間、頻率及執行價格範圍等方式之限制。</w:t>
            </w:r>
          </w:p>
        </w:tc>
        <w:tc>
          <w:tcPr>
            <w:tcW w:w="2023" w:type="dxa"/>
            <w:vMerge/>
            <w:tcBorders>
              <w:right w:val="single" w:sz="12" w:space="0" w:color="auto"/>
            </w:tcBorders>
          </w:tcPr>
          <w:p w14:paraId="3D42F9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BAC8A9" w14:textId="77777777">
        <w:tc>
          <w:tcPr>
            <w:tcW w:w="1384" w:type="dxa"/>
            <w:vMerge/>
            <w:tcBorders>
              <w:left w:val="single" w:sz="12" w:space="0" w:color="auto"/>
            </w:tcBorders>
          </w:tcPr>
          <w:p w14:paraId="49B025ED" w14:textId="77777777" w:rsidR="003B3105" w:rsidRDefault="003B3105" w:rsidP="001E533B">
            <w:pPr>
              <w:rPr>
                <w:rFonts w:ascii="新細明體" w:eastAsia="新細明體" w:hAnsi="新細明體"/>
              </w:rPr>
            </w:pPr>
          </w:p>
        </w:tc>
        <w:tc>
          <w:tcPr>
            <w:tcW w:w="1276" w:type="dxa"/>
            <w:vMerge/>
          </w:tcPr>
          <w:p w14:paraId="05ABD1CA" w14:textId="77777777" w:rsidR="003B3105" w:rsidRDefault="003B3105" w:rsidP="001E533B">
            <w:pPr>
              <w:rPr>
                <w:rFonts w:ascii="新細明體" w:eastAsia="新細明體" w:hAnsi="新細明體"/>
              </w:rPr>
            </w:pPr>
          </w:p>
        </w:tc>
        <w:tc>
          <w:tcPr>
            <w:tcW w:w="5386" w:type="dxa"/>
            <w:tcBorders>
              <w:top w:val="nil"/>
              <w:bottom w:val="nil"/>
            </w:tcBorders>
          </w:tcPr>
          <w:p w14:paraId="2B9BD9F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公司受託買進創新板有價證券，委託人除專業機構投資人外，於其初次買進創新板上市有價證券前，應已簽署創新板上市有價證券風險預告書並經專人解說，公司始得接受其委託；如採電子簽章簽署方式，適用證交所104年8月27日臺證輔字第1040016021號函規定，應強化簽署程序。</w:t>
            </w:r>
          </w:p>
        </w:tc>
        <w:tc>
          <w:tcPr>
            <w:tcW w:w="5387" w:type="dxa"/>
            <w:tcBorders>
              <w:top w:val="nil"/>
              <w:bottom w:val="nil"/>
            </w:tcBorders>
          </w:tcPr>
          <w:p w14:paraId="1504EF2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公司受託買進創新板有價證券，委託人除專業機構投資人外，於其初次買進創新板上市有價證券前，應已簽署創新板上市有價證券風險預告書並經專人解說，公司始得接受其委託；如採電子簽章簽署方式，適用證交所104年8月27日臺證輔字第1040016021號函規定，應強化簽署程序。</w:t>
            </w:r>
          </w:p>
        </w:tc>
        <w:tc>
          <w:tcPr>
            <w:tcW w:w="2023" w:type="dxa"/>
            <w:vMerge/>
            <w:tcBorders>
              <w:right w:val="single" w:sz="12" w:space="0" w:color="auto"/>
            </w:tcBorders>
          </w:tcPr>
          <w:p w14:paraId="7957AD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0E746A" w14:textId="77777777">
        <w:tc>
          <w:tcPr>
            <w:tcW w:w="1384" w:type="dxa"/>
            <w:vMerge/>
            <w:tcBorders>
              <w:left w:val="single" w:sz="12" w:space="0" w:color="auto"/>
            </w:tcBorders>
          </w:tcPr>
          <w:p w14:paraId="1FB0B7B7" w14:textId="77777777" w:rsidR="003B3105" w:rsidRDefault="003B3105" w:rsidP="001E533B">
            <w:pPr>
              <w:rPr>
                <w:rFonts w:ascii="新細明體" w:eastAsia="新細明體" w:hAnsi="新細明體"/>
              </w:rPr>
            </w:pPr>
          </w:p>
        </w:tc>
        <w:tc>
          <w:tcPr>
            <w:tcW w:w="1276" w:type="dxa"/>
            <w:vMerge/>
          </w:tcPr>
          <w:p w14:paraId="5984A36C" w14:textId="77777777" w:rsidR="003B3105" w:rsidRDefault="003B3105" w:rsidP="001E533B">
            <w:pPr>
              <w:rPr>
                <w:rFonts w:ascii="新細明體" w:eastAsia="新細明體" w:hAnsi="新細明體"/>
              </w:rPr>
            </w:pPr>
          </w:p>
        </w:tc>
        <w:tc>
          <w:tcPr>
            <w:tcW w:w="5386" w:type="dxa"/>
            <w:tcBorders>
              <w:top w:val="nil"/>
              <w:bottom w:val="nil"/>
            </w:tcBorders>
          </w:tcPr>
          <w:p w14:paraId="507E4C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及櫃檯買賣中心。</w:t>
            </w:r>
          </w:p>
        </w:tc>
        <w:tc>
          <w:tcPr>
            <w:tcW w:w="5387" w:type="dxa"/>
            <w:tcBorders>
              <w:top w:val="nil"/>
              <w:bottom w:val="nil"/>
            </w:tcBorders>
          </w:tcPr>
          <w:p w14:paraId="1838D5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及櫃檯買賣中心。</w:t>
            </w:r>
          </w:p>
        </w:tc>
        <w:tc>
          <w:tcPr>
            <w:tcW w:w="2023" w:type="dxa"/>
            <w:vMerge/>
            <w:tcBorders>
              <w:right w:val="single" w:sz="12" w:space="0" w:color="auto"/>
            </w:tcBorders>
          </w:tcPr>
          <w:p w14:paraId="577211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3FB204" w14:textId="77777777">
        <w:tc>
          <w:tcPr>
            <w:tcW w:w="1384" w:type="dxa"/>
            <w:vMerge/>
            <w:tcBorders>
              <w:left w:val="single" w:sz="12" w:space="0" w:color="auto"/>
            </w:tcBorders>
          </w:tcPr>
          <w:p w14:paraId="1B94DE40" w14:textId="77777777" w:rsidR="003B3105" w:rsidRDefault="003B3105" w:rsidP="001E533B">
            <w:pPr>
              <w:rPr>
                <w:rFonts w:ascii="新細明體" w:eastAsia="新細明體" w:hAnsi="新細明體"/>
              </w:rPr>
            </w:pPr>
          </w:p>
        </w:tc>
        <w:tc>
          <w:tcPr>
            <w:tcW w:w="1276" w:type="dxa"/>
            <w:vMerge/>
          </w:tcPr>
          <w:p w14:paraId="391F0BA0" w14:textId="77777777" w:rsidR="003B3105" w:rsidRDefault="003B3105" w:rsidP="001E533B">
            <w:pPr>
              <w:rPr>
                <w:rFonts w:ascii="新細明體" w:eastAsia="新細明體" w:hAnsi="新細明體"/>
              </w:rPr>
            </w:pPr>
          </w:p>
        </w:tc>
        <w:tc>
          <w:tcPr>
            <w:tcW w:w="5386" w:type="dxa"/>
            <w:tcBorders>
              <w:top w:val="nil"/>
              <w:bottom w:val="nil"/>
            </w:tcBorders>
          </w:tcPr>
          <w:p w14:paraId="770DD2D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(十七)公司與客戶間之有價證券買賣委託及回報方式應依下列規定辦理：</w:t>
            </w:r>
          </w:p>
        </w:tc>
        <w:tc>
          <w:tcPr>
            <w:tcW w:w="5387" w:type="dxa"/>
            <w:tcBorders>
              <w:top w:val="nil"/>
              <w:bottom w:val="nil"/>
            </w:tcBorders>
          </w:tcPr>
          <w:p w14:paraId="685D5FA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(十七)公司與客戶間之有價證券買賣委託及回報方式應依下列規定辦理：</w:t>
            </w:r>
          </w:p>
        </w:tc>
        <w:tc>
          <w:tcPr>
            <w:tcW w:w="2023" w:type="dxa"/>
            <w:vMerge/>
            <w:tcBorders>
              <w:right w:val="single" w:sz="12" w:space="0" w:color="auto"/>
            </w:tcBorders>
          </w:tcPr>
          <w:p w14:paraId="612BB8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4C2613" w14:textId="77777777">
        <w:tc>
          <w:tcPr>
            <w:tcW w:w="1384" w:type="dxa"/>
            <w:vMerge/>
            <w:tcBorders>
              <w:left w:val="single" w:sz="12" w:space="0" w:color="auto"/>
            </w:tcBorders>
          </w:tcPr>
          <w:p w14:paraId="579D3C9C" w14:textId="77777777" w:rsidR="003B3105" w:rsidRDefault="003B3105" w:rsidP="001E533B">
            <w:pPr>
              <w:rPr>
                <w:rFonts w:ascii="新細明體" w:eastAsia="新細明體" w:hAnsi="新細明體"/>
              </w:rPr>
            </w:pPr>
          </w:p>
        </w:tc>
        <w:tc>
          <w:tcPr>
            <w:tcW w:w="1276" w:type="dxa"/>
            <w:vMerge/>
          </w:tcPr>
          <w:p w14:paraId="462B21DC" w14:textId="77777777" w:rsidR="003B3105" w:rsidRDefault="003B3105" w:rsidP="001E533B">
            <w:pPr>
              <w:rPr>
                <w:rFonts w:ascii="新細明體" w:eastAsia="新細明體" w:hAnsi="新細明體"/>
              </w:rPr>
            </w:pPr>
          </w:p>
        </w:tc>
        <w:tc>
          <w:tcPr>
            <w:tcW w:w="5386" w:type="dxa"/>
            <w:tcBorders>
              <w:top w:val="nil"/>
              <w:bottom w:val="nil"/>
            </w:tcBorders>
          </w:tcPr>
          <w:p w14:paraId="7FBED20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5387" w:type="dxa"/>
            <w:tcBorders>
              <w:top w:val="nil"/>
              <w:bottom w:val="nil"/>
            </w:tcBorders>
          </w:tcPr>
          <w:p w14:paraId="568D5A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2023" w:type="dxa"/>
            <w:vMerge/>
            <w:tcBorders>
              <w:right w:val="single" w:sz="12" w:space="0" w:color="auto"/>
            </w:tcBorders>
          </w:tcPr>
          <w:p w14:paraId="07E20E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9490A7" w14:textId="77777777">
        <w:tc>
          <w:tcPr>
            <w:tcW w:w="1384" w:type="dxa"/>
            <w:vMerge/>
            <w:tcBorders>
              <w:left w:val="single" w:sz="12" w:space="0" w:color="auto"/>
            </w:tcBorders>
          </w:tcPr>
          <w:p w14:paraId="325D68EA" w14:textId="77777777" w:rsidR="003B3105" w:rsidRDefault="003B3105" w:rsidP="001E533B">
            <w:pPr>
              <w:rPr>
                <w:rFonts w:ascii="新細明體" w:eastAsia="新細明體" w:hAnsi="新細明體"/>
              </w:rPr>
            </w:pPr>
          </w:p>
        </w:tc>
        <w:tc>
          <w:tcPr>
            <w:tcW w:w="1276" w:type="dxa"/>
            <w:vMerge/>
          </w:tcPr>
          <w:p w14:paraId="448EB3D2" w14:textId="77777777" w:rsidR="003B3105" w:rsidRDefault="003B3105" w:rsidP="001E533B">
            <w:pPr>
              <w:rPr>
                <w:rFonts w:ascii="新細明體" w:eastAsia="新細明體" w:hAnsi="新細明體"/>
              </w:rPr>
            </w:pPr>
          </w:p>
        </w:tc>
        <w:tc>
          <w:tcPr>
            <w:tcW w:w="5386" w:type="dxa"/>
            <w:tcBorders>
              <w:top w:val="nil"/>
              <w:bottom w:val="nil"/>
            </w:tcBorders>
          </w:tcPr>
          <w:p w14:paraId="31955ED3"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5387" w:type="dxa"/>
            <w:tcBorders>
              <w:top w:val="nil"/>
              <w:bottom w:val="nil"/>
            </w:tcBorders>
          </w:tcPr>
          <w:p w14:paraId="4A638ED5"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2023" w:type="dxa"/>
            <w:vMerge/>
            <w:tcBorders>
              <w:right w:val="single" w:sz="12" w:space="0" w:color="auto"/>
            </w:tcBorders>
          </w:tcPr>
          <w:p w14:paraId="686B54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4F5BDC" w14:textId="77777777">
        <w:tc>
          <w:tcPr>
            <w:tcW w:w="1384" w:type="dxa"/>
            <w:vMerge/>
            <w:tcBorders>
              <w:left w:val="single" w:sz="12" w:space="0" w:color="auto"/>
            </w:tcBorders>
          </w:tcPr>
          <w:p w14:paraId="767E49AE" w14:textId="77777777" w:rsidR="003B3105" w:rsidRDefault="003B3105" w:rsidP="001E533B">
            <w:pPr>
              <w:rPr>
                <w:rFonts w:ascii="新細明體" w:eastAsia="新細明體" w:hAnsi="新細明體"/>
              </w:rPr>
            </w:pPr>
          </w:p>
        </w:tc>
        <w:tc>
          <w:tcPr>
            <w:tcW w:w="1276" w:type="dxa"/>
            <w:vMerge/>
          </w:tcPr>
          <w:p w14:paraId="65DD9185" w14:textId="77777777" w:rsidR="003B3105" w:rsidRDefault="003B3105" w:rsidP="001E533B">
            <w:pPr>
              <w:rPr>
                <w:rFonts w:ascii="新細明體" w:eastAsia="新細明體" w:hAnsi="新細明體"/>
              </w:rPr>
            </w:pPr>
          </w:p>
        </w:tc>
        <w:tc>
          <w:tcPr>
            <w:tcW w:w="5386" w:type="dxa"/>
            <w:tcBorders>
              <w:top w:val="nil"/>
              <w:bottom w:val="nil"/>
            </w:tcBorders>
          </w:tcPr>
          <w:p w14:paraId="002478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5387" w:type="dxa"/>
            <w:tcBorders>
              <w:top w:val="nil"/>
              <w:bottom w:val="nil"/>
            </w:tcBorders>
          </w:tcPr>
          <w:p w14:paraId="12224C0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2023" w:type="dxa"/>
            <w:vMerge/>
            <w:tcBorders>
              <w:right w:val="single" w:sz="12" w:space="0" w:color="auto"/>
            </w:tcBorders>
          </w:tcPr>
          <w:p w14:paraId="48CB9C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0274A9" w14:textId="77777777">
        <w:tc>
          <w:tcPr>
            <w:tcW w:w="1384" w:type="dxa"/>
            <w:vMerge/>
            <w:tcBorders>
              <w:left w:val="single" w:sz="12" w:space="0" w:color="auto"/>
            </w:tcBorders>
          </w:tcPr>
          <w:p w14:paraId="6D83E255" w14:textId="77777777" w:rsidR="003B3105" w:rsidRDefault="003B3105" w:rsidP="001E533B">
            <w:pPr>
              <w:rPr>
                <w:rFonts w:ascii="新細明體" w:eastAsia="新細明體" w:hAnsi="新細明體"/>
              </w:rPr>
            </w:pPr>
          </w:p>
        </w:tc>
        <w:tc>
          <w:tcPr>
            <w:tcW w:w="1276" w:type="dxa"/>
            <w:vMerge/>
          </w:tcPr>
          <w:p w14:paraId="778EC7CB" w14:textId="77777777" w:rsidR="003B3105" w:rsidRDefault="003B3105" w:rsidP="001E533B">
            <w:pPr>
              <w:rPr>
                <w:rFonts w:ascii="新細明體" w:eastAsia="新細明體" w:hAnsi="新細明體"/>
              </w:rPr>
            </w:pPr>
          </w:p>
        </w:tc>
        <w:tc>
          <w:tcPr>
            <w:tcW w:w="5386" w:type="dxa"/>
            <w:tcBorders>
              <w:top w:val="nil"/>
              <w:bottom w:val="nil"/>
            </w:tcBorders>
          </w:tcPr>
          <w:p w14:paraId="3B93ACC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w:t>
            </w:r>
            <w:r>
              <w:rPr>
                <w:rFonts w:ascii="新細明體" w:eastAsia="新細明體" w:hAnsi="新細明體" w:cs="新細明體" w:hint="eastAsia"/>
              </w:rPr>
              <w:lastRenderedPageBreak/>
              <w:t>成交回報等電子文件之傳輸，應使用憑證機構所簽發之電子簽章簽署，憑以辨識及確認，但有下列情形者不在此限：</w:t>
            </w:r>
          </w:p>
        </w:tc>
        <w:tc>
          <w:tcPr>
            <w:tcW w:w="5387" w:type="dxa"/>
            <w:tcBorders>
              <w:top w:val="nil"/>
              <w:bottom w:val="nil"/>
            </w:tcBorders>
          </w:tcPr>
          <w:p w14:paraId="2B576B9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除語音委託外，其買賣委託、委託回報及</w:t>
            </w:r>
            <w:r>
              <w:rPr>
                <w:rFonts w:ascii="新細明體" w:eastAsia="新細明體" w:hAnsi="新細明體" w:cs="新細明體" w:hint="eastAsia"/>
              </w:rPr>
              <w:lastRenderedPageBreak/>
              <w:t>成交回報等電子文件之傳輸，應使用憑證機構所簽發之電子簽章簽署，憑以辨識及確認，但有下列情形者不在此限：</w:t>
            </w:r>
          </w:p>
        </w:tc>
        <w:tc>
          <w:tcPr>
            <w:tcW w:w="2023" w:type="dxa"/>
            <w:vMerge/>
            <w:tcBorders>
              <w:right w:val="single" w:sz="12" w:space="0" w:color="auto"/>
            </w:tcBorders>
          </w:tcPr>
          <w:p w14:paraId="53C837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283679" w14:textId="77777777">
        <w:tc>
          <w:tcPr>
            <w:tcW w:w="1384" w:type="dxa"/>
            <w:vMerge/>
            <w:tcBorders>
              <w:left w:val="single" w:sz="12" w:space="0" w:color="auto"/>
            </w:tcBorders>
          </w:tcPr>
          <w:p w14:paraId="5042561A" w14:textId="77777777" w:rsidR="003B3105" w:rsidRDefault="003B3105" w:rsidP="001E533B">
            <w:pPr>
              <w:rPr>
                <w:rFonts w:ascii="新細明體" w:eastAsia="新細明體" w:hAnsi="新細明體"/>
              </w:rPr>
            </w:pPr>
          </w:p>
        </w:tc>
        <w:tc>
          <w:tcPr>
            <w:tcW w:w="1276" w:type="dxa"/>
            <w:vMerge/>
          </w:tcPr>
          <w:p w14:paraId="1BEE1411" w14:textId="77777777" w:rsidR="003B3105" w:rsidRDefault="003B3105" w:rsidP="001E533B">
            <w:pPr>
              <w:rPr>
                <w:rFonts w:ascii="新細明體" w:eastAsia="新細明體" w:hAnsi="新細明體"/>
              </w:rPr>
            </w:pPr>
          </w:p>
        </w:tc>
        <w:tc>
          <w:tcPr>
            <w:tcW w:w="5386" w:type="dxa"/>
            <w:tcBorders>
              <w:top w:val="nil"/>
              <w:bottom w:val="nil"/>
            </w:tcBorders>
          </w:tcPr>
          <w:p w14:paraId="178483E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5387" w:type="dxa"/>
            <w:tcBorders>
              <w:top w:val="nil"/>
              <w:bottom w:val="nil"/>
            </w:tcBorders>
          </w:tcPr>
          <w:p w14:paraId="51C40EF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2023" w:type="dxa"/>
            <w:vMerge/>
            <w:tcBorders>
              <w:right w:val="single" w:sz="12" w:space="0" w:color="auto"/>
            </w:tcBorders>
          </w:tcPr>
          <w:p w14:paraId="697E73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E2AA5" w14:textId="77777777">
        <w:tc>
          <w:tcPr>
            <w:tcW w:w="1384" w:type="dxa"/>
            <w:vMerge/>
            <w:tcBorders>
              <w:left w:val="single" w:sz="12" w:space="0" w:color="auto"/>
            </w:tcBorders>
          </w:tcPr>
          <w:p w14:paraId="28BE8125" w14:textId="77777777" w:rsidR="003B3105" w:rsidRDefault="003B3105" w:rsidP="001E533B">
            <w:pPr>
              <w:rPr>
                <w:rFonts w:ascii="新細明體" w:eastAsia="新細明體" w:hAnsi="新細明體"/>
              </w:rPr>
            </w:pPr>
          </w:p>
        </w:tc>
        <w:tc>
          <w:tcPr>
            <w:tcW w:w="1276" w:type="dxa"/>
            <w:vMerge/>
          </w:tcPr>
          <w:p w14:paraId="2F6D4355" w14:textId="77777777" w:rsidR="003B3105" w:rsidRDefault="003B3105" w:rsidP="001E533B">
            <w:pPr>
              <w:rPr>
                <w:rFonts w:ascii="新細明體" w:eastAsia="新細明體" w:hAnsi="新細明體"/>
              </w:rPr>
            </w:pPr>
          </w:p>
        </w:tc>
        <w:tc>
          <w:tcPr>
            <w:tcW w:w="5386" w:type="dxa"/>
            <w:tcBorders>
              <w:top w:val="nil"/>
              <w:bottom w:val="nil"/>
            </w:tcBorders>
          </w:tcPr>
          <w:p w14:paraId="0DBCD4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(2)符合證交所「證券經紀商辦理電子式專屬線路下單或櫃檯買賣中心（DIRECT MARKET ACCESS ）作業要點」豁免條件者。</w:t>
            </w:r>
          </w:p>
        </w:tc>
        <w:tc>
          <w:tcPr>
            <w:tcW w:w="5387" w:type="dxa"/>
            <w:tcBorders>
              <w:top w:val="nil"/>
              <w:bottom w:val="nil"/>
            </w:tcBorders>
          </w:tcPr>
          <w:p w14:paraId="201E89E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(2)符合證交所「證券經紀商辦理電子式專屬線路下單或櫃檯買賣中心（DIRECT MARKET ACCESS ）作業要點」豁免條件者。</w:t>
            </w:r>
          </w:p>
        </w:tc>
        <w:tc>
          <w:tcPr>
            <w:tcW w:w="2023" w:type="dxa"/>
            <w:vMerge/>
            <w:tcBorders>
              <w:right w:val="single" w:sz="12" w:space="0" w:color="auto"/>
            </w:tcBorders>
          </w:tcPr>
          <w:p w14:paraId="4E9C29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ECB073" w14:textId="77777777">
        <w:tc>
          <w:tcPr>
            <w:tcW w:w="1384" w:type="dxa"/>
            <w:vMerge/>
            <w:tcBorders>
              <w:left w:val="single" w:sz="12" w:space="0" w:color="auto"/>
            </w:tcBorders>
          </w:tcPr>
          <w:p w14:paraId="4CB6DA5A" w14:textId="77777777" w:rsidR="003B3105" w:rsidRDefault="003B3105" w:rsidP="001E533B">
            <w:pPr>
              <w:rPr>
                <w:rFonts w:ascii="新細明體" w:eastAsia="新細明體" w:hAnsi="新細明體"/>
              </w:rPr>
            </w:pPr>
          </w:p>
        </w:tc>
        <w:tc>
          <w:tcPr>
            <w:tcW w:w="1276" w:type="dxa"/>
            <w:vMerge/>
          </w:tcPr>
          <w:p w14:paraId="1DE38371" w14:textId="77777777" w:rsidR="003B3105" w:rsidRDefault="003B3105" w:rsidP="001E533B">
            <w:pPr>
              <w:rPr>
                <w:rFonts w:ascii="新細明體" w:eastAsia="新細明體" w:hAnsi="新細明體"/>
              </w:rPr>
            </w:pPr>
          </w:p>
        </w:tc>
        <w:tc>
          <w:tcPr>
            <w:tcW w:w="5386" w:type="dxa"/>
            <w:tcBorders>
              <w:top w:val="nil"/>
              <w:bottom w:val="nil"/>
            </w:tcBorders>
          </w:tcPr>
          <w:p w14:paraId="3C364A3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採網際網路等電子式交易型態交易所使用之交易主機，其受託買賣有價證券檢查點控制項目，應涵蓋證券管理法令之買賣限制或禁止規定，並至少包含下列各項︰</w:t>
            </w:r>
          </w:p>
        </w:tc>
        <w:tc>
          <w:tcPr>
            <w:tcW w:w="5387" w:type="dxa"/>
            <w:tcBorders>
              <w:top w:val="nil"/>
              <w:bottom w:val="nil"/>
            </w:tcBorders>
          </w:tcPr>
          <w:p w14:paraId="09CAC4E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採網際網路等電子式交易型態交易所使用之交易主機，其受託買賣有價證券檢查點控制項目，應涵蓋證券管理法令之買賣限制或禁止規定，並至少包含下列各項︰</w:t>
            </w:r>
          </w:p>
        </w:tc>
        <w:tc>
          <w:tcPr>
            <w:tcW w:w="2023" w:type="dxa"/>
            <w:vMerge/>
            <w:tcBorders>
              <w:right w:val="single" w:sz="12" w:space="0" w:color="auto"/>
            </w:tcBorders>
          </w:tcPr>
          <w:p w14:paraId="42EFA0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D2B08D" w14:textId="77777777">
        <w:tc>
          <w:tcPr>
            <w:tcW w:w="1384" w:type="dxa"/>
            <w:vMerge/>
            <w:tcBorders>
              <w:left w:val="single" w:sz="12" w:space="0" w:color="auto"/>
            </w:tcBorders>
          </w:tcPr>
          <w:p w14:paraId="7C3A3232" w14:textId="77777777" w:rsidR="003B3105" w:rsidRDefault="003B3105" w:rsidP="001E533B">
            <w:pPr>
              <w:rPr>
                <w:rFonts w:ascii="新細明體" w:eastAsia="新細明體" w:hAnsi="新細明體"/>
              </w:rPr>
            </w:pPr>
          </w:p>
        </w:tc>
        <w:tc>
          <w:tcPr>
            <w:tcW w:w="1276" w:type="dxa"/>
            <w:vMerge/>
          </w:tcPr>
          <w:p w14:paraId="5FA4A345" w14:textId="77777777" w:rsidR="003B3105" w:rsidRDefault="003B3105" w:rsidP="001E533B">
            <w:pPr>
              <w:rPr>
                <w:rFonts w:ascii="新細明體" w:eastAsia="新細明體" w:hAnsi="新細明體"/>
              </w:rPr>
            </w:pPr>
          </w:p>
        </w:tc>
        <w:tc>
          <w:tcPr>
            <w:tcW w:w="5386" w:type="dxa"/>
            <w:tcBorders>
              <w:top w:val="nil"/>
              <w:bottom w:val="nil"/>
            </w:tcBorders>
          </w:tcPr>
          <w:p w14:paraId="4A1878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5387" w:type="dxa"/>
            <w:tcBorders>
              <w:top w:val="nil"/>
              <w:bottom w:val="nil"/>
            </w:tcBorders>
          </w:tcPr>
          <w:p w14:paraId="27DAE3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2023" w:type="dxa"/>
            <w:vMerge/>
            <w:tcBorders>
              <w:right w:val="single" w:sz="12" w:space="0" w:color="auto"/>
            </w:tcBorders>
          </w:tcPr>
          <w:p w14:paraId="136911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9E5BDB" w14:textId="77777777">
        <w:tc>
          <w:tcPr>
            <w:tcW w:w="1384" w:type="dxa"/>
            <w:vMerge/>
            <w:tcBorders>
              <w:left w:val="single" w:sz="12" w:space="0" w:color="auto"/>
            </w:tcBorders>
          </w:tcPr>
          <w:p w14:paraId="6DCBEDC2" w14:textId="77777777" w:rsidR="003B3105" w:rsidRDefault="003B3105" w:rsidP="001E533B">
            <w:pPr>
              <w:rPr>
                <w:rFonts w:ascii="新細明體" w:eastAsia="新細明體" w:hAnsi="新細明體"/>
              </w:rPr>
            </w:pPr>
          </w:p>
        </w:tc>
        <w:tc>
          <w:tcPr>
            <w:tcW w:w="1276" w:type="dxa"/>
            <w:vMerge/>
          </w:tcPr>
          <w:p w14:paraId="436D11D4" w14:textId="77777777" w:rsidR="003B3105" w:rsidRDefault="003B3105" w:rsidP="001E533B">
            <w:pPr>
              <w:rPr>
                <w:rFonts w:ascii="新細明體" w:eastAsia="新細明體" w:hAnsi="新細明體"/>
              </w:rPr>
            </w:pPr>
          </w:p>
        </w:tc>
        <w:tc>
          <w:tcPr>
            <w:tcW w:w="5386" w:type="dxa"/>
            <w:tcBorders>
              <w:top w:val="nil"/>
              <w:bottom w:val="nil"/>
            </w:tcBorders>
          </w:tcPr>
          <w:p w14:paraId="4A51D0A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）同一客戶之單日買賣最高額度及信用交易額度應予歸戶計算。</w:t>
            </w:r>
          </w:p>
        </w:tc>
        <w:tc>
          <w:tcPr>
            <w:tcW w:w="5387" w:type="dxa"/>
            <w:tcBorders>
              <w:top w:val="nil"/>
              <w:bottom w:val="nil"/>
            </w:tcBorders>
          </w:tcPr>
          <w:p w14:paraId="3FBE59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w:t>
            </w:r>
            <w:r>
              <w:rPr>
                <w:rFonts w:ascii="新細明體" w:eastAsia="新細明體" w:hAnsi="新細明體" w:cs="新細明體" w:hint="eastAsia"/>
                <w:b/>
                <w:color w:val="FF0000"/>
              </w:rPr>
              <w:t>分</w:t>
            </w:r>
            <w:r>
              <w:rPr>
                <w:rFonts w:ascii="新細明體" w:eastAsia="新細明體" w:hAnsi="新細明體" w:cs="新細明體" w:hint="eastAsia"/>
              </w:rPr>
              <w:t>公司）同一客戶之單日買賣最高額度及信用交易額度應予歸戶計算。</w:t>
            </w:r>
          </w:p>
        </w:tc>
        <w:tc>
          <w:tcPr>
            <w:tcW w:w="2023" w:type="dxa"/>
            <w:vMerge/>
            <w:tcBorders>
              <w:right w:val="single" w:sz="12" w:space="0" w:color="auto"/>
            </w:tcBorders>
          </w:tcPr>
          <w:p w14:paraId="048DC3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DC3441" w14:textId="77777777">
        <w:tc>
          <w:tcPr>
            <w:tcW w:w="1384" w:type="dxa"/>
            <w:vMerge/>
            <w:tcBorders>
              <w:left w:val="single" w:sz="12" w:space="0" w:color="auto"/>
            </w:tcBorders>
          </w:tcPr>
          <w:p w14:paraId="4F36B11B" w14:textId="77777777" w:rsidR="003B3105" w:rsidRDefault="003B3105" w:rsidP="001E533B">
            <w:pPr>
              <w:rPr>
                <w:rFonts w:ascii="新細明體" w:eastAsia="新細明體" w:hAnsi="新細明體"/>
              </w:rPr>
            </w:pPr>
          </w:p>
        </w:tc>
        <w:tc>
          <w:tcPr>
            <w:tcW w:w="1276" w:type="dxa"/>
            <w:vMerge/>
          </w:tcPr>
          <w:p w14:paraId="00353CC4" w14:textId="77777777" w:rsidR="003B3105" w:rsidRDefault="003B3105" w:rsidP="001E533B">
            <w:pPr>
              <w:rPr>
                <w:rFonts w:ascii="新細明體" w:eastAsia="新細明體" w:hAnsi="新細明體"/>
              </w:rPr>
            </w:pPr>
          </w:p>
        </w:tc>
        <w:tc>
          <w:tcPr>
            <w:tcW w:w="5386" w:type="dxa"/>
            <w:tcBorders>
              <w:top w:val="nil"/>
              <w:bottom w:val="nil"/>
            </w:tcBorders>
          </w:tcPr>
          <w:p w14:paraId="1568EA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3.受託買賣金額分層負責授權之控管，亦應予歸戶計算。</w:t>
            </w:r>
          </w:p>
        </w:tc>
        <w:tc>
          <w:tcPr>
            <w:tcW w:w="5387" w:type="dxa"/>
            <w:tcBorders>
              <w:top w:val="nil"/>
              <w:bottom w:val="nil"/>
            </w:tcBorders>
          </w:tcPr>
          <w:p w14:paraId="74F9B6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3.受託買賣金額分層負責授權之控管，亦應予歸戶計算。</w:t>
            </w:r>
          </w:p>
        </w:tc>
        <w:tc>
          <w:tcPr>
            <w:tcW w:w="2023" w:type="dxa"/>
            <w:vMerge/>
            <w:tcBorders>
              <w:right w:val="single" w:sz="12" w:space="0" w:color="auto"/>
            </w:tcBorders>
          </w:tcPr>
          <w:p w14:paraId="2AD942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7D87BC" w14:textId="77777777">
        <w:tc>
          <w:tcPr>
            <w:tcW w:w="1384" w:type="dxa"/>
            <w:vMerge/>
            <w:tcBorders>
              <w:left w:val="single" w:sz="12" w:space="0" w:color="auto"/>
            </w:tcBorders>
          </w:tcPr>
          <w:p w14:paraId="79CD918E" w14:textId="77777777" w:rsidR="003B3105" w:rsidRDefault="003B3105" w:rsidP="001E533B">
            <w:pPr>
              <w:rPr>
                <w:rFonts w:ascii="新細明體" w:eastAsia="新細明體" w:hAnsi="新細明體"/>
              </w:rPr>
            </w:pPr>
          </w:p>
        </w:tc>
        <w:tc>
          <w:tcPr>
            <w:tcW w:w="1276" w:type="dxa"/>
            <w:vMerge/>
          </w:tcPr>
          <w:p w14:paraId="5E55DCCF" w14:textId="77777777" w:rsidR="003B3105" w:rsidRDefault="003B3105" w:rsidP="001E533B">
            <w:pPr>
              <w:rPr>
                <w:rFonts w:ascii="新細明體" w:eastAsia="新細明體" w:hAnsi="新細明體"/>
              </w:rPr>
            </w:pPr>
          </w:p>
        </w:tc>
        <w:tc>
          <w:tcPr>
            <w:tcW w:w="5386" w:type="dxa"/>
            <w:tcBorders>
              <w:top w:val="nil"/>
              <w:bottom w:val="nil"/>
            </w:tcBorders>
          </w:tcPr>
          <w:p w14:paraId="1F04E48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4.公會會員辦理受託買賣業務瞭解委託人及徵信與額度管理自律規則第二十五條所列情事之控管。</w:t>
            </w:r>
          </w:p>
        </w:tc>
        <w:tc>
          <w:tcPr>
            <w:tcW w:w="5387" w:type="dxa"/>
            <w:tcBorders>
              <w:top w:val="nil"/>
              <w:bottom w:val="nil"/>
            </w:tcBorders>
          </w:tcPr>
          <w:p w14:paraId="19BF64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4.公會會員辦理受託買賣業務瞭解委託人及徵信與額度管理自律規則第二十五條所列情事之控管。</w:t>
            </w:r>
          </w:p>
        </w:tc>
        <w:tc>
          <w:tcPr>
            <w:tcW w:w="2023" w:type="dxa"/>
            <w:vMerge/>
            <w:tcBorders>
              <w:right w:val="single" w:sz="12" w:space="0" w:color="auto"/>
            </w:tcBorders>
          </w:tcPr>
          <w:p w14:paraId="5E78FC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DCFA34" w14:textId="77777777">
        <w:tc>
          <w:tcPr>
            <w:tcW w:w="1384" w:type="dxa"/>
            <w:vMerge/>
            <w:tcBorders>
              <w:left w:val="single" w:sz="12" w:space="0" w:color="auto"/>
            </w:tcBorders>
          </w:tcPr>
          <w:p w14:paraId="04CD2153" w14:textId="77777777" w:rsidR="003B3105" w:rsidRDefault="003B3105" w:rsidP="001E533B">
            <w:pPr>
              <w:rPr>
                <w:rFonts w:ascii="新細明體" w:eastAsia="新細明體" w:hAnsi="新細明體"/>
              </w:rPr>
            </w:pPr>
          </w:p>
        </w:tc>
        <w:tc>
          <w:tcPr>
            <w:tcW w:w="1276" w:type="dxa"/>
            <w:vMerge/>
          </w:tcPr>
          <w:p w14:paraId="4C842174" w14:textId="77777777" w:rsidR="003B3105" w:rsidRDefault="003B3105" w:rsidP="001E533B">
            <w:pPr>
              <w:rPr>
                <w:rFonts w:ascii="新細明體" w:eastAsia="新細明體" w:hAnsi="新細明體"/>
              </w:rPr>
            </w:pPr>
          </w:p>
        </w:tc>
        <w:tc>
          <w:tcPr>
            <w:tcW w:w="5386" w:type="dxa"/>
            <w:tcBorders>
              <w:top w:val="nil"/>
              <w:bottom w:val="nil"/>
            </w:tcBorders>
          </w:tcPr>
          <w:p w14:paraId="040430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5387" w:type="dxa"/>
            <w:tcBorders>
              <w:top w:val="nil"/>
              <w:bottom w:val="nil"/>
            </w:tcBorders>
          </w:tcPr>
          <w:p w14:paraId="2FCE95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2023" w:type="dxa"/>
            <w:vMerge/>
            <w:tcBorders>
              <w:right w:val="single" w:sz="12" w:space="0" w:color="auto"/>
            </w:tcBorders>
          </w:tcPr>
          <w:p w14:paraId="233A18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9A5303" w14:textId="77777777">
        <w:tc>
          <w:tcPr>
            <w:tcW w:w="1384" w:type="dxa"/>
            <w:vMerge/>
            <w:tcBorders>
              <w:left w:val="single" w:sz="12" w:space="0" w:color="auto"/>
            </w:tcBorders>
          </w:tcPr>
          <w:p w14:paraId="66774606" w14:textId="77777777" w:rsidR="003B3105" w:rsidRDefault="003B3105" w:rsidP="001E533B">
            <w:pPr>
              <w:rPr>
                <w:rFonts w:ascii="新細明體" w:eastAsia="新細明體" w:hAnsi="新細明體"/>
              </w:rPr>
            </w:pPr>
          </w:p>
        </w:tc>
        <w:tc>
          <w:tcPr>
            <w:tcW w:w="1276" w:type="dxa"/>
            <w:vMerge/>
          </w:tcPr>
          <w:p w14:paraId="08C649AC" w14:textId="77777777" w:rsidR="003B3105" w:rsidRDefault="003B3105" w:rsidP="001E533B">
            <w:pPr>
              <w:rPr>
                <w:rFonts w:ascii="新細明體" w:eastAsia="新細明體" w:hAnsi="新細明體"/>
              </w:rPr>
            </w:pPr>
          </w:p>
        </w:tc>
        <w:tc>
          <w:tcPr>
            <w:tcW w:w="5386" w:type="dxa"/>
            <w:tcBorders>
              <w:top w:val="nil"/>
              <w:bottom w:val="nil"/>
            </w:tcBorders>
          </w:tcPr>
          <w:p w14:paraId="3A04F7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5387" w:type="dxa"/>
            <w:tcBorders>
              <w:top w:val="nil"/>
              <w:bottom w:val="nil"/>
            </w:tcBorders>
          </w:tcPr>
          <w:p w14:paraId="6BA201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2023" w:type="dxa"/>
            <w:vMerge/>
            <w:tcBorders>
              <w:right w:val="single" w:sz="12" w:space="0" w:color="auto"/>
            </w:tcBorders>
          </w:tcPr>
          <w:p w14:paraId="411EA4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F74582" w14:textId="77777777">
        <w:tc>
          <w:tcPr>
            <w:tcW w:w="1384" w:type="dxa"/>
            <w:vMerge/>
            <w:tcBorders>
              <w:left w:val="single" w:sz="12" w:space="0" w:color="auto"/>
            </w:tcBorders>
          </w:tcPr>
          <w:p w14:paraId="6E6F8BFA" w14:textId="77777777" w:rsidR="003B3105" w:rsidRDefault="003B3105" w:rsidP="001E533B">
            <w:pPr>
              <w:rPr>
                <w:rFonts w:ascii="新細明體" w:eastAsia="新細明體" w:hAnsi="新細明體"/>
              </w:rPr>
            </w:pPr>
          </w:p>
        </w:tc>
        <w:tc>
          <w:tcPr>
            <w:tcW w:w="1276" w:type="dxa"/>
            <w:vMerge/>
          </w:tcPr>
          <w:p w14:paraId="4859F99E" w14:textId="77777777" w:rsidR="003B3105" w:rsidRDefault="003B3105" w:rsidP="001E533B">
            <w:pPr>
              <w:rPr>
                <w:rFonts w:ascii="新細明體" w:eastAsia="新細明體" w:hAnsi="新細明體"/>
              </w:rPr>
            </w:pPr>
          </w:p>
        </w:tc>
        <w:tc>
          <w:tcPr>
            <w:tcW w:w="5386" w:type="dxa"/>
            <w:tcBorders>
              <w:top w:val="nil"/>
              <w:bottom w:val="nil"/>
            </w:tcBorders>
          </w:tcPr>
          <w:p w14:paraId="3ECA0F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7.特殊身分客戶交易限制之控管，如華僑、外國人、證券商內部人員、證券交易輔助人之內部人員等。</w:t>
            </w:r>
          </w:p>
        </w:tc>
        <w:tc>
          <w:tcPr>
            <w:tcW w:w="5387" w:type="dxa"/>
            <w:tcBorders>
              <w:top w:val="nil"/>
              <w:bottom w:val="nil"/>
            </w:tcBorders>
          </w:tcPr>
          <w:p w14:paraId="68C9E0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7.特殊身分客戶交易限制之控管，如華僑、外國人、證券商內部人員、證券交易輔助人之內部人員等。</w:t>
            </w:r>
          </w:p>
        </w:tc>
        <w:tc>
          <w:tcPr>
            <w:tcW w:w="2023" w:type="dxa"/>
            <w:vMerge/>
            <w:tcBorders>
              <w:right w:val="single" w:sz="12" w:space="0" w:color="auto"/>
            </w:tcBorders>
          </w:tcPr>
          <w:p w14:paraId="23AB2D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BE3970" w14:textId="77777777">
        <w:tc>
          <w:tcPr>
            <w:tcW w:w="1384" w:type="dxa"/>
            <w:vMerge/>
            <w:tcBorders>
              <w:left w:val="single" w:sz="12" w:space="0" w:color="auto"/>
            </w:tcBorders>
          </w:tcPr>
          <w:p w14:paraId="41328370" w14:textId="77777777" w:rsidR="003B3105" w:rsidRDefault="003B3105" w:rsidP="001E533B">
            <w:pPr>
              <w:rPr>
                <w:rFonts w:ascii="新細明體" w:eastAsia="新細明體" w:hAnsi="新細明體"/>
              </w:rPr>
            </w:pPr>
          </w:p>
        </w:tc>
        <w:tc>
          <w:tcPr>
            <w:tcW w:w="1276" w:type="dxa"/>
            <w:vMerge/>
          </w:tcPr>
          <w:p w14:paraId="49E9393A" w14:textId="77777777" w:rsidR="003B3105" w:rsidRDefault="003B3105" w:rsidP="001E533B">
            <w:pPr>
              <w:rPr>
                <w:rFonts w:ascii="新細明體" w:eastAsia="新細明體" w:hAnsi="新細明體"/>
              </w:rPr>
            </w:pPr>
          </w:p>
        </w:tc>
        <w:tc>
          <w:tcPr>
            <w:tcW w:w="5386" w:type="dxa"/>
            <w:tcBorders>
              <w:top w:val="nil"/>
              <w:bottom w:val="nil"/>
            </w:tcBorders>
          </w:tcPr>
          <w:p w14:paraId="134542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5387" w:type="dxa"/>
            <w:tcBorders>
              <w:top w:val="nil"/>
              <w:bottom w:val="nil"/>
            </w:tcBorders>
          </w:tcPr>
          <w:p w14:paraId="630ABB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2023" w:type="dxa"/>
            <w:vMerge/>
            <w:tcBorders>
              <w:right w:val="single" w:sz="12" w:space="0" w:color="auto"/>
            </w:tcBorders>
          </w:tcPr>
          <w:p w14:paraId="2DC092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1A430" w14:textId="77777777">
        <w:tc>
          <w:tcPr>
            <w:tcW w:w="1384" w:type="dxa"/>
            <w:vMerge/>
            <w:tcBorders>
              <w:left w:val="single" w:sz="12" w:space="0" w:color="auto"/>
            </w:tcBorders>
          </w:tcPr>
          <w:p w14:paraId="4FAE4F5C" w14:textId="77777777" w:rsidR="003B3105" w:rsidRDefault="003B3105" w:rsidP="001E533B">
            <w:pPr>
              <w:rPr>
                <w:rFonts w:ascii="新細明體" w:eastAsia="新細明體" w:hAnsi="新細明體"/>
              </w:rPr>
            </w:pPr>
          </w:p>
        </w:tc>
        <w:tc>
          <w:tcPr>
            <w:tcW w:w="1276" w:type="dxa"/>
            <w:vMerge/>
          </w:tcPr>
          <w:p w14:paraId="6D2755CF" w14:textId="77777777" w:rsidR="003B3105" w:rsidRDefault="003B3105" w:rsidP="001E533B">
            <w:pPr>
              <w:rPr>
                <w:rFonts w:ascii="新細明體" w:eastAsia="新細明體" w:hAnsi="新細明體"/>
              </w:rPr>
            </w:pPr>
          </w:p>
        </w:tc>
        <w:tc>
          <w:tcPr>
            <w:tcW w:w="5386" w:type="dxa"/>
            <w:tcBorders>
              <w:top w:val="nil"/>
              <w:bottom w:val="nil"/>
            </w:tcBorders>
          </w:tcPr>
          <w:p w14:paraId="1913DA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5387" w:type="dxa"/>
            <w:tcBorders>
              <w:top w:val="nil"/>
              <w:bottom w:val="nil"/>
            </w:tcBorders>
          </w:tcPr>
          <w:p w14:paraId="29BD43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2023" w:type="dxa"/>
            <w:vMerge/>
            <w:tcBorders>
              <w:right w:val="single" w:sz="12" w:space="0" w:color="auto"/>
            </w:tcBorders>
          </w:tcPr>
          <w:p w14:paraId="5CC561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3B2F48" w14:textId="77777777">
        <w:tc>
          <w:tcPr>
            <w:tcW w:w="1384" w:type="dxa"/>
            <w:vMerge/>
            <w:tcBorders>
              <w:left w:val="single" w:sz="12" w:space="0" w:color="auto"/>
            </w:tcBorders>
          </w:tcPr>
          <w:p w14:paraId="40447398" w14:textId="77777777" w:rsidR="003B3105" w:rsidRDefault="003B3105" w:rsidP="001E533B">
            <w:pPr>
              <w:rPr>
                <w:rFonts w:ascii="新細明體" w:eastAsia="新細明體" w:hAnsi="新細明體"/>
              </w:rPr>
            </w:pPr>
          </w:p>
        </w:tc>
        <w:tc>
          <w:tcPr>
            <w:tcW w:w="1276" w:type="dxa"/>
            <w:vMerge/>
          </w:tcPr>
          <w:p w14:paraId="1D1363DD" w14:textId="77777777" w:rsidR="003B3105" w:rsidRDefault="003B3105" w:rsidP="001E533B">
            <w:pPr>
              <w:rPr>
                <w:rFonts w:ascii="新細明體" w:eastAsia="新細明體" w:hAnsi="新細明體"/>
              </w:rPr>
            </w:pPr>
          </w:p>
        </w:tc>
        <w:tc>
          <w:tcPr>
            <w:tcW w:w="5386" w:type="dxa"/>
            <w:tcBorders>
              <w:top w:val="nil"/>
              <w:bottom w:val="nil"/>
            </w:tcBorders>
          </w:tcPr>
          <w:p w14:paraId="0BEAE0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5387" w:type="dxa"/>
            <w:tcBorders>
              <w:top w:val="nil"/>
              <w:bottom w:val="nil"/>
            </w:tcBorders>
          </w:tcPr>
          <w:p w14:paraId="4CAE29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2023" w:type="dxa"/>
            <w:vMerge/>
            <w:tcBorders>
              <w:right w:val="single" w:sz="12" w:space="0" w:color="auto"/>
            </w:tcBorders>
          </w:tcPr>
          <w:p w14:paraId="508570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0BBDA6" w14:textId="77777777">
        <w:tc>
          <w:tcPr>
            <w:tcW w:w="1384" w:type="dxa"/>
            <w:vMerge/>
            <w:tcBorders>
              <w:left w:val="single" w:sz="12" w:space="0" w:color="auto"/>
            </w:tcBorders>
          </w:tcPr>
          <w:p w14:paraId="3B91AC22" w14:textId="77777777" w:rsidR="003B3105" w:rsidRDefault="003B3105" w:rsidP="001E533B">
            <w:pPr>
              <w:rPr>
                <w:rFonts w:ascii="新細明體" w:eastAsia="新細明體" w:hAnsi="新細明體"/>
              </w:rPr>
            </w:pPr>
          </w:p>
        </w:tc>
        <w:tc>
          <w:tcPr>
            <w:tcW w:w="1276" w:type="dxa"/>
            <w:vMerge/>
          </w:tcPr>
          <w:p w14:paraId="5E85590F" w14:textId="77777777" w:rsidR="003B3105" w:rsidRDefault="003B3105" w:rsidP="001E533B">
            <w:pPr>
              <w:rPr>
                <w:rFonts w:ascii="新細明體" w:eastAsia="新細明體" w:hAnsi="新細明體"/>
              </w:rPr>
            </w:pPr>
          </w:p>
        </w:tc>
        <w:tc>
          <w:tcPr>
            <w:tcW w:w="5386" w:type="dxa"/>
            <w:tcBorders>
              <w:top w:val="nil"/>
              <w:bottom w:val="nil"/>
            </w:tcBorders>
          </w:tcPr>
          <w:p w14:paraId="3CB683F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5387" w:type="dxa"/>
            <w:tcBorders>
              <w:top w:val="nil"/>
              <w:bottom w:val="nil"/>
            </w:tcBorders>
          </w:tcPr>
          <w:p w14:paraId="40F099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2023" w:type="dxa"/>
            <w:vMerge/>
            <w:tcBorders>
              <w:right w:val="single" w:sz="12" w:space="0" w:color="auto"/>
            </w:tcBorders>
          </w:tcPr>
          <w:p w14:paraId="693151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CA4468" w14:textId="77777777">
        <w:tc>
          <w:tcPr>
            <w:tcW w:w="1384" w:type="dxa"/>
            <w:vMerge/>
            <w:tcBorders>
              <w:left w:val="single" w:sz="12" w:space="0" w:color="auto"/>
            </w:tcBorders>
          </w:tcPr>
          <w:p w14:paraId="717740C0" w14:textId="77777777" w:rsidR="003B3105" w:rsidRDefault="003B3105" w:rsidP="001E533B">
            <w:pPr>
              <w:rPr>
                <w:rFonts w:ascii="新細明體" w:eastAsia="新細明體" w:hAnsi="新細明體"/>
              </w:rPr>
            </w:pPr>
          </w:p>
        </w:tc>
        <w:tc>
          <w:tcPr>
            <w:tcW w:w="1276" w:type="dxa"/>
            <w:vMerge/>
          </w:tcPr>
          <w:p w14:paraId="06FBEF7A" w14:textId="77777777" w:rsidR="003B3105" w:rsidRDefault="003B3105" w:rsidP="001E533B">
            <w:pPr>
              <w:rPr>
                <w:rFonts w:ascii="新細明體" w:eastAsia="新細明體" w:hAnsi="新細明體"/>
              </w:rPr>
            </w:pPr>
          </w:p>
        </w:tc>
        <w:tc>
          <w:tcPr>
            <w:tcW w:w="5386" w:type="dxa"/>
            <w:tcBorders>
              <w:top w:val="nil"/>
              <w:bottom w:val="nil"/>
            </w:tcBorders>
          </w:tcPr>
          <w:p w14:paraId="0A1EDA3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5387" w:type="dxa"/>
            <w:tcBorders>
              <w:top w:val="nil"/>
              <w:bottom w:val="nil"/>
            </w:tcBorders>
          </w:tcPr>
          <w:p w14:paraId="5CA5261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2023" w:type="dxa"/>
            <w:vMerge/>
            <w:tcBorders>
              <w:right w:val="single" w:sz="12" w:space="0" w:color="auto"/>
            </w:tcBorders>
          </w:tcPr>
          <w:p w14:paraId="46B466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37D68D" w14:textId="77777777">
        <w:tc>
          <w:tcPr>
            <w:tcW w:w="1384" w:type="dxa"/>
            <w:vMerge/>
            <w:tcBorders>
              <w:left w:val="single" w:sz="12" w:space="0" w:color="auto"/>
            </w:tcBorders>
          </w:tcPr>
          <w:p w14:paraId="17AF1756" w14:textId="77777777" w:rsidR="003B3105" w:rsidRDefault="003B3105" w:rsidP="001E533B">
            <w:pPr>
              <w:rPr>
                <w:rFonts w:ascii="新細明體" w:eastAsia="新細明體" w:hAnsi="新細明體"/>
              </w:rPr>
            </w:pPr>
          </w:p>
        </w:tc>
        <w:tc>
          <w:tcPr>
            <w:tcW w:w="1276" w:type="dxa"/>
            <w:vMerge/>
          </w:tcPr>
          <w:p w14:paraId="331EF1A5" w14:textId="77777777" w:rsidR="003B3105" w:rsidRDefault="003B3105" w:rsidP="001E533B">
            <w:pPr>
              <w:rPr>
                <w:rFonts w:ascii="新細明體" w:eastAsia="新細明體" w:hAnsi="新細明體"/>
              </w:rPr>
            </w:pPr>
          </w:p>
        </w:tc>
        <w:tc>
          <w:tcPr>
            <w:tcW w:w="5386" w:type="dxa"/>
            <w:tcBorders>
              <w:top w:val="nil"/>
              <w:bottom w:val="nil"/>
            </w:tcBorders>
          </w:tcPr>
          <w:p w14:paraId="452911A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(十八)公司開辦網際網路等電子式交易型態業務時，與交易有關之業務憑證，包括書面文件或電磁紀錄，其保存年限比照「證券商帳表憑證保存年限表」規定辦理。</w:t>
            </w:r>
          </w:p>
        </w:tc>
        <w:tc>
          <w:tcPr>
            <w:tcW w:w="5387" w:type="dxa"/>
            <w:tcBorders>
              <w:top w:val="nil"/>
              <w:bottom w:val="nil"/>
            </w:tcBorders>
          </w:tcPr>
          <w:p w14:paraId="5396C47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(十八)公司開辦網際網路等電子式交易型態業務時，與交易有關之業務憑證，包括書面文件或電磁紀錄，其保存年限比照「證券商帳表憑證保存年限表」規定辦理。</w:t>
            </w:r>
          </w:p>
        </w:tc>
        <w:tc>
          <w:tcPr>
            <w:tcW w:w="2023" w:type="dxa"/>
            <w:vMerge/>
            <w:tcBorders>
              <w:right w:val="single" w:sz="12" w:space="0" w:color="auto"/>
            </w:tcBorders>
          </w:tcPr>
          <w:p w14:paraId="59FB63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D2BE4D" w14:textId="77777777">
        <w:tc>
          <w:tcPr>
            <w:tcW w:w="1384" w:type="dxa"/>
            <w:vMerge/>
            <w:tcBorders>
              <w:left w:val="single" w:sz="12" w:space="0" w:color="auto"/>
            </w:tcBorders>
          </w:tcPr>
          <w:p w14:paraId="252E9972" w14:textId="77777777" w:rsidR="003B3105" w:rsidRDefault="003B3105" w:rsidP="001E533B">
            <w:pPr>
              <w:rPr>
                <w:rFonts w:ascii="新細明體" w:eastAsia="新細明體" w:hAnsi="新細明體"/>
              </w:rPr>
            </w:pPr>
          </w:p>
        </w:tc>
        <w:tc>
          <w:tcPr>
            <w:tcW w:w="1276" w:type="dxa"/>
            <w:vMerge/>
          </w:tcPr>
          <w:p w14:paraId="07C16310" w14:textId="77777777" w:rsidR="003B3105" w:rsidRDefault="003B3105" w:rsidP="001E533B">
            <w:pPr>
              <w:rPr>
                <w:rFonts w:ascii="新細明體" w:eastAsia="新細明體" w:hAnsi="新細明體"/>
              </w:rPr>
            </w:pPr>
          </w:p>
        </w:tc>
        <w:tc>
          <w:tcPr>
            <w:tcW w:w="5386" w:type="dxa"/>
            <w:tcBorders>
              <w:top w:val="nil"/>
              <w:bottom w:val="nil"/>
            </w:tcBorders>
          </w:tcPr>
          <w:p w14:paraId="21021C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(十九)對客戶經由網際網路等電子式交易型態所為之交易委託及查詢，其電腦稽核紀錄(log)應至少保留五年，但買賣委託有爭議者，應保留至爭議消除為止。</w:t>
            </w:r>
          </w:p>
        </w:tc>
        <w:tc>
          <w:tcPr>
            <w:tcW w:w="5387" w:type="dxa"/>
            <w:tcBorders>
              <w:top w:val="nil"/>
              <w:bottom w:val="nil"/>
            </w:tcBorders>
          </w:tcPr>
          <w:p w14:paraId="690F235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(十九)對客戶經由網際網路等電子式交易型態所為之交易委託及查詢，其電腦稽核紀錄(log)應至少保留五年，但買賣委託有爭議者，應保留至爭議消除為止。</w:t>
            </w:r>
          </w:p>
        </w:tc>
        <w:tc>
          <w:tcPr>
            <w:tcW w:w="2023" w:type="dxa"/>
            <w:vMerge/>
            <w:tcBorders>
              <w:right w:val="single" w:sz="12" w:space="0" w:color="auto"/>
            </w:tcBorders>
          </w:tcPr>
          <w:p w14:paraId="04CBCF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4936C6" w14:textId="77777777">
        <w:tc>
          <w:tcPr>
            <w:tcW w:w="1384" w:type="dxa"/>
            <w:vMerge/>
            <w:tcBorders>
              <w:left w:val="single" w:sz="12" w:space="0" w:color="auto"/>
            </w:tcBorders>
          </w:tcPr>
          <w:p w14:paraId="44DB59A1" w14:textId="77777777" w:rsidR="003B3105" w:rsidRDefault="003B3105" w:rsidP="001E533B">
            <w:pPr>
              <w:rPr>
                <w:rFonts w:ascii="新細明體" w:eastAsia="新細明體" w:hAnsi="新細明體"/>
              </w:rPr>
            </w:pPr>
          </w:p>
        </w:tc>
        <w:tc>
          <w:tcPr>
            <w:tcW w:w="1276" w:type="dxa"/>
            <w:vMerge/>
          </w:tcPr>
          <w:p w14:paraId="2E0A3E2C" w14:textId="77777777" w:rsidR="003B3105" w:rsidRDefault="003B3105" w:rsidP="001E533B">
            <w:pPr>
              <w:rPr>
                <w:rFonts w:ascii="新細明體" w:eastAsia="新細明體" w:hAnsi="新細明體"/>
              </w:rPr>
            </w:pPr>
          </w:p>
        </w:tc>
        <w:tc>
          <w:tcPr>
            <w:tcW w:w="5386" w:type="dxa"/>
            <w:tcBorders>
              <w:top w:val="nil"/>
              <w:bottom w:val="nil"/>
            </w:tcBorders>
          </w:tcPr>
          <w:p w14:paraId="59FFD8C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(二十)公司使用網際網路等電子式下單之交易主機及設備應置於已登記之營業處所，且營業員應於營業櫃檯內接單。但公司依業務需要，可租用或委外建置電腦機房，或租用或分租電腦設備及系統，惟</w:t>
            </w:r>
            <w:r>
              <w:rPr>
                <w:rFonts w:ascii="新細明體" w:eastAsia="新細明體" w:hAnsi="新細明體" w:cs="新細明體" w:hint="eastAsia"/>
              </w:rPr>
              <w:lastRenderedPageBreak/>
              <w:t>應符合證交所91年6月19日台證（91）交字第200871號公告及櫃檯買賣中心之相關規定。</w:t>
            </w:r>
          </w:p>
        </w:tc>
        <w:tc>
          <w:tcPr>
            <w:tcW w:w="5387" w:type="dxa"/>
            <w:tcBorders>
              <w:top w:val="nil"/>
              <w:bottom w:val="nil"/>
            </w:tcBorders>
          </w:tcPr>
          <w:p w14:paraId="472D20D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(二十)公司使用網際網路等電子式下單之交易主機及設備應置於已登記之營業處所，且營業員應於營業櫃檯內接單。但公司依業務需要，可租用或委外建置電腦機房，或租用或分租電腦設備及系統，惟</w:t>
            </w:r>
            <w:r>
              <w:rPr>
                <w:rFonts w:ascii="新細明體" w:eastAsia="新細明體" w:hAnsi="新細明體" w:cs="新細明體" w:hint="eastAsia"/>
              </w:rPr>
              <w:lastRenderedPageBreak/>
              <w:t>應符合證交所91年6月19日台證（91）交字第200871號公告及櫃檯買賣中心之相關規定。</w:t>
            </w:r>
          </w:p>
        </w:tc>
        <w:tc>
          <w:tcPr>
            <w:tcW w:w="2023" w:type="dxa"/>
            <w:vMerge/>
            <w:tcBorders>
              <w:right w:val="single" w:sz="12" w:space="0" w:color="auto"/>
            </w:tcBorders>
          </w:tcPr>
          <w:p w14:paraId="2952A9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1BF1E3" w14:textId="77777777">
        <w:tc>
          <w:tcPr>
            <w:tcW w:w="1384" w:type="dxa"/>
            <w:vMerge/>
            <w:tcBorders>
              <w:left w:val="single" w:sz="12" w:space="0" w:color="auto"/>
            </w:tcBorders>
          </w:tcPr>
          <w:p w14:paraId="0AC73C33" w14:textId="77777777" w:rsidR="003B3105" w:rsidRDefault="003B3105" w:rsidP="001E533B">
            <w:pPr>
              <w:rPr>
                <w:rFonts w:ascii="新細明體" w:eastAsia="新細明體" w:hAnsi="新細明體"/>
              </w:rPr>
            </w:pPr>
          </w:p>
        </w:tc>
        <w:tc>
          <w:tcPr>
            <w:tcW w:w="1276" w:type="dxa"/>
            <w:vMerge/>
          </w:tcPr>
          <w:p w14:paraId="185D2415" w14:textId="77777777" w:rsidR="003B3105" w:rsidRDefault="003B3105" w:rsidP="001E533B">
            <w:pPr>
              <w:rPr>
                <w:rFonts w:ascii="新細明體" w:eastAsia="新細明體" w:hAnsi="新細明體"/>
              </w:rPr>
            </w:pPr>
          </w:p>
        </w:tc>
        <w:tc>
          <w:tcPr>
            <w:tcW w:w="5386" w:type="dxa"/>
            <w:tcBorders>
              <w:top w:val="nil"/>
              <w:bottom w:val="nil"/>
            </w:tcBorders>
          </w:tcPr>
          <w:p w14:paraId="483DEB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(二十一)公司如透過網際網路等電子式交易型態向客戶提供投資諮詢服務時，應依據證交所及櫃檯買賣中心「證券商推介客戶買賣有價證券管理辦法」之規定辦理。</w:t>
            </w:r>
          </w:p>
        </w:tc>
        <w:tc>
          <w:tcPr>
            <w:tcW w:w="5387" w:type="dxa"/>
            <w:tcBorders>
              <w:top w:val="nil"/>
              <w:bottom w:val="nil"/>
            </w:tcBorders>
          </w:tcPr>
          <w:p w14:paraId="0A8FF88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(二十一)公司如透過網際網路等電子式交易型態向客戶提供投資諮詢服務時，應依據證交所及櫃檯買賣中心「證券商推介客戶買賣有價證券管理辦法」之規定辦理。</w:t>
            </w:r>
          </w:p>
        </w:tc>
        <w:tc>
          <w:tcPr>
            <w:tcW w:w="2023" w:type="dxa"/>
            <w:vMerge/>
            <w:tcBorders>
              <w:right w:val="single" w:sz="12" w:space="0" w:color="auto"/>
            </w:tcBorders>
          </w:tcPr>
          <w:p w14:paraId="503F07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CF5B42" w14:textId="77777777">
        <w:tc>
          <w:tcPr>
            <w:tcW w:w="1384" w:type="dxa"/>
            <w:vMerge/>
            <w:tcBorders>
              <w:left w:val="single" w:sz="12" w:space="0" w:color="auto"/>
            </w:tcBorders>
          </w:tcPr>
          <w:p w14:paraId="541B48D6" w14:textId="77777777" w:rsidR="003B3105" w:rsidRDefault="003B3105" w:rsidP="001E533B">
            <w:pPr>
              <w:rPr>
                <w:rFonts w:ascii="新細明體" w:eastAsia="新細明體" w:hAnsi="新細明體"/>
              </w:rPr>
            </w:pPr>
          </w:p>
        </w:tc>
        <w:tc>
          <w:tcPr>
            <w:tcW w:w="1276" w:type="dxa"/>
            <w:vMerge/>
          </w:tcPr>
          <w:p w14:paraId="35C61C80" w14:textId="77777777" w:rsidR="003B3105" w:rsidRDefault="003B3105" w:rsidP="001E533B">
            <w:pPr>
              <w:rPr>
                <w:rFonts w:ascii="新細明體" w:eastAsia="新細明體" w:hAnsi="新細明體"/>
              </w:rPr>
            </w:pPr>
          </w:p>
        </w:tc>
        <w:tc>
          <w:tcPr>
            <w:tcW w:w="5386" w:type="dxa"/>
            <w:tcBorders>
              <w:top w:val="nil"/>
              <w:bottom w:val="nil"/>
            </w:tcBorders>
          </w:tcPr>
          <w:p w14:paraId="0C401D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(二十二)公司如已辦理網際網路等電子式交易型態之委託業務，應於每月十日前將上月之網際網路等電子式交易型態之委託相關資料依證交所及櫃檯買賣中心規定格式向證交所及櫃檯買賣中心申報。</w:t>
            </w:r>
          </w:p>
        </w:tc>
        <w:tc>
          <w:tcPr>
            <w:tcW w:w="5387" w:type="dxa"/>
            <w:tcBorders>
              <w:top w:val="nil"/>
              <w:bottom w:val="nil"/>
            </w:tcBorders>
          </w:tcPr>
          <w:p w14:paraId="12B526D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(二十二)公司如已辦理網際網路等電子式交易型態之委託業務，應於每月十日前將上月之網際網路等電子式交易型態之委託相關資料依證交所及櫃檯買賣中心規定格式向證交所及櫃檯買賣中心申報。</w:t>
            </w:r>
          </w:p>
        </w:tc>
        <w:tc>
          <w:tcPr>
            <w:tcW w:w="2023" w:type="dxa"/>
            <w:vMerge/>
            <w:tcBorders>
              <w:right w:val="single" w:sz="12" w:space="0" w:color="auto"/>
            </w:tcBorders>
          </w:tcPr>
          <w:p w14:paraId="4AA04D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E20396" w14:textId="77777777">
        <w:tc>
          <w:tcPr>
            <w:tcW w:w="1384" w:type="dxa"/>
            <w:vMerge/>
            <w:tcBorders>
              <w:left w:val="single" w:sz="12" w:space="0" w:color="auto"/>
            </w:tcBorders>
          </w:tcPr>
          <w:p w14:paraId="67EC9BCF" w14:textId="77777777" w:rsidR="003B3105" w:rsidRDefault="003B3105" w:rsidP="001E533B">
            <w:pPr>
              <w:rPr>
                <w:rFonts w:ascii="新細明體" w:eastAsia="新細明體" w:hAnsi="新細明體"/>
              </w:rPr>
            </w:pPr>
          </w:p>
        </w:tc>
        <w:tc>
          <w:tcPr>
            <w:tcW w:w="1276" w:type="dxa"/>
            <w:vMerge/>
          </w:tcPr>
          <w:p w14:paraId="7B22542D" w14:textId="77777777" w:rsidR="003B3105" w:rsidRDefault="003B3105" w:rsidP="001E533B">
            <w:pPr>
              <w:rPr>
                <w:rFonts w:ascii="新細明體" w:eastAsia="新細明體" w:hAnsi="新細明體"/>
              </w:rPr>
            </w:pPr>
          </w:p>
        </w:tc>
        <w:tc>
          <w:tcPr>
            <w:tcW w:w="5386" w:type="dxa"/>
            <w:tcBorders>
              <w:top w:val="nil"/>
              <w:bottom w:val="nil"/>
            </w:tcBorders>
          </w:tcPr>
          <w:p w14:paraId="6F043C7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w:t>
            </w:r>
            <w:r>
              <w:rPr>
                <w:rFonts w:ascii="新細明體" w:eastAsia="新細明體" w:hAnsi="新細明體" w:cs="新細明體" w:hint="eastAsia"/>
              </w:rPr>
              <w:lastRenderedPageBreak/>
              <w:t>號碼者，應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5387" w:type="dxa"/>
            <w:tcBorders>
              <w:top w:val="nil"/>
              <w:bottom w:val="nil"/>
            </w:tcBorders>
          </w:tcPr>
          <w:p w14:paraId="1091178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三)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w:t>
            </w:r>
            <w:r>
              <w:rPr>
                <w:rFonts w:ascii="新細明體" w:eastAsia="新細明體" w:hAnsi="新細明體" w:cs="新細明體" w:hint="eastAsia"/>
              </w:rPr>
              <w:lastRenderedPageBreak/>
              <w:t>號碼者，應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2023" w:type="dxa"/>
            <w:vMerge/>
            <w:tcBorders>
              <w:right w:val="single" w:sz="12" w:space="0" w:color="auto"/>
            </w:tcBorders>
          </w:tcPr>
          <w:p w14:paraId="294025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09BB6D" w14:textId="77777777">
        <w:tc>
          <w:tcPr>
            <w:tcW w:w="1384" w:type="dxa"/>
            <w:vMerge/>
            <w:tcBorders>
              <w:left w:val="single" w:sz="12" w:space="0" w:color="auto"/>
            </w:tcBorders>
          </w:tcPr>
          <w:p w14:paraId="25B04438" w14:textId="77777777" w:rsidR="003B3105" w:rsidRDefault="003B3105" w:rsidP="001E533B">
            <w:pPr>
              <w:rPr>
                <w:rFonts w:ascii="新細明體" w:eastAsia="新細明體" w:hAnsi="新細明體"/>
              </w:rPr>
            </w:pPr>
          </w:p>
        </w:tc>
        <w:tc>
          <w:tcPr>
            <w:tcW w:w="1276" w:type="dxa"/>
            <w:vMerge/>
          </w:tcPr>
          <w:p w14:paraId="7635F10E" w14:textId="77777777" w:rsidR="003B3105" w:rsidRDefault="003B3105" w:rsidP="001E533B">
            <w:pPr>
              <w:rPr>
                <w:rFonts w:ascii="新細明體" w:eastAsia="新細明體" w:hAnsi="新細明體"/>
              </w:rPr>
            </w:pPr>
          </w:p>
        </w:tc>
        <w:tc>
          <w:tcPr>
            <w:tcW w:w="5386" w:type="dxa"/>
            <w:tcBorders>
              <w:top w:val="nil"/>
              <w:bottom w:val="nil"/>
            </w:tcBorders>
          </w:tcPr>
          <w:p w14:paraId="0E6DA8B0"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5387" w:type="dxa"/>
            <w:tcBorders>
              <w:top w:val="nil"/>
              <w:bottom w:val="nil"/>
            </w:tcBorders>
          </w:tcPr>
          <w:p w14:paraId="1FED327E"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2023" w:type="dxa"/>
            <w:vMerge/>
            <w:tcBorders>
              <w:right w:val="single" w:sz="12" w:space="0" w:color="auto"/>
            </w:tcBorders>
          </w:tcPr>
          <w:p w14:paraId="69B6DB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E8EBD2" w14:textId="77777777">
        <w:tc>
          <w:tcPr>
            <w:tcW w:w="1384" w:type="dxa"/>
            <w:vMerge/>
            <w:tcBorders>
              <w:left w:val="single" w:sz="12" w:space="0" w:color="auto"/>
            </w:tcBorders>
          </w:tcPr>
          <w:p w14:paraId="3B681320" w14:textId="77777777" w:rsidR="003B3105" w:rsidRDefault="003B3105" w:rsidP="001E533B">
            <w:pPr>
              <w:rPr>
                <w:rFonts w:ascii="新細明體" w:eastAsia="新細明體" w:hAnsi="新細明體"/>
              </w:rPr>
            </w:pPr>
          </w:p>
        </w:tc>
        <w:tc>
          <w:tcPr>
            <w:tcW w:w="1276" w:type="dxa"/>
            <w:vMerge/>
          </w:tcPr>
          <w:p w14:paraId="22B273E4" w14:textId="77777777" w:rsidR="003B3105" w:rsidRDefault="003B3105" w:rsidP="001E533B">
            <w:pPr>
              <w:rPr>
                <w:rFonts w:ascii="新細明體" w:eastAsia="新細明體" w:hAnsi="新細明體"/>
              </w:rPr>
            </w:pPr>
          </w:p>
        </w:tc>
        <w:tc>
          <w:tcPr>
            <w:tcW w:w="5386" w:type="dxa"/>
            <w:tcBorders>
              <w:top w:val="nil"/>
              <w:bottom w:val="nil"/>
            </w:tcBorders>
          </w:tcPr>
          <w:p w14:paraId="3314AD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1.使用無法修改與消除之電子儲存媒體，並於成交當日製作完成。</w:t>
            </w:r>
          </w:p>
        </w:tc>
        <w:tc>
          <w:tcPr>
            <w:tcW w:w="5387" w:type="dxa"/>
            <w:tcBorders>
              <w:top w:val="nil"/>
              <w:bottom w:val="nil"/>
            </w:tcBorders>
          </w:tcPr>
          <w:p w14:paraId="3B4A05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1.使用無法修改與消除之電子儲存媒體，並於成交當日製作完成。</w:t>
            </w:r>
          </w:p>
        </w:tc>
        <w:tc>
          <w:tcPr>
            <w:tcW w:w="2023" w:type="dxa"/>
            <w:vMerge/>
            <w:tcBorders>
              <w:right w:val="single" w:sz="12" w:space="0" w:color="auto"/>
            </w:tcBorders>
          </w:tcPr>
          <w:p w14:paraId="21B52F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11D2C8" w14:textId="77777777">
        <w:tc>
          <w:tcPr>
            <w:tcW w:w="1384" w:type="dxa"/>
            <w:vMerge/>
            <w:tcBorders>
              <w:left w:val="single" w:sz="12" w:space="0" w:color="auto"/>
            </w:tcBorders>
          </w:tcPr>
          <w:p w14:paraId="08ABA9DD" w14:textId="77777777" w:rsidR="003B3105" w:rsidRDefault="003B3105" w:rsidP="001E533B">
            <w:pPr>
              <w:rPr>
                <w:rFonts w:ascii="新細明體" w:eastAsia="新細明體" w:hAnsi="新細明體"/>
              </w:rPr>
            </w:pPr>
          </w:p>
        </w:tc>
        <w:tc>
          <w:tcPr>
            <w:tcW w:w="1276" w:type="dxa"/>
            <w:vMerge/>
          </w:tcPr>
          <w:p w14:paraId="3CA03D35" w14:textId="77777777" w:rsidR="003B3105" w:rsidRDefault="003B3105" w:rsidP="001E533B">
            <w:pPr>
              <w:rPr>
                <w:rFonts w:ascii="新細明體" w:eastAsia="新細明體" w:hAnsi="新細明體"/>
              </w:rPr>
            </w:pPr>
          </w:p>
        </w:tc>
        <w:tc>
          <w:tcPr>
            <w:tcW w:w="5386" w:type="dxa"/>
            <w:tcBorders>
              <w:top w:val="nil"/>
              <w:bottom w:val="nil"/>
            </w:tcBorders>
          </w:tcPr>
          <w:p w14:paraId="6A58DD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2.建立完整目錄及管理程序。</w:t>
            </w:r>
          </w:p>
        </w:tc>
        <w:tc>
          <w:tcPr>
            <w:tcW w:w="5387" w:type="dxa"/>
            <w:tcBorders>
              <w:top w:val="nil"/>
              <w:bottom w:val="nil"/>
            </w:tcBorders>
          </w:tcPr>
          <w:p w14:paraId="6E3215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2.建立完整目錄及管理程序。</w:t>
            </w:r>
          </w:p>
        </w:tc>
        <w:tc>
          <w:tcPr>
            <w:tcW w:w="2023" w:type="dxa"/>
            <w:vMerge/>
            <w:tcBorders>
              <w:right w:val="single" w:sz="12" w:space="0" w:color="auto"/>
            </w:tcBorders>
          </w:tcPr>
          <w:p w14:paraId="127296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8640A7" w14:textId="77777777">
        <w:tc>
          <w:tcPr>
            <w:tcW w:w="1384" w:type="dxa"/>
            <w:vMerge/>
            <w:tcBorders>
              <w:left w:val="single" w:sz="12" w:space="0" w:color="auto"/>
            </w:tcBorders>
          </w:tcPr>
          <w:p w14:paraId="33D0153A" w14:textId="77777777" w:rsidR="003B3105" w:rsidRDefault="003B3105" w:rsidP="001E533B">
            <w:pPr>
              <w:rPr>
                <w:rFonts w:ascii="新細明體" w:eastAsia="新細明體" w:hAnsi="新細明體"/>
              </w:rPr>
            </w:pPr>
          </w:p>
        </w:tc>
        <w:tc>
          <w:tcPr>
            <w:tcW w:w="1276" w:type="dxa"/>
            <w:vMerge/>
          </w:tcPr>
          <w:p w14:paraId="50CB325A" w14:textId="77777777" w:rsidR="003B3105" w:rsidRDefault="003B3105" w:rsidP="001E533B">
            <w:pPr>
              <w:rPr>
                <w:rFonts w:ascii="新細明體" w:eastAsia="新細明體" w:hAnsi="新細明體"/>
              </w:rPr>
            </w:pPr>
          </w:p>
        </w:tc>
        <w:tc>
          <w:tcPr>
            <w:tcW w:w="5386" w:type="dxa"/>
            <w:tcBorders>
              <w:top w:val="nil"/>
              <w:bottom w:val="nil"/>
            </w:tcBorders>
          </w:tcPr>
          <w:p w14:paraId="1E5790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3.專人管理負責，並可隨時將電子媒體資料轉換成書面格式。</w:t>
            </w:r>
          </w:p>
        </w:tc>
        <w:tc>
          <w:tcPr>
            <w:tcW w:w="5387" w:type="dxa"/>
            <w:tcBorders>
              <w:top w:val="nil"/>
              <w:bottom w:val="nil"/>
            </w:tcBorders>
          </w:tcPr>
          <w:p w14:paraId="20439E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3.專人管理負責，並可隨時將電子媒體資料轉換成書面格式。</w:t>
            </w:r>
          </w:p>
        </w:tc>
        <w:tc>
          <w:tcPr>
            <w:tcW w:w="2023" w:type="dxa"/>
            <w:vMerge/>
            <w:tcBorders>
              <w:right w:val="single" w:sz="12" w:space="0" w:color="auto"/>
            </w:tcBorders>
          </w:tcPr>
          <w:p w14:paraId="5D2110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CB32B7" w14:textId="77777777">
        <w:tc>
          <w:tcPr>
            <w:tcW w:w="1384" w:type="dxa"/>
            <w:vMerge/>
            <w:tcBorders>
              <w:left w:val="single" w:sz="12" w:space="0" w:color="auto"/>
            </w:tcBorders>
          </w:tcPr>
          <w:p w14:paraId="316B31AB" w14:textId="77777777" w:rsidR="003B3105" w:rsidRDefault="003B3105" w:rsidP="001E533B">
            <w:pPr>
              <w:rPr>
                <w:rFonts w:ascii="新細明體" w:eastAsia="新細明體" w:hAnsi="新細明體"/>
              </w:rPr>
            </w:pPr>
          </w:p>
        </w:tc>
        <w:tc>
          <w:tcPr>
            <w:tcW w:w="1276" w:type="dxa"/>
            <w:vMerge/>
          </w:tcPr>
          <w:p w14:paraId="785D2F48" w14:textId="77777777" w:rsidR="003B3105" w:rsidRDefault="003B3105" w:rsidP="001E533B">
            <w:pPr>
              <w:rPr>
                <w:rFonts w:ascii="新細明體" w:eastAsia="新細明體" w:hAnsi="新細明體"/>
              </w:rPr>
            </w:pPr>
          </w:p>
        </w:tc>
        <w:tc>
          <w:tcPr>
            <w:tcW w:w="5386" w:type="dxa"/>
            <w:tcBorders>
              <w:top w:val="nil"/>
              <w:bottom w:val="nil"/>
            </w:tcBorders>
          </w:tcPr>
          <w:p w14:paraId="29EBC5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5387" w:type="dxa"/>
            <w:tcBorders>
              <w:top w:val="nil"/>
              <w:bottom w:val="nil"/>
            </w:tcBorders>
          </w:tcPr>
          <w:p w14:paraId="55142CB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2023" w:type="dxa"/>
            <w:vMerge/>
            <w:tcBorders>
              <w:right w:val="single" w:sz="12" w:space="0" w:color="auto"/>
            </w:tcBorders>
          </w:tcPr>
          <w:p w14:paraId="02048E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FD55D5" w14:textId="77777777">
        <w:tc>
          <w:tcPr>
            <w:tcW w:w="1384" w:type="dxa"/>
            <w:vMerge/>
            <w:tcBorders>
              <w:left w:val="single" w:sz="12" w:space="0" w:color="auto"/>
            </w:tcBorders>
          </w:tcPr>
          <w:p w14:paraId="256558B9" w14:textId="77777777" w:rsidR="003B3105" w:rsidRDefault="003B3105" w:rsidP="001E533B">
            <w:pPr>
              <w:rPr>
                <w:rFonts w:ascii="新細明體" w:eastAsia="新細明體" w:hAnsi="新細明體"/>
              </w:rPr>
            </w:pPr>
          </w:p>
        </w:tc>
        <w:tc>
          <w:tcPr>
            <w:tcW w:w="1276" w:type="dxa"/>
            <w:vMerge/>
          </w:tcPr>
          <w:p w14:paraId="3C096B31" w14:textId="77777777" w:rsidR="003B3105" w:rsidRDefault="003B3105" w:rsidP="001E533B">
            <w:pPr>
              <w:rPr>
                <w:rFonts w:ascii="新細明體" w:eastAsia="新細明體" w:hAnsi="新細明體"/>
              </w:rPr>
            </w:pPr>
          </w:p>
        </w:tc>
        <w:tc>
          <w:tcPr>
            <w:tcW w:w="5386" w:type="dxa"/>
            <w:tcBorders>
              <w:top w:val="nil"/>
              <w:bottom w:val="nil"/>
            </w:tcBorders>
          </w:tcPr>
          <w:p w14:paraId="5062180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(二十五)為確保客戶以網際網路等電子式下單時密碼之安全性及客戶委託資訊之保密性，應依公司內部控制制度「電腦資訊管理」所訂定之「個人資料檔案安全維</w:t>
            </w:r>
            <w:r>
              <w:rPr>
                <w:rFonts w:ascii="新細明體" w:eastAsia="新細明體" w:hAnsi="新細明體" w:cs="新細明體" w:hint="eastAsia"/>
              </w:rPr>
              <w:lastRenderedPageBreak/>
              <w:t>護計畫」確實執行。</w:t>
            </w:r>
          </w:p>
        </w:tc>
        <w:tc>
          <w:tcPr>
            <w:tcW w:w="5387" w:type="dxa"/>
            <w:tcBorders>
              <w:top w:val="nil"/>
              <w:bottom w:val="nil"/>
            </w:tcBorders>
          </w:tcPr>
          <w:p w14:paraId="5E4058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(二十五)為確保客戶以網際網路等電子式下單時密碼之安全性及客戶委託資訊之保密性，應依公司內部控制制度「電腦資訊管理」所訂定之「個人資料檔案安全維</w:t>
            </w:r>
            <w:r>
              <w:rPr>
                <w:rFonts w:ascii="新細明體" w:eastAsia="新細明體" w:hAnsi="新細明體" w:cs="新細明體" w:hint="eastAsia"/>
              </w:rPr>
              <w:lastRenderedPageBreak/>
              <w:t>護計畫」確實執行。</w:t>
            </w:r>
          </w:p>
        </w:tc>
        <w:tc>
          <w:tcPr>
            <w:tcW w:w="2023" w:type="dxa"/>
            <w:vMerge/>
            <w:tcBorders>
              <w:right w:val="single" w:sz="12" w:space="0" w:color="auto"/>
            </w:tcBorders>
          </w:tcPr>
          <w:p w14:paraId="658EFF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D18EAE" w14:textId="77777777">
        <w:tc>
          <w:tcPr>
            <w:tcW w:w="1384" w:type="dxa"/>
            <w:vMerge/>
            <w:tcBorders>
              <w:left w:val="single" w:sz="12" w:space="0" w:color="auto"/>
            </w:tcBorders>
          </w:tcPr>
          <w:p w14:paraId="46D29655" w14:textId="77777777" w:rsidR="003B3105" w:rsidRDefault="003B3105" w:rsidP="001E533B">
            <w:pPr>
              <w:rPr>
                <w:rFonts w:ascii="新細明體" w:eastAsia="新細明體" w:hAnsi="新細明體"/>
              </w:rPr>
            </w:pPr>
          </w:p>
        </w:tc>
        <w:tc>
          <w:tcPr>
            <w:tcW w:w="1276" w:type="dxa"/>
            <w:vMerge/>
          </w:tcPr>
          <w:p w14:paraId="17DE1F6F" w14:textId="77777777" w:rsidR="003B3105" w:rsidRDefault="003B3105" w:rsidP="001E533B">
            <w:pPr>
              <w:rPr>
                <w:rFonts w:ascii="新細明體" w:eastAsia="新細明體" w:hAnsi="新細明體"/>
              </w:rPr>
            </w:pPr>
          </w:p>
        </w:tc>
        <w:tc>
          <w:tcPr>
            <w:tcW w:w="5386" w:type="dxa"/>
            <w:tcBorders>
              <w:top w:val="nil"/>
              <w:bottom w:val="nil"/>
            </w:tcBorders>
          </w:tcPr>
          <w:p w14:paraId="3F68B60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同時開辦「網際網路下單」與「電話語音下單」時，應將二種業務之開戶人數、委託筆數、委託金額、成交筆數、成交金額、更改帳號筆數、更改帳號金額、錯帳筆數、錯帳金額、違約筆數及違約金額等予以區隔。</w:t>
            </w:r>
          </w:p>
        </w:tc>
        <w:tc>
          <w:tcPr>
            <w:tcW w:w="5387" w:type="dxa"/>
            <w:tcBorders>
              <w:top w:val="nil"/>
              <w:bottom w:val="nil"/>
            </w:tcBorders>
          </w:tcPr>
          <w:p w14:paraId="2F1BCFB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同時開辦「網際網路下單」與「電話語音下單」時，應將二種業務之開戶人數、委託筆數、委託金額、成交筆數、成交金額、更改帳號筆數、更改帳號金額、錯帳筆數、錯帳金額、違約筆數及違約金額等予以區隔。</w:t>
            </w:r>
          </w:p>
        </w:tc>
        <w:tc>
          <w:tcPr>
            <w:tcW w:w="2023" w:type="dxa"/>
            <w:vMerge/>
            <w:tcBorders>
              <w:right w:val="single" w:sz="12" w:space="0" w:color="auto"/>
            </w:tcBorders>
          </w:tcPr>
          <w:p w14:paraId="58FC30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532A2F" w14:textId="77777777">
        <w:tc>
          <w:tcPr>
            <w:tcW w:w="1384" w:type="dxa"/>
            <w:vMerge/>
            <w:tcBorders>
              <w:left w:val="single" w:sz="12" w:space="0" w:color="auto"/>
            </w:tcBorders>
          </w:tcPr>
          <w:p w14:paraId="4B5BA2F8" w14:textId="77777777" w:rsidR="003B3105" w:rsidRDefault="003B3105" w:rsidP="001E533B">
            <w:pPr>
              <w:rPr>
                <w:rFonts w:ascii="新細明體" w:eastAsia="新細明體" w:hAnsi="新細明體"/>
              </w:rPr>
            </w:pPr>
          </w:p>
        </w:tc>
        <w:tc>
          <w:tcPr>
            <w:tcW w:w="1276" w:type="dxa"/>
            <w:vMerge/>
          </w:tcPr>
          <w:p w14:paraId="1587E44E" w14:textId="77777777" w:rsidR="003B3105" w:rsidRDefault="003B3105" w:rsidP="001E533B">
            <w:pPr>
              <w:rPr>
                <w:rFonts w:ascii="新細明體" w:eastAsia="新細明體" w:hAnsi="新細明體"/>
              </w:rPr>
            </w:pPr>
          </w:p>
        </w:tc>
        <w:tc>
          <w:tcPr>
            <w:tcW w:w="5386" w:type="dxa"/>
            <w:tcBorders>
              <w:top w:val="nil"/>
              <w:bottom w:val="nil"/>
            </w:tcBorders>
          </w:tcPr>
          <w:p w14:paraId="194E408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(二十七)有價證券除債券(不含可轉換公司債)外之盤後定價交易：</w:t>
            </w:r>
          </w:p>
        </w:tc>
        <w:tc>
          <w:tcPr>
            <w:tcW w:w="5387" w:type="dxa"/>
            <w:tcBorders>
              <w:top w:val="nil"/>
              <w:bottom w:val="nil"/>
            </w:tcBorders>
          </w:tcPr>
          <w:p w14:paraId="6A0D69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(二十七)有價證券除債券(不含可轉換公司債)外之盤後定價交易：</w:t>
            </w:r>
          </w:p>
        </w:tc>
        <w:tc>
          <w:tcPr>
            <w:tcW w:w="2023" w:type="dxa"/>
            <w:vMerge/>
            <w:tcBorders>
              <w:right w:val="single" w:sz="12" w:space="0" w:color="auto"/>
            </w:tcBorders>
          </w:tcPr>
          <w:p w14:paraId="1F8AEA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FBBC63" w14:textId="77777777">
        <w:tc>
          <w:tcPr>
            <w:tcW w:w="1384" w:type="dxa"/>
            <w:vMerge/>
            <w:tcBorders>
              <w:left w:val="single" w:sz="12" w:space="0" w:color="auto"/>
            </w:tcBorders>
          </w:tcPr>
          <w:p w14:paraId="24862651" w14:textId="77777777" w:rsidR="003B3105" w:rsidRDefault="003B3105" w:rsidP="001E533B">
            <w:pPr>
              <w:rPr>
                <w:rFonts w:ascii="新細明體" w:eastAsia="新細明體" w:hAnsi="新細明體"/>
              </w:rPr>
            </w:pPr>
          </w:p>
        </w:tc>
        <w:tc>
          <w:tcPr>
            <w:tcW w:w="1276" w:type="dxa"/>
            <w:vMerge/>
          </w:tcPr>
          <w:p w14:paraId="4978B1B7" w14:textId="77777777" w:rsidR="003B3105" w:rsidRDefault="003B3105" w:rsidP="001E533B">
            <w:pPr>
              <w:rPr>
                <w:rFonts w:ascii="新細明體" w:eastAsia="新細明體" w:hAnsi="新細明體"/>
              </w:rPr>
            </w:pPr>
          </w:p>
        </w:tc>
        <w:tc>
          <w:tcPr>
            <w:tcW w:w="5386" w:type="dxa"/>
            <w:tcBorders>
              <w:top w:val="nil"/>
              <w:bottom w:val="nil"/>
            </w:tcBorders>
          </w:tcPr>
          <w:p w14:paraId="36468D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1.接受客戶委託後，於星期一至星期五每日下午二時起至二時三十分止申報，限當市有效。</w:t>
            </w:r>
          </w:p>
        </w:tc>
        <w:tc>
          <w:tcPr>
            <w:tcW w:w="5387" w:type="dxa"/>
            <w:tcBorders>
              <w:top w:val="nil"/>
              <w:bottom w:val="nil"/>
            </w:tcBorders>
          </w:tcPr>
          <w:p w14:paraId="4BAE4C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1.接受客戶委託後，於星期一至星期五每日下午二時起至二時三十分止申報，限當市有效。</w:t>
            </w:r>
          </w:p>
        </w:tc>
        <w:tc>
          <w:tcPr>
            <w:tcW w:w="2023" w:type="dxa"/>
            <w:vMerge/>
            <w:tcBorders>
              <w:right w:val="single" w:sz="12" w:space="0" w:color="auto"/>
            </w:tcBorders>
          </w:tcPr>
          <w:p w14:paraId="78BB7E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E72C72" w14:textId="77777777">
        <w:tc>
          <w:tcPr>
            <w:tcW w:w="1384" w:type="dxa"/>
            <w:vMerge/>
            <w:tcBorders>
              <w:left w:val="single" w:sz="12" w:space="0" w:color="auto"/>
            </w:tcBorders>
          </w:tcPr>
          <w:p w14:paraId="1376F404" w14:textId="77777777" w:rsidR="003B3105" w:rsidRDefault="003B3105" w:rsidP="001E533B">
            <w:pPr>
              <w:rPr>
                <w:rFonts w:ascii="新細明體" w:eastAsia="新細明體" w:hAnsi="新細明體"/>
              </w:rPr>
            </w:pPr>
          </w:p>
        </w:tc>
        <w:tc>
          <w:tcPr>
            <w:tcW w:w="1276" w:type="dxa"/>
            <w:vMerge/>
          </w:tcPr>
          <w:p w14:paraId="557BECF5" w14:textId="77777777" w:rsidR="003B3105" w:rsidRDefault="003B3105" w:rsidP="001E533B">
            <w:pPr>
              <w:rPr>
                <w:rFonts w:ascii="新細明體" w:eastAsia="新細明體" w:hAnsi="新細明體"/>
              </w:rPr>
            </w:pPr>
          </w:p>
        </w:tc>
        <w:tc>
          <w:tcPr>
            <w:tcW w:w="5386" w:type="dxa"/>
            <w:tcBorders>
              <w:top w:val="nil"/>
              <w:bottom w:val="nil"/>
            </w:tcBorders>
          </w:tcPr>
          <w:p w14:paraId="0E3E52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2.買賣申報之數量，應為一交易單位或其整倍數；一次買賣同一有價證券之數量，不得超過四百九十九交易單位。</w:t>
            </w:r>
          </w:p>
        </w:tc>
        <w:tc>
          <w:tcPr>
            <w:tcW w:w="5387" w:type="dxa"/>
            <w:tcBorders>
              <w:top w:val="nil"/>
              <w:bottom w:val="nil"/>
            </w:tcBorders>
          </w:tcPr>
          <w:p w14:paraId="080281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2.買賣申報之數量，應為一交易單位或其整倍數；一次買賣同一有價證券之數量，不得超過四百九十九交易單位。</w:t>
            </w:r>
          </w:p>
        </w:tc>
        <w:tc>
          <w:tcPr>
            <w:tcW w:w="2023" w:type="dxa"/>
            <w:vMerge/>
            <w:tcBorders>
              <w:right w:val="single" w:sz="12" w:space="0" w:color="auto"/>
            </w:tcBorders>
          </w:tcPr>
          <w:p w14:paraId="633045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D99921" w14:textId="77777777">
        <w:tc>
          <w:tcPr>
            <w:tcW w:w="1384" w:type="dxa"/>
            <w:vMerge/>
            <w:tcBorders>
              <w:left w:val="single" w:sz="12" w:space="0" w:color="auto"/>
            </w:tcBorders>
          </w:tcPr>
          <w:p w14:paraId="38A0EF4D" w14:textId="77777777" w:rsidR="003B3105" w:rsidRDefault="003B3105" w:rsidP="001E533B">
            <w:pPr>
              <w:rPr>
                <w:rFonts w:ascii="新細明體" w:eastAsia="新細明體" w:hAnsi="新細明體"/>
              </w:rPr>
            </w:pPr>
          </w:p>
        </w:tc>
        <w:tc>
          <w:tcPr>
            <w:tcW w:w="1276" w:type="dxa"/>
            <w:vMerge/>
          </w:tcPr>
          <w:p w14:paraId="1109274E" w14:textId="77777777" w:rsidR="003B3105" w:rsidRDefault="003B3105" w:rsidP="001E533B">
            <w:pPr>
              <w:rPr>
                <w:rFonts w:ascii="新細明體" w:eastAsia="新細明體" w:hAnsi="新細明體"/>
              </w:rPr>
            </w:pPr>
          </w:p>
        </w:tc>
        <w:tc>
          <w:tcPr>
            <w:tcW w:w="5386" w:type="dxa"/>
            <w:tcBorders>
              <w:top w:val="nil"/>
              <w:bottom w:val="nil"/>
            </w:tcBorders>
          </w:tcPr>
          <w:p w14:paraId="273596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5387" w:type="dxa"/>
            <w:tcBorders>
              <w:top w:val="nil"/>
              <w:bottom w:val="nil"/>
            </w:tcBorders>
          </w:tcPr>
          <w:p w14:paraId="4DC886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2023" w:type="dxa"/>
            <w:vMerge/>
            <w:tcBorders>
              <w:right w:val="single" w:sz="12" w:space="0" w:color="auto"/>
            </w:tcBorders>
          </w:tcPr>
          <w:p w14:paraId="20E8F3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05DE5C" w14:textId="77777777">
        <w:tc>
          <w:tcPr>
            <w:tcW w:w="1384" w:type="dxa"/>
            <w:vMerge/>
            <w:tcBorders>
              <w:left w:val="single" w:sz="12" w:space="0" w:color="auto"/>
            </w:tcBorders>
          </w:tcPr>
          <w:p w14:paraId="6DD459EE" w14:textId="77777777" w:rsidR="003B3105" w:rsidRDefault="003B3105" w:rsidP="001E533B">
            <w:pPr>
              <w:rPr>
                <w:rFonts w:ascii="新細明體" w:eastAsia="新細明體" w:hAnsi="新細明體"/>
              </w:rPr>
            </w:pPr>
          </w:p>
        </w:tc>
        <w:tc>
          <w:tcPr>
            <w:tcW w:w="1276" w:type="dxa"/>
            <w:vMerge/>
          </w:tcPr>
          <w:p w14:paraId="068B0297" w14:textId="77777777" w:rsidR="003B3105" w:rsidRDefault="003B3105" w:rsidP="001E533B">
            <w:pPr>
              <w:rPr>
                <w:rFonts w:ascii="新細明體" w:eastAsia="新細明體" w:hAnsi="新細明體"/>
              </w:rPr>
            </w:pPr>
          </w:p>
        </w:tc>
        <w:tc>
          <w:tcPr>
            <w:tcW w:w="5386" w:type="dxa"/>
            <w:tcBorders>
              <w:top w:val="nil"/>
              <w:bottom w:val="nil"/>
            </w:tcBorders>
          </w:tcPr>
          <w:p w14:paraId="1DEF09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5387" w:type="dxa"/>
            <w:tcBorders>
              <w:top w:val="nil"/>
              <w:bottom w:val="nil"/>
            </w:tcBorders>
          </w:tcPr>
          <w:p w14:paraId="764DAC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2023" w:type="dxa"/>
            <w:vMerge/>
            <w:tcBorders>
              <w:right w:val="single" w:sz="12" w:space="0" w:color="auto"/>
            </w:tcBorders>
          </w:tcPr>
          <w:p w14:paraId="1CEC15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E36DE9" w14:textId="77777777">
        <w:tc>
          <w:tcPr>
            <w:tcW w:w="1384" w:type="dxa"/>
            <w:vMerge/>
            <w:tcBorders>
              <w:left w:val="single" w:sz="12" w:space="0" w:color="auto"/>
            </w:tcBorders>
          </w:tcPr>
          <w:p w14:paraId="04303D5A" w14:textId="77777777" w:rsidR="003B3105" w:rsidRDefault="003B3105" w:rsidP="001E533B">
            <w:pPr>
              <w:rPr>
                <w:rFonts w:ascii="新細明體" w:eastAsia="新細明體" w:hAnsi="新細明體"/>
              </w:rPr>
            </w:pPr>
          </w:p>
        </w:tc>
        <w:tc>
          <w:tcPr>
            <w:tcW w:w="1276" w:type="dxa"/>
            <w:vMerge/>
          </w:tcPr>
          <w:p w14:paraId="49AE5593" w14:textId="77777777" w:rsidR="003B3105" w:rsidRDefault="003B3105" w:rsidP="001E533B">
            <w:pPr>
              <w:rPr>
                <w:rFonts w:ascii="新細明體" w:eastAsia="新細明體" w:hAnsi="新細明體"/>
              </w:rPr>
            </w:pPr>
          </w:p>
        </w:tc>
        <w:tc>
          <w:tcPr>
            <w:tcW w:w="5386" w:type="dxa"/>
            <w:tcBorders>
              <w:top w:val="nil"/>
              <w:bottom w:val="nil"/>
            </w:tcBorders>
          </w:tcPr>
          <w:p w14:paraId="4015C4D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(二十八)受託買賣外國有價證券應依「證券商受託買賣外國有價證券管理規則」及相關規定辦理。</w:t>
            </w:r>
          </w:p>
        </w:tc>
        <w:tc>
          <w:tcPr>
            <w:tcW w:w="5387" w:type="dxa"/>
            <w:tcBorders>
              <w:top w:val="nil"/>
              <w:bottom w:val="nil"/>
            </w:tcBorders>
          </w:tcPr>
          <w:p w14:paraId="1E2E31A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(二十八)受託買賣外國有價證券應依「證券商受託買賣外國有價證券管理規則」及相關規定辦理。</w:t>
            </w:r>
          </w:p>
        </w:tc>
        <w:tc>
          <w:tcPr>
            <w:tcW w:w="2023" w:type="dxa"/>
            <w:vMerge/>
            <w:tcBorders>
              <w:right w:val="single" w:sz="12" w:space="0" w:color="auto"/>
            </w:tcBorders>
          </w:tcPr>
          <w:p w14:paraId="6D344F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B0347E" w14:textId="77777777">
        <w:tc>
          <w:tcPr>
            <w:tcW w:w="1384" w:type="dxa"/>
            <w:vMerge/>
            <w:tcBorders>
              <w:left w:val="single" w:sz="12" w:space="0" w:color="auto"/>
            </w:tcBorders>
          </w:tcPr>
          <w:p w14:paraId="51FC474E" w14:textId="77777777" w:rsidR="003B3105" w:rsidRDefault="003B3105" w:rsidP="001E533B">
            <w:pPr>
              <w:rPr>
                <w:rFonts w:ascii="新細明體" w:eastAsia="新細明體" w:hAnsi="新細明體"/>
              </w:rPr>
            </w:pPr>
          </w:p>
        </w:tc>
        <w:tc>
          <w:tcPr>
            <w:tcW w:w="1276" w:type="dxa"/>
            <w:vMerge/>
          </w:tcPr>
          <w:p w14:paraId="56485600" w14:textId="77777777" w:rsidR="003B3105" w:rsidRDefault="003B3105" w:rsidP="001E533B">
            <w:pPr>
              <w:rPr>
                <w:rFonts w:ascii="新細明體" w:eastAsia="新細明體" w:hAnsi="新細明體"/>
              </w:rPr>
            </w:pPr>
          </w:p>
        </w:tc>
        <w:tc>
          <w:tcPr>
            <w:tcW w:w="5386" w:type="dxa"/>
            <w:tcBorders>
              <w:top w:val="nil"/>
              <w:bottom w:val="nil"/>
            </w:tcBorders>
          </w:tcPr>
          <w:p w14:paraId="30180F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(二十九)受理上市上櫃公司之客戶，依「上市上櫃公司買回本公司股份辦法」執行買</w:t>
            </w:r>
            <w:r>
              <w:rPr>
                <w:rFonts w:ascii="新細明體" w:eastAsia="新細明體" w:hAnsi="新細明體" w:cs="新細明體" w:hint="eastAsia"/>
              </w:rPr>
              <w:lastRenderedPageBreak/>
              <w:t>回其庫藏股票時，不得於交易時間開始前接受其委託。</w:t>
            </w:r>
          </w:p>
        </w:tc>
        <w:tc>
          <w:tcPr>
            <w:tcW w:w="5387" w:type="dxa"/>
            <w:tcBorders>
              <w:top w:val="nil"/>
              <w:bottom w:val="nil"/>
            </w:tcBorders>
          </w:tcPr>
          <w:p w14:paraId="261B330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(二十九)受理上市上櫃公司之客戶，依「上市上櫃公司買回本公司股份辦法」執行買</w:t>
            </w:r>
            <w:r>
              <w:rPr>
                <w:rFonts w:ascii="新細明體" w:eastAsia="新細明體" w:hAnsi="新細明體" w:cs="新細明體" w:hint="eastAsia"/>
              </w:rPr>
              <w:lastRenderedPageBreak/>
              <w:t>回其庫藏股票時，不得於交易時間開始前接受其委託。</w:t>
            </w:r>
          </w:p>
        </w:tc>
        <w:tc>
          <w:tcPr>
            <w:tcW w:w="2023" w:type="dxa"/>
            <w:vMerge/>
            <w:tcBorders>
              <w:right w:val="single" w:sz="12" w:space="0" w:color="auto"/>
            </w:tcBorders>
          </w:tcPr>
          <w:p w14:paraId="7C807F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E14A2C" w14:textId="77777777">
        <w:tc>
          <w:tcPr>
            <w:tcW w:w="1384" w:type="dxa"/>
            <w:vMerge/>
            <w:tcBorders>
              <w:left w:val="single" w:sz="12" w:space="0" w:color="auto"/>
            </w:tcBorders>
          </w:tcPr>
          <w:p w14:paraId="4ADABBC9" w14:textId="77777777" w:rsidR="003B3105" w:rsidRDefault="003B3105" w:rsidP="001E533B">
            <w:pPr>
              <w:rPr>
                <w:rFonts w:ascii="新細明體" w:eastAsia="新細明體" w:hAnsi="新細明體"/>
              </w:rPr>
            </w:pPr>
          </w:p>
        </w:tc>
        <w:tc>
          <w:tcPr>
            <w:tcW w:w="1276" w:type="dxa"/>
            <w:vMerge/>
          </w:tcPr>
          <w:p w14:paraId="4462EB15" w14:textId="77777777" w:rsidR="003B3105" w:rsidRDefault="003B3105" w:rsidP="001E533B">
            <w:pPr>
              <w:rPr>
                <w:rFonts w:ascii="新細明體" w:eastAsia="新細明體" w:hAnsi="新細明體"/>
              </w:rPr>
            </w:pPr>
          </w:p>
        </w:tc>
        <w:tc>
          <w:tcPr>
            <w:tcW w:w="5386" w:type="dxa"/>
            <w:tcBorders>
              <w:top w:val="nil"/>
              <w:bottom w:val="nil"/>
            </w:tcBorders>
          </w:tcPr>
          <w:p w14:paraId="21E14F0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代理證券金融公司辦理信用交易相關業務時（自辦融資融券證券商不適用），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5387" w:type="dxa"/>
            <w:tcBorders>
              <w:top w:val="nil"/>
              <w:bottom w:val="nil"/>
            </w:tcBorders>
          </w:tcPr>
          <w:p w14:paraId="5BA1CD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代理證券金融公司辦理信用交易相關業務時（自辦融資融券證券商不適用），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2023" w:type="dxa"/>
            <w:vMerge/>
            <w:tcBorders>
              <w:right w:val="single" w:sz="12" w:space="0" w:color="auto"/>
            </w:tcBorders>
          </w:tcPr>
          <w:p w14:paraId="69651B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8A2B56" w14:textId="77777777">
        <w:tc>
          <w:tcPr>
            <w:tcW w:w="1384" w:type="dxa"/>
            <w:vMerge/>
            <w:tcBorders>
              <w:left w:val="single" w:sz="12" w:space="0" w:color="auto"/>
            </w:tcBorders>
          </w:tcPr>
          <w:p w14:paraId="6BE768A7" w14:textId="77777777" w:rsidR="003B3105" w:rsidRDefault="003B3105" w:rsidP="001E533B">
            <w:pPr>
              <w:rPr>
                <w:rFonts w:ascii="新細明體" w:eastAsia="新細明體" w:hAnsi="新細明體"/>
              </w:rPr>
            </w:pPr>
          </w:p>
        </w:tc>
        <w:tc>
          <w:tcPr>
            <w:tcW w:w="1276" w:type="dxa"/>
            <w:vMerge/>
          </w:tcPr>
          <w:p w14:paraId="27A6B360" w14:textId="77777777" w:rsidR="003B3105" w:rsidRDefault="003B3105" w:rsidP="001E533B">
            <w:pPr>
              <w:rPr>
                <w:rFonts w:ascii="新細明體" w:eastAsia="新細明體" w:hAnsi="新細明體"/>
              </w:rPr>
            </w:pPr>
          </w:p>
        </w:tc>
        <w:tc>
          <w:tcPr>
            <w:tcW w:w="5386" w:type="dxa"/>
            <w:tcBorders>
              <w:top w:val="nil"/>
              <w:bottom w:val="nil"/>
            </w:tcBorders>
          </w:tcPr>
          <w:p w14:paraId="413C22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5387" w:type="dxa"/>
            <w:tcBorders>
              <w:top w:val="nil"/>
              <w:bottom w:val="nil"/>
            </w:tcBorders>
          </w:tcPr>
          <w:p w14:paraId="3AF6CF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2023" w:type="dxa"/>
            <w:vMerge/>
            <w:tcBorders>
              <w:right w:val="single" w:sz="12" w:space="0" w:color="auto"/>
            </w:tcBorders>
          </w:tcPr>
          <w:p w14:paraId="297383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A8347B" w14:textId="77777777">
        <w:tc>
          <w:tcPr>
            <w:tcW w:w="1384" w:type="dxa"/>
            <w:vMerge/>
            <w:tcBorders>
              <w:left w:val="single" w:sz="12" w:space="0" w:color="auto"/>
            </w:tcBorders>
          </w:tcPr>
          <w:p w14:paraId="02AD52CB" w14:textId="77777777" w:rsidR="003B3105" w:rsidRDefault="003B3105" w:rsidP="001E533B">
            <w:pPr>
              <w:rPr>
                <w:rFonts w:ascii="新細明體" w:eastAsia="新細明體" w:hAnsi="新細明體"/>
              </w:rPr>
            </w:pPr>
          </w:p>
        </w:tc>
        <w:tc>
          <w:tcPr>
            <w:tcW w:w="1276" w:type="dxa"/>
            <w:vMerge/>
          </w:tcPr>
          <w:p w14:paraId="4E4DF356" w14:textId="77777777" w:rsidR="003B3105" w:rsidRDefault="003B3105" w:rsidP="001E533B">
            <w:pPr>
              <w:rPr>
                <w:rFonts w:ascii="新細明體" w:eastAsia="新細明體" w:hAnsi="新細明體"/>
              </w:rPr>
            </w:pPr>
          </w:p>
        </w:tc>
        <w:tc>
          <w:tcPr>
            <w:tcW w:w="5386" w:type="dxa"/>
            <w:tcBorders>
              <w:top w:val="nil"/>
              <w:bottom w:val="nil"/>
            </w:tcBorders>
          </w:tcPr>
          <w:p w14:paraId="1F7D0F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2.就證金公司傳送給公司當日洽借融券配額之明細資料（含同意時間及成交資料</w:t>
            </w:r>
            <w:r>
              <w:rPr>
                <w:rFonts w:ascii="新細明體" w:eastAsia="新細明體" w:hAnsi="新細明體" w:cs="新細明體" w:hint="eastAsia"/>
              </w:rPr>
              <w:lastRenderedPageBreak/>
              <w:t>明細），在核對無誤後，應由交割主管在該明細表上蓋章，該明細表應隨同電話錄音帶保存二個月，以供主管機關、證交所及櫃檯買賣中心查核。</w:t>
            </w:r>
          </w:p>
        </w:tc>
        <w:tc>
          <w:tcPr>
            <w:tcW w:w="5387" w:type="dxa"/>
            <w:tcBorders>
              <w:top w:val="nil"/>
              <w:bottom w:val="nil"/>
            </w:tcBorders>
          </w:tcPr>
          <w:p w14:paraId="1BD8AD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2.就證金公司傳送給公司當日洽借融券配額之明細資料（含同意時間及成交資料</w:t>
            </w:r>
            <w:r>
              <w:rPr>
                <w:rFonts w:ascii="新細明體" w:eastAsia="新細明體" w:hAnsi="新細明體" w:cs="新細明體" w:hint="eastAsia"/>
              </w:rPr>
              <w:lastRenderedPageBreak/>
              <w:t>明細），在核對無誤後，應由交割主管在該明細表上蓋章，該明細表應隨同電話錄音帶保存二個月，以供主管機關、證交所及櫃檯買賣中心查核。</w:t>
            </w:r>
          </w:p>
        </w:tc>
        <w:tc>
          <w:tcPr>
            <w:tcW w:w="2023" w:type="dxa"/>
            <w:vMerge/>
            <w:tcBorders>
              <w:right w:val="single" w:sz="12" w:space="0" w:color="auto"/>
            </w:tcBorders>
          </w:tcPr>
          <w:p w14:paraId="629315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4F71DA" w14:textId="77777777">
        <w:tc>
          <w:tcPr>
            <w:tcW w:w="1384" w:type="dxa"/>
            <w:vMerge/>
            <w:tcBorders>
              <w:left w:val="single" w:sz="12" w:space="0" w:color="auto"/>
            </w:tcBorders>
          </w:tcPr>
          <w:p w14:paraId="32F23165" w14:textId="77777777" w:rsidR="003B3105" w:rsidRDefault="003B3105" w:rsidP="001E533B">
            <w:pPr>
              <w:rPr>
                <w:rFonts w:ascii="新細明體" w:eastAsia="新細明體" w:hAnsi="新細明體"/>
              </w:rPr>
            </w:pPr>
          </w:p>
        </w:tc>
        <w:tc>
          <w:tcPr>
            <w:tcW w:w="1276" w:type="dxa"/>
            <w:vMerge/>
          </w:tcPr>
          <w:p w14:paraId="105DB9F3" w14:textId="77777777" w:rsidR="003B3105" w:rsidRDefault="003B3105" w:rsidP="001E533B">
            <w:pPr>
              <w:rPr>
                <w:rFonts w:ascii="新細明體" w:eastAsia="新細明體" w:hAnsi="新細明體"/>
              </w:rPr>
            </w:pPr>
          </w:p>
        </w:tc>
        <w:tc>
          <w:tcPr>
            <w:tcW w:w="5386" w:type="dxa"/>
            <w:tcBorders>
              <w:top w:val="nil"/>
              <w:bottom w:val="nil"/>
            </w:tcBorders>
          </w:tcPr>
          <w:p w14:paraId="76B352F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(三十一)未經客戶書面同意或契約授權，公司暨受僱員工不得違法提供客戶名單予證券投資顧問或證券投資信託事業辦理全權委託投資業務之用途。</w:t>
            </w:r>
          </w:p>
        </w:tc>
        <w:tc>
          <w:tcPr>
            <w:tcW w:w="5387" w:type="dxa"/>
            <w:tcBorders>
              <w:top w:val="nil"/>
              <w:bottom w:val="nil"/>
            </w:tcBorders>
          </w:tcPr>
          <w:p w14:paraId="5883276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(三十一)未經客戶書面同意或契約授權，公司暨受僱員工不得違法提供客戶名單予證券投資顧問或證券投資信託事業辦理全權委託投資業務之用途。</w:t>
            </w:r>
          </w:p>
        </w:tc>
        <w:tc>
          <w:tcPr>
            <w:tcW w:w="2023" w:type="dxa"/>
            <w:vMerge/>
            <w:tcBorders>
              <w:right w:val="single" w:sz="12" w:space="0" w:color="auto"/>
            </w:tcBorders>
          </w:tcPr>
          <w:p w14:paraId="3A8B41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EF63B3" w14:textId="77777777">
        <w:tc>
          <w:tcPr>
            <w:tcW w:w="1384" w:type="dxa"/>
            <w:vMerge/>
            <w:tcBorders>
              <w:left w:val="single" w:sz="12" w:space="0" w:color="auto"/>
            </w:tcBorders>
          </w:tcPr>
          <w:p w14:paraId="01CF7544" w14:textId="77777777" w:rsidR="003B3105" w:rsidRDefault="003B3105" w:rsidP="001E533B">
            <w:pPr>
              <w:rPr>
                <w:rFonts w:ascii="新細明體" w:eastAsia="新細明體" w:hAnsi="新細明體"/>
              </w:rPr>
            </w:pPr>
          </w:p>
        </w:tc>
        <w:tc>
          <w:tcPr>
            <w:tcW w:w="1276" w:type="dxa"/>
            <w:vMerge/>
          </w:tcPr>
          <w:p w14:paraId="0ED2669B" w14:textId="77777777" w:rsidR="003B3105" w:rsidRDefault="003B3105" w:rsidP="001E533B">
            <w:pPr>
              <w:rPr>
                <w:rFonts w:ascii="新細明體" w:eastAsia="新細明體" w:hAnsi="新細明體"/>
              </w:rPr>
            </w:pPr>
          </w:p>
        </w:tc>
        <w:tc>
          <w:tcPr>
            <w:tcW w:w="5386" w:type="dxa"/>
            <w:tcBorders>
              <w:top w:val="nil"/>
              <w:bottom w:val="nil"/>
            </w:tcBorders>
          </w:tcPr>
          <w:p w14:paraId="38B704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5387" w:type="dxa"/>
            <w:tcBorders>
              <w:top w:val="nil"/>
              <w:bottom w:val="nil"/>
            </w:tcBorders>
          </w:tcPr>
          <w:p w14:paraId="6044E6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2023" w:type="dxa"/>
            <w:vMerge/>
            <w:tcBorders>
              <w:right w:val="single" w:sz="12" w:space="0" w:color="auto"/>
            </w:tcBorders>
          </w:tcPr>
          <w:p w14:paraId="4E5B91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80A3C1" w14:textId="77777777">
        <w:tc>
          <w:tcPr>
            <w:tcW w:w="1384" w:type="dxa"/>
            <w:vMerge/>
            <w:tcBorders>
              <w:left w:val="single" w:sz="12" w:space="0" w:color="auto"/>
            </w:tcBorders>
          </w:tcPr>
          <w:p w14:paraId="5FD08E10" w14:textId="77777777" w:rsidR="003B3105" w:rsidRDefault="003B3105" w:rsidP="001E533B">
            <w:pPr>
              <w:rPr>
                <w:rFonts w:ascii="新細明體" w:eastAsia="新細明體" w:hAnsi="新細明體"/>
              </w:rPr>
            </w:pPr>
          </w:p>
        </w:tc>
        <w:tc>
          <w:tcPr>
            <w:tcW w:w="1276" w:type="dxa"/>
            <w:vMerge/>
          </w:tcPr>
          <w:p w14:paraId="5EE6D2F4" w14:textId="77777777" w:rsidR="003B3105" w:rsidRDefault="003B3105" w:rsidP="001E533B">
            <w:pPr>
              <w:rPr>
                <w:rFonts w:ascii="新細明體" w:eastAsia="新細明體" w:hAnsi="新細明體"/>
              </w:rPr>
            </w:pPr>
          </w:p>
        </w:tc>
        <w:tc>
          <w:tcPr>
            <w:tcW w:w="5386" w:type="dxa"/>
            <w:tcBorders>
              <w:top w:val="nil"/>
              <w:bottom w:val="nil"/>
            </w:tcBorders>
          </w:tcPr>
          <w:p w14:paraId="5837BDF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(三十三)公司營業處所或所屬網站不得違規從事媒介客戶買賣非屬興櫃之未上市（櫃）股票，亦不得與違法從事仲介未上市（櫃）股票交易之網站連結或策略聯盟，變相為其招攬客戶。</w:t>
            </w:r>
          </w:p>
        </w:tc>
        <w:tc>
          <w:tcPr>
            <w:tcW w:w="5387" w:type="dxa"/>
            <w:tcBorders>
              <w:top w:val="nil"/>
              <w:bottom w:val="nil"/>
            </w:tcBorders>
          </w:tcPr>
          <w:p w14:paraId="6D80B3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(三十三)公司營業處所或所屬網站不得違規從事媒介客戶買賣非屬興櫃之未上市（櫃）股票，亦不得與違法從事仲介未上市（櫃）股票交易之網站連結或策略聯盟，變相為其招攬客戶。</w:t>
            </w:r>
          </w:p>
        </w:tc>
        <w:tc>
          <w:tcPr>
            <w:tcW w:w="2023" w:type="dxa"/>
            <w:vMerge/>
            <w:tcBorders>
              <w:right w:val="single" w:sz="12" w:space="0" w:color="auto"/>
            </w:tcBorders>
          </w:tcPr>
          <w:p w14:paraId="7D8398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743017" w14:textId="77777777">
        <w:tc>
          <w:tcPr>
            <w:tcW w:w="1384" w:type="dxa"/>
            <w:vMerge/>
            <w:tcBorders>
              <w:left w:val="single" w:sz="12" w:space="0" w:color="auto"/>
            </w:tcBorders>
          </w:tcPr>
          <w:p w14:paraId="2E16FC0E" w14:textId="77777777" w:rsidR="003B3105" w:rsidRDefault="003B3105" w:rsidP="001E533B">
            <w:pPr>
              <w:rPr>
                <w:rFonts w:ascii="新細明體" w:eastAsia="新細明體" w:hAnsi="新細明體"/>
              </w:rPr>
            </w:pPr>
          </w:p>
        </w:tc>
        <w:tc>
          <w:tcPr>
            <w:tcW w:w="1276" w:type="dxa"/>
            <w:vMerge/>
          </w:tcPr>
          <w:p w14:paraId="42D06FDD" w14:textId="77777777" w:rsidR="003B3105" w:rsidRDefault="003B3105" w:rsidP="001E533B">
            <w:pPr>
              <w:rPr>
                <w:rFonts w:ascii="新細明體" w:eastAsia="新細明體" w:hAnsi="新細明體"/>
              </w:rPr>
            </w:pPr>
          </w:p>
        </w:tc>
        <w:tc>
          <w:tcPr>
            <w:tcW w:w="5386" w:type="dxa"/>
            <w:tcBorders>
              <w:top w:val="nil"/>
              <w:bottom w:val="nil"/>
            </w:tcBorders>
          </w:tcPr>
          <w:p w14:paraId="516055C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w:t>
            </w:r>
            <w:r>
              <w:rPr>
                <w:rFonts w:ascii="新細明體" w:eastAsia="新細明體" w:hAnsi="新細明體" w:cs="新細明體" w:hint="eastAsia"/>
              </w:rPr>
              <w:lastRenderedPageBreak/>
              <w:t>電話委託內容應再次複述並經客戶確認無誤後再予遞單，且電話應採錄音存證；對於代理人代理多數客戶委託買賣之行為，顯與代理人委託買賣意旨不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5387" w:type="dxa"/>
            <w:tcBorders>
              <w:top w:val="nil"/>
              <w:bottom w:val="nil"/>
            </w:tcBorders>
          </w:tcPr>
          <w:p w14:paraId="77C709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四)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w:t>
            </w:r>
            <w:r>
              <w:rPr>
                <w:rFonts w:ascii="新細明體" w:eastAsia="新細明體" w:hAnsi="新細明體" w:cs="新細明體" w:hint="eastAsia"/>
              </w:rPr>
              <w:lastRenderedPageBreak/>
              <w:t>電話委託內容應再次複述並經客戶確認無誤後再予遞單，且電話應採錄音存證；對於代理人代理多數客戶委託買賣之行為，顯與代理人委託買賣意旨不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2023" w:type="dxa"/>
            <w:vMerge/>
            <w:tcBorders>
              <w:right w:val="single" w:sz="12" w:space="0" w:color="auto"/>
            </w:tcBorders>
          </w:tcPr>
          <w:p w14:paraId="29D4E5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6A7F2B" w14:textId="77777777">
        <w:tc>
          <w:tcPr>
            <w:tcW w:w="1384" w:type="dxa"/>
            <w:vMerge/>
            <w:tcBorders>
              <w:left w:val="single" w:sz="12" w:space="0" w:color="auto"/>
            </w:tcBorders>
          </w:tcPr>
          <w:p w14:paraId="6F65DA17" w14:textId="77777777" w:rsidR="003B3105" w:rsidRDefault="003B3105" w:rsidP="001E533B">
            <w:pPr>
              <w:rPr>
                <w:rFonts w:ascii="新細明體" w:eastAsia="新細明體" w:hAnsi="新細明體"/>
              </w:rPr>
            </w:pPr>
          </w:p>
        </w:tc>
        <w:tc>
          <w:tcPr>
            <w:tcW w:w="1276" w:type="dxa"/>
            <w:vMerge/>
          </w:tcPr>
          <w:p w14:paraId="316C883C" w14:textId="77777777" w:rsidR="003B3105" w:rsidRDefault="003B3105" w:rsidP="001E533B">
            <w:pPr>
              <w:rPr>
                <w:rFonts w:ascii="新細明體" w:eastAsia="新細明體" w:hAnsi="新細明體"/>
              </w:rPr>
            </w:pPr>
          </w:p>
        </w:tc>
        <w:tc>
          <w:tcPr>
            <w:tcW w:w="5386" w:type="dxa"/>
            <w:tcBorders>
              <w:top w:val="nil"/>
              <w:bottom w:val="nil"/>
            </w:tcBorders>
          </w:tcPr>
          <w:p w14:paraId="2BB3449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(三十五)接受證券承銷商以「承銷商取得有價證券出售專戶」出售依證券交易法第七十一條規定所取得之上市(櫃)有價證券時，應善盡義務，不得接受其違反報價之委託。</w:t>
            </w:r>
          </w:p>
        </w:tc>
        <w:tc>
          <w:tcPr>
            <w:tcW w:w="5387" w:type="dxa"/>
            <w:tcBorders>
              <w:top w:val="nil"/>
              <w:bottom w:val="nil"/>
            </w:tcBorders>
          </w:tcPr>
          <w:p w14:paraId="175AD95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(三十五)接受證券承銷商以「承銷商取得有價證券出售專戶」出售依證券交易法第七十一條規定所取得之上市(櫃)有價證券時，應善盡義務，不得接受其違反報價之委託。</w:t>
            </w:r>
          </w:p>
        </w:tc>
        <w:tc>
          <w:tcPr>
            <w:tcW w:w="2023" w:type="dxa"/>
            <w:vMerge/>
            <w:tcBorders>
              <w:right w:val="single" w:sz="12" w:space="0" w:color="auto"/>
            </w:tcBorders>
          </w:tcPr>
          <w:p w14:paraId="135127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58E6A4" w14:textId="77777777">
        <w:tc>
          <w:tcPr>
            <w:tcW w:w="1384" w:type="dxa"/>
            <w:vMerge/>
            <w:tcBorders>
              <w:left w:val="single" w:sz="12" w:space="0" w:color="auto"/>
            </w:tcBorders>
          </w:tcPr>
          <w:p w14:paraId="2F9D5E21" w14:textId="77777777" w:rsidR="003B3105" w:rsidRDefault="003B3105" w:rsidP="001E533B">
            <w:pPr>
              <w:rPr>
                <w:rFonts w:ascii="新細明體" w:eastAsia="新細明體" w:hAnsi="新細明體"/>
              </w:rPr>
            </w:pPr>
          </w:p>
        </w:tc>
        <w:tc>
          <w:tcPr>
            <w:tcW w:w="1276" w:type="dxa"/>
            <w:vMerge/>
          </w:tcPr>
          <w:p w14:paraId="4330D2BB" w14:textId="77777777" w:rsidR="003B3105" w:rsidRDefault="003B3105" w:rsidP="001E533B">
            <w:pPr>
              <w:rPr>
                <w:rFonts w:ascii="新細明體" w:eastAsia="新細明體" w:hAnsi="新細明體"/>
              </w:rPr>
            </w:pPr>
          </w:p>
        </w:tc>
        <w:tc>
          <w:tcPr>
            <w:tcW w:w="5386" w:type="dxa"/>
            <w:tcBorders>
              <w:top w:val="nil"/>
              <w:bottom w:val="nil"/>
            </w:tcBorders>
          </w:tcPr>
          <w:p w14:paraId="4311395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(三十六)公司提供電腦程式設定交易條件下單功能者，對於程式及檔案之存取使用，應按權限區分並適當控管，以避免客戶下單資料被不當使用或更改。（網際網路交易適用）</w:t>
            </w:r>
          </w:p>
        </w:tc>
        <w:tc>
          <w:tcPr>
            <w:tcW w:w="5387" w:type="dxa"/>
            <w:tcBorders>
              <w:top w:val="nil"/>
              <w:bottom w:val="nil"/>
            </w:tcBorders>
          </w:tcPr>
          <w:p w14:paraId="06D247B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(三十六)公司提供電腦程式設定交易條件下單功能者，對於程式及檔案之存取使用，應按權限區分並適當控管，以避免客戶下單資料被不當使用或更改。（網際網路交易適用）</w:t>
            </w:r>
          </w:p>
        </w:tc>
        <w:tc>
          <w:tcPr>
            <w:tcW w:w="2023" w:type="dxa"/>
            <w:vMerge/>
            <w:tcBorders>
              <w:right w:val="single" w:sz="12" w:space="0" w:color="auto"/>
            </w:tcBorders>
          </w:tcPr>
          <w:p w14:paraId="4C1590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86449B" w14:textId="77777777">
        <w:tc>
          <w:tcPr>
            <w:tcW w:w="1384" w:type="dxa"/>
            <w:vMerge/>
            <w:tcBorders>
              <w:left w:val="single" w:sz="12" w:space="0" w:color="auto"/>
            </w:tcBorders>
          </w:tcPr>
          <w:p w14:paraId="57951019" w14:textId="77777777" w:rsidR="003B3105" w:rsidRDefault="003B3105" w:rsidP="001E533B">
            <w:pPr>
              <w:rPr>
                <w:rFonts w:ascii="新細明體" w:eastAsia="新細明體" w:hAnsi="新細明體"/>
              </w:rPr>
            </w:pPr>
          </w:p>
        </w:tc>
        <w:tc>
          <w:tcPr>
            <w:tcW w:w="1276" w:type="dxa"/>
            <w:vMerge/>
          </w:tcPr>
          <w:p w14:paraId="0C9765ED" w14:textId="77777777" w:rsidR="003B3105" w:rsidRDefault="003B3105" w:rsidP="001E533B">
            <w:pPr>
              <w:rPr>
                <w:rFonts w:ascii="新細明體" w:eastAsia="新細明體" w:hAnsi="新細明體"/>
              </w:rPr>
            </w:pPr>
          </w:p>
        </w:tc>
        <w:tc>
          <w:tcPr>
            <w:tcW w:w="5386" w:type="dxa"/>
            <w:tcBorders>
              <w:top w:val="nil"/>
              <w:bottom w:val="nil"/>
            </w:tcBorders>
          </w:tcPr>
          <w:p w14:paraId="272DFC9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(三十七)使用電腦程式設定交易條件下單功能之客戶應與公司簽訂契約，規範有關因線路傳輸等問題而導致無法順利執行前開條件下單功能之權利義務關係。（網際網路交易適用）</w:t>
            </w:r>
          </w:p>
        </w:tc>
        <w:tc>
          <w:tcPr>
            <w:tcW w:w="5387" w:type="dxa"/>
            <w:tcBorders>
              <w:top w:val="nil"/>
              <w:bottom w:val="nil"/>
            </w:tcBorders>
          </w:tcPr>
          <w:p w14:paraId="2A3F9E8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(三十七)使用電腦程式設定交易條件下單功能之客戶應與公司簽訂契約，規範有關因線路傳輸等問題而導致無法順利執行前開條件下單功能之權利義務關係。（網際網路交易適用）</w:t>
            </w:r>
          </w:p>
        </w:tc>
        <w:tc>
          <w:tcPr>
            <w:tcW w:w="2023" w:type="dxa"/>
            <w:vMerge/>
            <w:tcBorders>
              <w:right w:val="single" w:sz="12" w:space="0" w:color="auto"/>
            </w:tcBorders>
          </w:tcPr>
          <w:p w14:paraId="65B220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B11E21" w14:textId="77777777">
        <w:tc>
          <w:tcPr>
            <w:tcW w:w="1384" w:type="dxa"/>
            <w:vMerge/>
            <w:tcBorders>
              <w:left w:val="single" w:sz="12" w:space="0" w:color="auto"/>
            </w:tcBorders>
          </w:tcPr>
          <w:p w14:paraId="2302F33C" w14:textId="77777777" w:rsidR="003B3105" w:rsidRDefault="003B3105" w:rsidP="001E533B">
            <w:pPr>
              <w:rPr>
                <w:rFonts w:ascii="新細明體" w:eastAsia="新細明體" w:hAnsi="新細明體"/>
              </w:rPr>
            </w:pPr>
          </w:p>
        </w:tc>
        <w:tc>
          <w:tcPr>
            <w:tcW w:w="1276" w:type="dxa"/>
            <w:vMerge/>
          </w:tcPr>
          <w:p w14:paraId="433A0144" w14:textId="77777777" w:rsidR="003B3105" w:rsidRDefault="003B3105" w:rsidP="001E533B">
            <w:pPr>
              <w:rPr>
                <w:rFonts w:ascii="新細明體" w:eastAsia="新細明體" w:hAnsi="新細明體"/>
              </w:rPr>
            </w:pPr>
          </w:p>
        </w:tc>
        <w:tc>
          <w:tcPr>
            <w:tcW w:w="5386" w:type="dxa"/>
            <w:tcBorders>
              <w:top w:val="nil"/>
              <w:bottom w:val="nil"/>
            </w:tcBorders>
          </w:tcPr>
          <w:p w14:paraId="234F579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得以自己名義各開</w:t>
            </w:r>
            <w:r>
              <w:rPr>
                <w:rFonts w:ascii="新細明體" w:eastAsia="新細明體" w:hAnsi="新細明體" w:cs="新細明體" w:hint="eastAsia"/>
              </w:rPr>
              <w:lastRenderedPageBreak/>
              <w:t>立二個綜合交易帳戶，分別接受本國客戶及外國客戶（含華僑及外國人）買賣有價證券（但大陸地區客戶不得使用綜合交易帳戶），並依證交所及櫃檯買賣中心規定辦理相關事項（例如：綜合交易帳戶客戶有委託受任人進行交易者，應由該特定客戶或受任人出具授權書或聲明書，並載明相關資訊。但境外華僑及外國人、國內基金或同一集團所屬單位委託相同之受任人者，得免出具授權書而由該受任人出具聲明書）。</w:t>
            </w:r>
          </w:p>
        </w:tc>
        <w:tc>
          <w:tcPr>
            <w:tcW w:w="5387" w:type="dxa"/>
            <w:tcBorders>
              <w:top w:val="nil"/>
              <w:bottom w:val="nil"/>
            </w:tcBorders>
          </w:tcPr>
          <w:p w14:paraId="35DFCCB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(三十八)總</w:t>
            </w:r>
            <w:r>
              <w:rPr>
                <w:rFonts w:ascii="新細明體" w:eastAsia="新細明體" w:hAnsi="新細明體" w:cs="新細明體" w:hint="eastAsia"/>
                <w:b/>
                <w:color w:val="FF0000"/>
              </w:rPr>
              <w:t>分</w:t>
            </w:r>
            <w:r>
              <w:rPr>
                <w:rFonts w:ascii="新細明體" w:eastAsia="新細明體" w:hAnsi="新細明體" w:cs="新細明體" w:hint="eastAsia"/>
              </w:rPr>
              <w:t>公司得以自己名義各開立二個綜</w:t>
            </w:r>
            <w:r>
              <w:rPr>
                <w:rFonts w:ascii="新細明體" w:eastAsia="新細明體" w:hAnsi="新細明體" w:cs="新細明體" w:hint="eastAsia"/>
              </w:rPr>
              <w:lastRenderedPageBreak/>
              <w:t>合交易帳戶，分別接受本國客戶及外國客戶（含華僑及外國人）買賣有價證券（但大陸地區客戶不得使用綜合交易帳戶），並依證交所及櫃檯買賣中心規定辦理相關事項（例如：綜合交易帳戶客戶有委託受任人進行交易者，應由該特定客戶或受任人出具授權書或聲明書，並載明相關資訊。但境外華僑及外國人、國內基金或同一集團所屬單位委託相同之受任人者，得免出具授權書而由該受任人出具聲明書）。</w:t>
            </w:r>
          </w:p>
        </w:tc>
        <w:tc>
          <w:tcPr>
            <w:tcW w:w="2023" w:type="dxa"/>
            <w:vMerge/>
            <w:tcBorders>
              <w:right w:val="single" w:sz="12" w:space="0" w:color="auto"/>
            </w:tcBorders>
          </w:tcPr>
          <w:p w14:paraId="65BD5D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B64A49" w14:textId="77777777">
        <w:tc>
          <w:tcPr>
            <w:tcW w:w="1384" w:type="dxa"/>
            <w:vMerge/>
            <w:tcBorders>
              <w:left w:val="single" w:sz="12" w:space="0" w:color="auto"/>
            </w:tcBorders>
          </w:tcPr>
          <w:p w14:paraId="21DD9296" w14:textId="77777777" w:rsidR="003B3105" w:rsidRDefault="003B3105" w:rsidP="001E533B">
            <w:pPr>
              <w:rPr>
                <w:rFonts w:ascii="新細明體" w:eastAsia="新細明體" w:hAnsi="新細明體"/>
              </w:rPr>
            </w:pPr>
          </w:p>
        </w:tc>
        <w:tc>
          <w:tcPr>
            <w:tcW w:w="1276" w:type="dxa"/>
            <w:vMerge/>
          </w:tcPr>
          <w:p w14:paraId="4C4D399E" w14:textId="77777777" w:rsidR="003B3105" w:rsidRDefault="003B3105" w:rsidP="001E533B">
            <w:pPr>
              <w:rPr>
                <w:rFonts w:ascii="新細明體" w:eastAsia="新細明體" w:hAnsi="新細明體"/>
              </w:rPr>
            </w:pPr>
          </w:p>
        </w:tc>
        <w:tc>
          <w:tcPr>
            <w:tcW w:w="5386" w:type="dxa"/>
            <w:tcBorders>
              <w:top w:val="nil"/>
              <w:bottom w:val="nil"/>
            </w:tcBorders>
          </w:tcPr>
          <w:p w14:paraId="49A833E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(三十九)辦理電子式專屬線路下單業務：</w:t>
            </w:r>
          </w:p>
        </w:tc>
        <w:tc>
          <w:tcPr>
            <w:tcW w:w="5387" w:type="dxa"/>
            <w:tcBorders>
              <w:top w:val="nil"/>
              <w:bottom w:val="nil"/>
            </w:tcBorders>
          </w:tcPr>
          <w:p w14:paraId="54DCB0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(三十九)辦理電子式專屬線路下單業務：</w:t>
            </w:r>
          </w:p>
        </w:tc>
        <w:tc>
          <w:tcPr>
            <w:tcW w:w="2023" w:type="dxa"/>
            <w:vMerge/>
            <w:tcBorders>
              <w:right w:val="single" w:sz="12" w:space="0" w:color="auto"/>
            </w:tcBorders>
          </w:tcPr>
          <w:p w14:paraId="315FF7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659DE4" w14:textId="77777777">
        <w:tc>
          <w:tcPr>
            <w:tcW w:w="1384" w:type="dxa"/>
            <w:vMerge/>
            <w:tcBorders>
              <w:left w:val="single" w:sz="12" w:space="0" w:color="auto"/>
            </w:tcBorders>
          </w:tcPr>
          <w:p w14:paraId="714CA58A" w14:textId="77777777" w:rsidR="003B3105" w:rsidRDefault="003B3105" w:rsidP="001E533B">
            <w:pPr>
              <w:rPr>
                <w:rFonts w:ascii="新細明體" w:eastAsia="新細明體" w:hAnsi="新細明體"/>
              </w:rPr>
            </w:pPr>
          </w:p>
        </w:tc>
        <w:tc>
          <w:tcPr>
            <w:tcW w:w="1276" w:type="dxa"/>
            <w:vMerge/>
          </w:tcPr>
          <w:p w14:paraId="247782DD" w14:textId="77777777" w:rsidR="003B3105" w:rsidRDefault="003B3105" w:rsidP="001E533B">
            <w:pPr>
              <w:rPr>
                <w:rFonts w:ascii="新細明體" w:eastAsia="新細明體" w:hAnsi="新細明體"/>
              </w:rPr>
            </w:pPr>
          </w:p>
        </w:tc>
        <w:tc>
          <w:tcPr>
            <w:tcW w:w="5386" w:type="dxa"/>
            <w:tcBorders>
              <w:top w:val="nil"/>
              <w:bottom w:val="nil"/>
            </w:tcBorders>
          </w:tcPr>
          <w:p w14:paraId="17E429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1.應確實遵循證交所「營業細則」、櫃檯買賣中心「業務規則」、證交所「證券經紀商受託契約準則」、證交所及櫃檯買賣中心「證券經紀商辦理電子式專屬線路下單(Direct Market Access)作業要點」等證券市場相關規定，並落實資通安全與風險管控，不得有影響證券集中交易市場及櫃檯買賣市場秩序與效率之行為。</w:t>
            </w:r>
          </w:p>
        </w:tc>
        <w:tc>
          <w:tcPr>
            <w:tcW w:w="5387" w:type="dxa"/>
            <w:tcBorders>
              <w:top w:val="nil"/>
              <w:bottom w:val="nil"/>
            </w:tcBorders>
          </w:tcPr>
          <w:p w14:paraId="270AD6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1.應確實遵循證交所「營業細則」、櫃檯買賣中心「業務規則」、證交所「證券經紀商受託契約準則」、證交所及櫃檯買賣中心「證券經紀商辦理電子式專屬線路下單(Direct Market Access)作業要點」等證券市場相關規定，並落實資通安全與風險管控，不得有影響證券集中交易市場及櫃檯買賣市場秩序與效率之行為。</w:t>
            </w:r>
          </w:p>
        </w:tc>
        <w:tc>
          <w:tcPr>
            <w:tcW w:w="2023" w:type="dxa"/>
            <w:vMerge/>
            <w:tcBorders>
              <w:right w:val="single" w:sz="12" w:space="0" w:color="auto"/>
            </w:tcBorders>
          </w:tcPr>
          <w:p w14:paraId="65DFE5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A5F540" w14:textId="77777777">
        <w:tc>
          <w:tcPr>
            <w:tcW w:w="1384" w:type="dxa"/>
            <w:vMerge/>
            <w:tcBorders>
              <w:left w:val="single" w:sz="12" w:space="0" w:color="auto"/>
            </w:tcBorders>
          </w:tcPr>
          <w:p w14:paraId="2A67268C" w14:textId="77777777" w:rsidR="003B3105" w:rsidRDefault="003B3105" w:rsidP="001E533B">
            <w:pPr>
              <w:rPr>
                <w:rFonts w:ascii="新細明體" w:eastAsia="新細明體" w:hAnsi="新細明體"/>
              </w:rPr>
            </w:pPr>
          </w:p>
        </w:tc>
        <w:tc>
          <w:tcPr>
            <w:tcW w:w="1276" w:type="dxa"/>
            <w:vMerge/>
          </w:tcPr>
          <w:p w14:paraId="523E7FDB" w14:textId="77777777" w:rsidR="003B3105" w:rsidRDefault="003B3105" w:rsidP="001E533B">
            <w:pPr>
              <w:rPr>
                <w:rFonts w:ascii="新細明體" w:eastAsia="新細明體" w:hAnsi="新細明體"/>
              </w:rPr>
            </w:pPr>
          </w:p>
        </w:tc>
        <w:tc>
          <w:tcPr>
            <w:tcW w:w="5386" w:type="dxa"/>
            <w:tcBorders>
              <w:top w:val="nil"/>
              <w:bottom w:val="nil"/>
            </w:tcBorders>
          </w:tcPr>
          <w:p w14:paraId="42BBDA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w:t>
            </w:r>
            <w:r>
              <w:rPr>
                <w:rFonts w:ascii="新細明體" w:eastAsia="新細明體" w:hAnsi="新細明體" w:cs="新細明體" w:hint="eastAsia"/>
              </w:rPr>
              <w:lastRenderedPageBreak/>
              <w:t>客戶身分及客戶間關聯性之管理機制(註：請公司自訂)並落實執行。</w:t>
            </w:r>
          </w:p>
        </w:tc>
        <w:tc>
          <w:tcPr>
            <w:tcW w:w="5387" w:type="dxa"/>
            <w:tcBorders>
              <w:top w:val="nil"/>
              <w:bottom w:val="nil"/>
            </w:tcBorders>
          </w:tcPr>
          <w:p w14:paraId="3BC71B4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w:t>
            </w:r>
            <w:r>
              <w:rPr>
                <w:rFonts w:ascii="新細明體" w:eastAsia="新細明體" w:hAnsi="新細明體" w:cs="新細明體" w:hint="eastAsia"/>
              </w:rPr>
              <w:lastRenderedPageBreak/>
              <w:t>客戶身分及客戶間關聯性之管理機制(註：請公司自訂)並落實執行。</w:t>
            </w:r>
          </w:p>
        </w:tc>
        <w:tc>
          <w:tcPr>
            <w:tcW w:w="2023" w:type="dxa"/>
            <w:vMerge/>
            <w:tcBorders>
              <w:right w:val="single" w:sz="12" w:space="0" w:color="auto"/>
            </w:tcBorders>
          </w:tcPr>
          <w:p w14:paraId="606D92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C74379" w14:textId="77777777">
        <w:tc>
          <w:tcPr>
            <w:tcW w:w="1384" w:type="dxa"/>
            <w:vMerge/>
            <w:tcBorders>
              <w:left w:val="single" w:sz="12" w:space="0" w:color="auto"/>
            </w:tcBorders>
          </w:tcPr>
          <w:p w14:paraId="07BE813A" w14:textId="77777777" w:rsidR="003B3105" w:rsidRDefault="003B3105" w:rsidP="001E533B">
            <w:pPr>
              <w:rPr>
                <w:rFonts w:ascii="新細明體" w:eastAsia="新細明體" w:hAnsi="新細明體"/>
              </w:rPr>
            </w:pPr>
          </w:p>
        </w:tc>
        <w:tc>
          <w:tcPr>
            <w:tcW w:w="1276" w:type="dxa"/>
            <w:vMerge/>
          </w:tcPr>
          <w:p w14:paraId="327053E8" w14:textId="77777777" w:rsidR="003B3105" w:rsidRDefault="003B3105" w:rsidP="001E533B">
            <w:pPr>
              <w:rPr>
                <w:rFonts w:ascii="新細明體" w:eastAsia="新細明體" w:hAnsi="新細明體"/>
              </w:rPr>
            </w:pPr>
          </w:p>
        </w:tc>
        <w:tc>
          <w:tcPr>
            <w:tcW w:w="5386" w:type="dxa"/>
            <w:tcBorders>
              <w:top w:val="nil"/>
              <w:bottom w:val="nil"/>
            </w:tcBorders>
          </w:tcPr>
          <w:p w14:paraId="1A4FA9D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(四十)高風險股票之控管作業：</w:t>
            </w:r>
          </w:p>
        </w:tc>
        <w:tc>
          <w:tcPr>
            <w:tcW w:w="5387" w:type="dxa"/>
            <w:tcBorders>
              <w:top w:val="nil"/>
              <w:bottom w:val="nil"/>
            </w:tcBorders>
          </w:tcPr>
          <w:p w14:paraId="7D33B70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(四十)高風險股票之控管作業：</w:t>
            </w:r>
          </w:p>
        </w:tc>
        <w:tc>
          <w:tcPr>
            <w:tcW w:w="2023" w:type="dxa"/>
            <w:vMerge/>
            <w:tcBorders>
              <w:right w:val="single" w:sz="12" w:space="0" w:color="auto"/>
            </w:tcBorders>
          </w:tcPr>
          <w:p w14:paraId="4400A5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3EFFEC" w14:textId="77777777">
        <w:tc>
          <w:tcPr>
            <w:tcW w:w="1384" w:type="dxa"/>
            <w:vMerge/>
            <w:tcBorders>
              <w:left w:val="single" w:sz="12" w:space="0" w:color="auto"/>
            </w:tcBorders>
          </w:tcPr>
          <w:p w14:paraId="62745B90" w14:textId="77777777" w:rsidR="003B3105" w:rsidRDefault="003B3105" w:rsidP="001E533B">
            <w:pPr>
              <w:rPr>
                <w:rFonts w:ascii="新細明體" w:eastAsia="新細明體" w:hAnsi="新細明體"/>
              </w:rPr>
            </w:pPr>
          </w:p>
        </w:tc>
        <w:tc>
          <w:tcPr>
            <w:tcW w:w="1276" w:type="dxa"/>
            <w:vMerge/>
          </w:tcPr>
          <w:p w14:paraId="24E97EA7" w14:textId="77777777" w:rsidR="003B3105" w:rsidRDefault="003B3105" w:rsidP="001E533B">
            <w:pPr>
              <w:rPr>
                <w:rFonts w:ascii="新細明體" w:eastAsia="新細明體" w:hAnsi="新細明體"/>
              </w:rPr>
            </w:pPr>
          </w:p>
        </w:tc>
        <w:tc>
          <w:tcPr>
            <w:tcW w:w="5386" w:type="dxa"/>
            <w:tcBorders>
              <w:top w:val="nil"/>
              <w:bottom w:val="nil"/>
            </w:tcBorders>
          </w:tcPr>
          <w:p w14:paraId="2CAC90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除應對證交所及櫃檯買賣中心所公告之處置股票及變更交易方法股票等列入高風險股票進行控管外，另亦應依公司經營業務之規模、性質及所能承受之風險容忍度，並參酌個股相關風險因子（如市場重大訊息、營收與獲利能力、股價異常波動情形、融資與融券使用比率、個股周轉率、買賣集中度、外部信用評等或內部模型等），建立高風險股票之篩選指標、質化與量化之篩選標準及降低風險之控管措施，篩選出高風險股票進行分級控管，並應訂定檢視週期，定期進行檢視及更新作業。</w:t>
            </w:r>
          </w:p>
        </w:tc>
        <w:tc>
          <w:tcPr>
            <w:tcW w:w="5387" w:type="dxa"/>
            <w:tcBorders>
              <w:top w:val="nil"/>
              <w:bottom w:val="nil"/>
            </w:tcBorders>
          </w:tcPr>
          <w:p w14:paraId="7326E1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除應對證交所及櫃檯買賣中心所公告之處置股票及變更交易方法股票等列入高風險股票進行控管外，另亦應依公司經營業務之規模、性質及所能承受之風險容忍度，並參酌個股相關風險因子（如市場重大訊息、營收與獲利能力、股價異常波動情形、融資與融券使用比率、個股周轉率、買賣集中度、外部信用評等或內部模型等），建立高風險股票之篩選指標、質化與量化之篩選標準及降低風險之控管措施，篩選出高風險股票進行分級控管，並應訂定檢視週期，定期進行檢視及更新作業。</w:t>
            </w:r>
          </w:p>
        </w:tc>
        <w:tc>
          <w:tcPr>
            <w:tcW w:w="2023" w:type="dxa"/>
            <w:vMerge/>
            <w:tcBorders>
              <w:right w:val="single" w:sz="12" w:space="0" w:color="auto"/>
            </w:tcBorders>
          </w:tcPr>
          <w:p w14:paraId="359E69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5E98F4" w14:textId="77777777">
        <w:tc>
          <w:tcPr>
            <w:tcW w:w="1384" w:type="dxa"/>
            <w:vMerge/>
            <w:tcBorders>
              <w:left w:val="single" w:sz="12" w:space="0" w:color="auto"/>
            </w:tcBorders>
          </w:tcPr>
          <w:p w14:paraId="20ECB03E" w14:textId="77777777" w:rsidR="003B3105" w:rsidRDefault="003B3105" w:rsidP="001E533B">
            <w:pPr>
              <w:rPr>
                <w:rFonts w:ascii="新細明體" w:eastAsia="新細明體" w:hAnsi="新細明體"/>
              </w:rPr>
            </w:pPr>
          </w:p>
        </w:tc>
        <w:tc>
          <w:tcPr>
            <w:tcW w:w="1276" w:type="dxa"/>
            <w:vMerge/>
          </w:tcPr>
          <w:p w14:paraId="3331F425" w14:textId="77777777" w:rsidR="003B3105" w:rsidRDefault="003B3105" w:rsidP="001E533B">
            <w:pPr>
              <w:rPr>
                <w:rFonts w:ascii="新細明體" w:eastAsia="新細明體" w:hAnsi="新細明體"/>
              </w:rPr>
            </w:pPr>
          </w:p>
        </w:tc>
        <w:tc>
          <w:tcPr>
            <w:tcW w:w="5386" w:type="dxa"/>
            <w:tcBorders>
              <w:top w:val="nil"/>
              <w:bottom w:val="nil"/>
            </w:tcBorders>
          </w:tcPr>
          <w:p w14:paraId="1E6FFD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2.公司對於高風險股票之控管應訂定相關之作業規定，並經總經理（含）以上層級核決，其修正時亦同。</w:t>
            </w:r>
          </w:p>
        </w:tc>
        <w:tc>
          <w:tcPr>
            <w:tcW w:w="5387" w:type="dxa"/>
            <w:tcBorders>
              <w:top w:val="nil"/>
              <w:bottom w:val="nil"/>
            </w:tcBorders>
          </w:tcPr>
          <w:p w14:paraId="494C55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2.公司對於高風險股票之控管應訂定相關之作業規定，並經總經理（含）以上層級核決，其修正時亦同。</w:t>
            </w:r>
          </w:p>
        </w:tc>
        <w:tc>
          <w:tcPr>
            <w:tcW w:w="2023" w:type="dxa"/>
            <w:vMerge/>
            <w:tcBorders>
              <w:right w:val="single" w:sz="12" w:space="0" w:color="auto"/>
            </w:tcBorders>
          </w:tcPr>
          <w:p w14:paraId="108892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7A76CE" w14:textId="77777777">
        <w:tc>
          <w:tcPr>
            <w:tcW w:w="1384" w:type="dxa"/>
            <w:vMerge/>
            <w:tcBorders>
              <w:left w:val="single" w:sz="12" w:space="0" w:color="auto"/>
            </w:tcBorders>
          </w:tcPr>
          <w:p w14:paraId="621EB955" w14:textId="77777777" w:rsidR="003B3105" w:rsidRDefault="003B3105" w:rsidP="001E533B">
            <w:pPr>
              <w:rPr>
                <w:rFonts w:ascii="新細明體" w:eastAsia="新細明體" w:hAnsi="新細明體"/>
              </w:rPr>
            </w:pPr>
          </w:p>
        </w:tc>
        <w:tc>
          <w:tcPr>
            <w:tcW w:w="1276" w:type="dxa"/>
            <w:vMerge/>
          </w:tcPr>
          <w:p w14:paraId="4FB8D2E9" w14:textId="77777777" w:rsidR="003B3105" w:rsidRDefault="003B3105" w:rsidP="001E533B">
            <w:pPr>
              <w:rPr>
                <w:rFonts w:ascii="新細明體" w:eastAsia="新細明體" w:hAnsi="新細明體"/>
              </w:rPr>
            </w:pPr>
          </w:p>
        </w:tc>
        <w:tc>
          <w:tcPr>
            <w:tcW w:w="5386" w:type="dxa"/>
            <w:tcBorders>
              <w:top w:val="nil"/>
              <w:bottom w:val="nil"/>
            </w:tcBorders>
          </w:tcPr>
          <w:p w14:paraId="008017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篩選為高風險之股票應呈報權責主管核定後，由指定之執行控管之單位（個人）或小組通知經紀部門、內部稽核單位或其他相關單位，並將該等標的輸入電腦系統設定或其他適當方式依採取之降低風險措施執行控管。</w:t>
            </w:r>
          </w:p>
        </w:tc>
        <w:tc>
          <w:tcPr>
            <w:tcW w:w="5387" w:type="dxa"/>
            <w:tcBorders>
              <w:top w:val="nil"/>
              <w:bottom w:val="nil"/>
            </w:tcBorders>
          </w:tcPr>
          <w:p w14:paraId="4D030D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篩選為高風險之股票應呈報權責主管核定後，由指定之執行控管之單位（個人）或小組通知經紀部門、內部稽核單位或其他相關單位，並將該等標的輸入電腦系統設定或其他適當方式依採取之降低風險措施執行控管。</w:t>
            </w:r>
          </w:p>
        </w:tc>
        <w:tc>
          <w:tcPr>
            <w:tcW w:w="2023" w:type="dxa"/>
            <w:vMerge/>
            <w:tcBorders>
              <w:right w:val="single" w:sz="12" w:space="0" w:color="auto"/>
            </w:tcBorders>
          </w:tcPr>
          <w:p w14:paraId="093709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B6B987" w14:textId="77777777">
        <w:tc>
          <w:tcPr>
            <w:tcW w:w="1384" w:type="dxa"/>
            <w:vMerge/>
            <w:tcBorders>
              <w:left w:val="single" w:sz="12" w:space="0" w:color="auto"/>
            </w:tcBorders>
          </w:tcPr>
          <w:p w14:paraId="382C9195" w14:textId="77777777" w:rsidR="003B3105" w:rsidRDefault="003B3105" w:rsidP="001E533B">
            <w:pPr>
              <w:rPr>
                <w:rFonts w:ascii="新細明體" w:eastAsia="新細明體" w:hAnsi="新細明體"/>
              </w:rPr>
            </w:pPr>
          </w:p>
        </w:tc>
        <w:tc>
          <w:tcPr>
            <w:tcW w:w="1276" w:type="dxa"/>
            <w:vMerge/>
          </w:tcPr>
          <w:p w14:paraId="20D9C551" w14:textId="77777777" w:rsidR="003B3105" w:rsidRDefault="003B3105" w:rsidP="001E533B">
            <w:pPr>
              <w:rPr>
                <w:rFonts w:ascii="新細明體" w:eastAsia="新細明體" w:hAnsi="新細明體"/>
              </w:rPr>
            </w:pPr>
          </w:p>
        </w:tc>
        <w:tc>
          <w:tcPr>
            <w:tcW w:w="5386" w:type="dxa"/>
            <w:tcBorders>
              <w:top w:val="nil"/>
              <w:bottom w:val="nil"/>
            </w:tcBorders>
          </w:tcPr>
          <w:p w14:paraId="5D7373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4.經紀部門之主管及營業人員應依執行控管之單位（個人）或小組通知之控管規定</w:t>
            </w:r>
            <w:r>
              <w:rPr>
                <w:rFonts w:ascii="新細明體" w:eastAsia="新細明體" w:hAnsi="新細明體" w:cs="新細明體" w:hint="eastAsia"/>
              </w:rPr>
              <w:lastRenderedPageBreak/>
              <w:t>落實執行受託買賣作業。</w:t>
            </w:r>
          </w:p>
        </w:tc>
        <w:tc>
          <w:tcPr>
            <w:tcW w:w="5387" w:type="dxa"/>
            <w:tcBorders>
              <w:top w:val="nil"/>
              <w:bottom w:val="nil"/>
            </w:tcBorders>
          </w:tcPr>
          <w:p w14:paraId="311507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4.經紀部門之主管及營業人員應依執行控管之單位（個人）或小組通知之控管規定</w:t>
            </w:r>
            <w:r>
              <w:rPr>
                <w:rFonts w:ascii="新細明體" w:eastAsia="新細明體" w:hAnsi="新細明體" w:cs="新細明體" w:hint="eastAsia"/>
              </w:rPr>
              <w:lastRenderedPageBreak/>
              <w:t>落實執行受託買賣作業。</w:t>
            </w:r>
          </w:p>
        </w:tc>
        <w:tc>
          <w:tcPr>
            <w:tcW w:w="2023" w:type="dxa"/>
            <w:vMerge/>
            <w:tcBorders>
              <w:right w:val="single" w:sz="12" w:space="0" w:color="auto"/>
            </w:tcBorders>
          </w:tcPr>
          <w:p w14:paraId="0EC1B7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2007C8" w14:textId="77777777">
        <w:tc>
          <w:tcPr>
            <w:tcW w:w="1384" w:type="dxa"/>
            <w:vMerge/>
            <w:tcBorders>
              <w:left w:val="single" w:sz="12" w:space="0" w:color="auto"/>
            </w:tcBorders>
          </w:tcPr>
          <w:p w14:paraId="54F844A3" w14:textId="77777777" w:rsidR="003B3105" w:rsidRDefault="003B3105" w:rsidP="001E533B">
            <w:pPr>
              <w:rPr>
                <w:rFonts w:ascii="新細明體" w:eastAsia="新細明體" w:hAnsi="新細明體"/>
              </w:rPr>
            </w:pPr>
          </w:p>
        </w:tc>
        <w:tc>
          <w:tcPr>
            <w:tcW w:w="1276" w:type="dxa"/>
            <w:vMerge/>
          </w:tcPr>
          <w:p w14:paraId="536DFDD3" w14:textId="77777777" w:rsidR="003B3105" w:rsidRDefault="003B3105" w:rsidP="001E533B">
            <w:pPr>
              <w:rPr>
                <w:rFonts w:ascii="新細明體" w:eastAsia="新細明體" w:hAnsi="新細明體"/>
              </w:rPr>
            </w:pPr>
          </w:p>
        </w:tc>
        <w:tc>
          <w:tcPr>
            <w:tcW w:w="5386" w:type="dxa"/>
            <w:tcBorders>
              <w:top w:val="nil"/>
              <w:bottom w:val="nil"/>
            </w:tcBorders>
          </w:tcPr>
          <w:p w14:paraId="3DAF74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若遇有市場緊急重大事件或個股重大訊息，導致個股具有高度風險時，執行控管之單位（個人）或小組應先將該訊息通知經紀部門、內部稽核單位或其他相關單位注意，並填載相關緊急事件通報表，說明風險狀況及採取之處置措施，呈報權責主管核定後執行控管。</w:t>
            </w:r>
          </w:p>
        </w:tc>
        <w:tc>
          <w:tcPr>
            <w:tcW w:w="5387" w:type="dxa"/>
            <w:tcBorders>
              <w:top w:val="nil"/>
              <w:bottom w:val="nil"/>
            </w:tcBorders>
          </w:tcPr>
          <w:p w14:paraId="0F274E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若遇有市場緊急重大事件或個股重大訊息，導致個股具有高度風險時，執行控管之單位（個人）或小組應先將該訊息通知經紀部門、內部稽核單位或其他相關單位注意，並填載相關緊急事件通報表，說明風險狀況及採取之處置措施，呈報權責主管核定後執行控管。</w:t>
            </w:r>
          </w:p>
        </w:tc>
        <w:tc>
          <w:tcPr>
            <w:tcW w:w="2023" w:type="dxa"/>
            <w:vMerge/>
            <w:tcBorders>
              <w:right w:val="single" w:sz="12" w:space="0" w:color="auto"/>
            </w:tcBorders>
          </w:tcPr>
          <w:p w14:paraId="7207AA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C96ACF" w14:textId="77777777">
        <w:tc>
          <w:tcPr>
            <w:tcW w:w="1384" w:type="dxa"/>
            <w:vMerge/>
            <w:tcBorders>
              <w:left w:val="single" w:sz="12" w:space="0" w:color="auto"/>
            </w:tcBorders>
          </w:tcPr>
          <w:p w14:paraId="06D75482" w14:textId="77777777" w:rsidR="003B3105" w:rsidRDefault="003B3105" w:rsidP="001E533B">
            <w:pPr>
              <w:rPr>
                <w:rFonts w:ascii="新細明體" w:eastAsia="新細明體" w:hAnsi="新細明體"/>
              </w:rPr>
            </w:pPr>
          </w:p>
        </w:tc>
        <w:tc>
          <w:tcPr>
            <w:tcW w:w="1276" w:type="dxa"/>
            <w:vMerge/>
          </w:tcPr>
          <w:p w14:paraId="0DD1B255" w14:textId="77777777" w:rsidR="003B3105" w:rsidRDefault="003B3105" w:rsidP="001E533B">
            <w:pPr>
              <w:rPr>
                <w:rFonts w:ascii="新細明體" w:eastAsia="新細明體" w:hAnsi="新細明體"/>
              </w:rPr>
            </w:pPr>
          </w:p>
        </w:tc>
        <w:tc>
          <w:tcPr>
            <w:tcW w:w="5386" w:type="dxa"/>
            <w:tcBorders>
              <w:top w:val="nil"/>
              <w:bottom w:val="nil"/>
            </w:tcBorders>
          </w:tcPr>
          <w:p w14:paraId="40B315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6.公司對於高風險股票之控管，應避免有例外管理情事，如有必要時，權責主管應於例外管理前，審慎評估客戶之信用狀況、資力變化、交易損益及其他風險狀況，據以判斷是否核准。</w:t>
            </w:r>
          </w:p>
        </w:tc>
        <w:tc>
          <w:tcPr>
            <w:tcW w:w="5387" w:type="dxa"/>
            <w:tcBorders>
              <w:top w:val="nil"/>
              <w:bottom w:val="nil"/>
            </w:tcBorders>
          </w:tcPr>
          <w:p w14:paraId="3154AE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6.公司對於高風險股票之控管，應避免有例外管理情事，如有必要時，權責主管應於例外管理前，審慎評估客戶之信用狀況、資力變化、交易損益及其他風險狀況，據以判斷是否核准。</w:t>
            </w:r>
          </w:p>
        </w:tc>
        <w:tc>
          <w:tcPr>
            <w:tcW w:w="2023" w:type="dxa"/>
            <w:vMerge/>
            <w:tcBorders>
              <w:right w:val="single" w:sz="12" w:space="0" w:color="auto"/>
            </w:tcBorders>
          </w:tcPr>
          <w:p w14:paraId="18C0C8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25B5A3" w14:textId="77777777">
        <w:tc>
          <w:tcPr>
            <w:tcW w:w="1384" w:type="dxa"/>
            <w:vMerge/>
            <w:tcBorders>
              <w:left w:val="single" w:sz="12" w:space="0" w:color="auto"/>
            </w:tcBorders>
          </w:tcPr>
          <w:p w14:paraId="6813471C" w14:textId="77777777" w:rsidR="003B3105" w:rsidRDefault="003B3105" w:rsidP="001E533B">
            <w:pPr>
              <w:rPr>
                <w:rFonts w:ascii="新細明體" w:eastAsia="新細明體" w:hAnsi="新細明體"/>
              </w:rPr>
            </w:pPr>
          </w:p>
        </w:tc>
        <w:tc>
          <w:tcPr>
            <w:tcW w:w="1276" w:type="dxa"/>
            <w:vMerge/>
          </w:tcPr>
          <w:p w14:paraId="469BFB0D" w14:textId="77777777" w:rsidR="003B3105" w:rsidRDefault="003B3105" w:rsidP="001E533B">
            <w:pPr>
              <w:rPr>
                <w:rFonts w:ascii="新細明體" w:eastAsia="新細明體" w:hAnsi="新細明體"/>
              </w:rPr>
            </w:pPr>
          </w:p>
        </w:tc>
        <w:tc>
          <w:tcPr>
            <w:tcW w:w="5386" w:type="dxa"/>
            <w:tcBorders>
              <w:top w:val="nil"/>
              <w:bottom w:val="nil"/>
            </w:tcBorders>
          </w:tcPr>
          <w:p w14:paraId="68FB018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公司及所屬人員不得為獲取投機利益之目的，以職務上所知悉之消息，從事上市櫃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5387" w:type="dxa"/>
            <w:tcBorders>
              <w:top w:val="nil"/>
              <w:bottom w:val="nil"/>
            </w:tcBorders>
          </w:tcPr>
          <w:p w14:paraId="00778AA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公司及所屬人員不得為獲取投機利益之目的，以職務上所知悉之消息，從事上市櫃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2023" w:type="dxa"/>
            <w:vMerge/>
            <w:tcBorders>
              <w:right w:val="single" w:sz="12" w:space="0" w:color="auto"/>
            </w:tcBorders>
          </w:tcPr>
          <w:p w14:paraId="050E78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F06B7E" w14:textId="77777777">
        <w:tc>
          <w:tcPr>
            <w:tcW w:w="1384" w:type="dxa"/>
            <w:vMerge/>
            <w:tcBorders>
              <w:left w:val="single" w:sz="12" w:space="0" w:color="auto"/>
            </w:tcBorders>
          </w:tcPr>
          <w:p w14:paraId="1CB5F847" w14:textId="77777777" w:rsidR="003B3105" w:rsidRDefault="003B3105" w:rsidP="001E533B">
            <w:pPr>
              <w:rPr>
                <w:rFonts w:ascii="新細明體" w:eastAsia="新細明體" w:hAnsi="新細明體"/>
              </w:rPr>
            </w:pPr>
          </w:p>
        </w:tc>
        <w:tc>
          <w:tcPr>
            <w:tcW w:w="1276" w:type="dxa"/>
            <w:vMerge/>
          </w:tcPr>
          <w:p w14:paraId="0C028FFF" w14:textId="77777777" w:rsidR="003B3105" w:rsidRDefault="003B3105" w:rsidP="001E533B">
            <w:pPr>
              <w:rPr>
                <w:rFonts w:ascii="新細明體" w:eastAsia="新細明體" w:hAnsi="新細明體"/>
              </w:rPr>
            </w:pPr>
          </w:p>
        </w:tc>
        <w:tc>
          <w:tcPr>
            <w:tcW w:w="5386" w:type="dxa"/>
            <w:tcBorders>
              <w:top w:val="nil"/>
              <w:bottom w:val="nil"/>
            </w:tcBorders>
          </w:tcPr>
          <w:p w14:paraId="595AEB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(四十二)公司負責人、各級業務人員及其他員工於接受客戶委託買賣有價證券或從事證券業務時，不得違反「證券商負責人與業務人員管理規則」第十八條之規定。</w:t>
            </w:r>
          </w:p>
        </w:tc>
        <w:tc>
          <w:tcPr>
            <w:tcW w:w="5387" w:type="dxa"/>
            <w:tcBorders>
              <w:top w:val="nil"/>
              <w:bottom w:val="nil"/>
            </w:tcBorders>
          </w:tcPr>
          <w:p w14:paraId="1000BAC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(四十二)公司負責人、各級業務人員及其他員工於接受客戶委託買賣有價證券或從事證券業務時，不得違反「證券商負責人與業務人員管理規則」第十八條之規定。</w:t>
            </w:r>
          </w:p>
        </w:tc>
        <w:tc>
          <w:tcPr>
            <w:tcW w:w="2023" w:type="dxa"/>
            <w:vMerge/>
            <w:tcBorders>
              <w:right w:val="single" w:sz="12" w:space="0" w:color="auto"/>
            </w:tcBorders>
          </w:tcPr>
          <w:p w14:paraId="0709BE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9D33C7" w14:textId="77777777">
        <w:tc>
          <w:tcPr>
            <w:tcW w:w="1384" w:type="dxa"/>
            <w:vMerge/>
            <w:tcBorders>
              <w:left w:val="single" w:sz="12" w:space="0" w:color="auto"/>
            </w:tcBorders>
          </w:tcPr>
          <w:p w14:paraId="71587F1C" w14:textId="77777777" w:rsidR="003B3105" w:rsidRDefault="003B3105" w:rsidP="001E533B">
            <w:pPr>
              <w:rPr>
                <w:rFonts w:ascii="新細明體" w:eastAsia="新細明體" w:hAnsi="新細明體"/>
              </w:rPr>
            </w:pPr>
          </w:p>
        </w:tc>
        <w:tc>
          <w:tcPr>
            <w:tcW w:w="1276" w:type="dxa"/>
            <w:vMerge/>
          </w:tcPr>
          <w:p w14:paraId="6B115A2B" w14:textId="77777777" w:rsidR="003B3105" w:rsidRDefault="003B3105" w:rsidP="001E533B">
            <w:pPr>
              <w:rPr>
                <w:rFonts w:ascii="新細明體" w:eastAsia="新細明體" w:hAnsi="新細明體"/>
              </w:rPr>
            </w:pPr>
          </w:p>
        </w:tc>
        <w:tc>
          <w:tcPr>
            <w:tcW w:w="5386" w:type="dxa"/>
            <w:tcBorders>
              <w:top w:val="nil"/>
              <w:bottom w:val="nil"/>
            </w:tcBorders>
          </w:tcPr>
          <w:p w14:paraId="13BD0D5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(四十三)客戶於公司總、分支機構任一營業據點完成開戶徵信，經公司實施合適之監控措施，並符合證交所104年5月14日臺證輔字第1040008533號函規定後，得於總、分支機構任一營業據點委託交易。</w:t>
            </w:r>
          </w:p>
        </w:tc>
        <w:tc>
          <w:tcPr>
            <w:tcW w:w="5387" w:type="dxa"/>
            <w:tcBorders>
              <w:top w:val="nil"/>
              <w:bottom w:val="nil"/>
            </w:tcBorders>
          </w:tcPr>
          <w:p w14:paraId="56B5CE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(四十三)客戶於公司總、分支機構任一營業據點完成開戶徵信，經公司實施合適之監控措施，並符合證交所104年5月14日臺證輔字第1040008533號函規定後，得於總、分支機構任一營業據點委託交易。</w:t>
            </w:r>
          </w:p>
        </w:tc>
        <w:tc>
          <w:tcPr>
            <w:tcW w:w="2023" w:type="dxa"/>
            <w:vMerge/>
            <w:tcBorders>
              <w:right w:val="single" w:sz="12" w:space="0" w:color="auto"/>
            </w:tcBorders>
          </w:tcPr>
          <w:p w14:paraId="17B43D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D861E1" w14:textId="77777777">
        <w:tc>
          <w:tcPr>
            <w:tcW w:w="1384" w:type="dxa"/>
            <w:vMerge/>
            <w:tcBorders>
              <w:left w:val="single" w:sz="12" w:space="0" w:color="auto"/>
            </w:tcBorders>
          </w:tcPr>
          <w:p w14:paraId="41D86077" w14:textId="77777777" w:rsidR="003B3105" w:rsidRDefault="003B3105" w:rsidP="001E533B">
            <w:pPr>
              <w:rPr>
                <w:rFonts w:ascii="新細明體" w:eastAsia="新細明體" w:hAnsi="新細明體"/>
              </w:rPr>
            </w:pPr>
          </w:p>
        </w:tc>
        <w:tc>
          <w:tcPr>
            <w:tcW w:w="1276" w:type="dxa"/>
            <w:vMerge/>
          </w:tcPr>
          <w:p w14:paraId="24F982C9" w14:textId="77777777" w:rsidR="003B3105" w:rsidRDefault="003B3105" w:rsidP="001E533B">
            <w:pPr>
              <w:rPr>
                <w:rFonts w:ascii="新細明體" w:eastAsia="新細明體" w:hAnsi="新細明體"/>
              </w:rPr>
            </w:pPr>
          </w:p>
        </w:tc>
        <w:tc>
          <w:tcPr>
            <w:tcW w:w="5386" w:type="dxa"/>
            <w:tcBorders>
              <w:top w:val="nil"/>
              <w:bottom w:val="nil"/>
            </w:tcBorders>
          </w:tcPr>
          <w:p w14:paraId="131B0C6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(四十四)公司受理客戶使用應用程式介面(API)服務作業應依證交所「證券商受理投資人使用應用程式介面(API)服務作業規範」辦理。如提供加值服務應由客戶自行設定參數與決定買賣之執行。</w:t>
            </w:r>
          </w:p>
        </w:tc>
        <w:tc>
          <w:tcPr>
            <w:tcW w:w="5387" w:type="dxa"/>
            <w:tcBorders>
              <w:top w:val="nil"/>
              <w:bottom w:val="nil"/>
            </w:tcBorders>
          </w:tcPr>
          <w:p w14:paraId="0FB855F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(四十四)公司受理客戶使用應用程式介面(API)服務作業應依證交所「證券商受理投資人使用應用程式介面(API)服務作業規範」辦理。如提供加值服務應由客戶自行設定參數與決定買賣之執行。</w:t>
            </w:r>
          </w:p>
        </w:tc>
        <w:tc>
          <w:tcPr>
            <w:tcW w:w="2023" w:type="dxa"/>
            <w:vMerge/>
            <w:tcBorders>
              <w:right w:val="single" w:sz="12" w:space="0" w:color="auto"/>
            </w:tcBorders>
          </w:tcPr>
          <w:p w14:paraId="2DC5B5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980A37" w14:textId="77777777">
        <w:tc>
          <w:tcPr>
            <w:tcW w:w="1384" w:type="dxa"/>
            <w:vMerge/>
            <w:tcBorders>
              <w:left w:val="single" w:sz="12" w:space="0" w:color="auto"/>
            </w:tcBorders>
          </w:tcPr>
          <w:p w14:paraId="4C2FC403" w14:textId="77777777" w:rsidR="003B3105" w:rsidRDefault="003B3105" w:rsidP="001E533B">
            <w:pPr>
              <w:rPr>
                <w:rFonts w:ascii="新細明體" w:eastAsia="新細明體" w:hAnsi="新細明體"/>
              </w:rPr>
            </w:pPr>
          </w:p>
        </w:tc>
        <w:tc>
          <w:tcPr>
            <w:tcW w:w="1276" w:type="dxa"/>
            <w:vMerge/>
          </w:tcPr>
          <w:p w14:paraId="5F7F87AC" w14:textId="77777777" w:rsidR="003B3105" w:rsidRDefault="003B3105" w:rsidP="001E533B">
            <w:pPr>
              <w:rPr>
                <w:rFonts w:ascii="新細明體" w:eastAsia="新細明體" w:hAnsi="新細明體"/>
              </w:rPr>
            </w:pPr>
          </w:p>
        </w:tc>
        <w:tc>
          <w:tcPr>
            <w:tcW w:w="5386" w:type="dxa"/>
            <w:tcBorders>
              <w:top w:val="nil"/>
              <w:bottom w:val="nil"/>
            </w:tcBorders>
          </w:tcPr>
          <w:p w14:paraId="3A84B07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五)公司提供客戶不同交易型態之「設定交易條件下單」功能時，買賣申報價格及有效期別應依證交所營業細則第58條之8、櫃檯買賣中心業務規則第35條之12規定辦理；且其委託書製作及保存，應依證交所營業細則第75條第8款及第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唯若「設定交易條件下單」係採當面委託時，應另提供條件式下單書面格式（含所接受之條件），由客戶填寫附於「委託書」後，做為日後稽核及發生</w:t>
            </w:r>
            <w:r>
              <w:rPr>
                <w:rFonts w:ascii="新細明體" w:eastAsia="新細明體" w:hAnsi="新細明體" w:cs="新細明體" w:hint="eastAsia"/>
              </w:rPr>
              <w:lastRenderedPageBreak/>
              <w:t>爭議時之憑證。</w:t>
            </w:r>
          </w:p>
        </w:tc>
        <w:tc>
          <w:tcPr>
            <w:tcW w:w="5387" w:type="dxa"/>
            <w:tcBorders>
              <w:top w:val="nil"/>
              <w:bottom w:val="nil"/>
            </w:tcBorders>
          </w:tcPr>
          <w:p w14:paraId="0F73B7E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五)公司提供客戶不同交易型態之「設定交易條件下單」功能時，買賣申報價格及有效期別應依證交所營業細則第58條之8、櫃檯買賣中心業務規則第35條之12規定辦理；且其委託書製作及保存，應依證交所營業細則第75條第8款及第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唯若「設定交易條件下單」係採當面委託時，應另提供條件式下單書面格式（含所接受之條件），由客戶填寫附於「委託書」後，做為日後稽核及發生</w:t>
            </w:r>
            <w:r>
              <w:rPr>
                <w:rFonts w:ascii="新細明體" w:eastAsia="新細明體" w:hAnsi="新細明體" w:cs="新細明體" w:hint="eastAsia"/>
              </w:rPr>
              <w:lastRenderedPageBreak/>
              <w:t>爭議時之憑證。</w:t>
            </w:r>
          </w:p>
        </w:tc>
        <w:tc>
          <w:tcPr>
            <w:tcW w:w="2023" w:type="dxa"/>
            <w:vMerge/>
            <w:tcBorders>
              <w:right w:val="single" w:sz="12" w:space="0" w:color="auto"/>
            </w:tcBorders>
          </w:tcPr>
          <w:p w14:paraId="6562E27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3D665" w14:textId="77777777">
        <w:tc>
          <w:tcPr>
            <w:tcW w:w="1384" w:type="dxa"/>
            <w:vMerge/>
            <w:tcBorders>
              <w:left w:val="single" w:sz="12" w:space="0" w:color="auto"/>
            </w:tcBorders>
          </w:tcPr>
          <w:p w14:paraId="6CCC9EEB" w14:textId="77777777" w:rsidR="003B3105" w:rsidRDefault="003B3105" w:rsidP="001E533B">
            <w:pPr>
              <w:rPr>
                <w:rFonts w:ascii="新細明體" w:eastAsia="新細明體" w:hAnsi="新細明體"/>
              </w:rPr>
            </w:pPr>
          </w:p>
        </w:tc>
        <w:tc>
          <w:tcPr>
            <w:tcW w:w="1276" w:type="dxa"/>
            <w:vMerge/>
          </w:tcPr>
          <w:p w14:paraId="00F98D65" w14:textId="77777777" w:rsidR="003B3105" w:rsidRDefault="003B3105" w:rsidP="001E533B">
            <w:pPr>
              <w:rPr>
                <w:rFonts w:ascii="新細明體" w:eastAsia="新細明體" w:hAnsi="新細明體"/>
              </w:rPr>
            </w:pPr>
          </w:p>
        </w:tc>
        <w:tc>
          <w:tcPr>
            <w:tcW w:w="5386" w:type="dxa"/>
            <w:tcBorders>
              <w:top w:val="nil"/>
              <w:bottom w:val="nil"/>
            </w:tcBorders>
          </w:tcPr>
          <w:p w14:paraId="00B1FE1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(四十六)公司負責人兼任其他公司負責人，並代表該其他公司於所屬證券商辦理開戶及買賣有價證券者，公司應採行下列避免利益衝突之具體作法：</w:t>
            </w:r>
          </w:p>
        </w:tc>
        <w:tc>
          <w:tcPr>
            <w:tcW w:w="5387" w:type="dxa"/>
            <w:tcBorders>
              <w:top w:val="nil"/>
              <w:bottom w:val="nil"/>
            </w:tcBorders>
          </w:tcPr>
          <w:p w14:paraId="476D53C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(四十六)公司負責人兼任其他公司負責人，並代表該其他公司於所屬證券商辦理開戶及買賣有價證券者，公司應採行下列避免利益衝突之具體作法：</w:t>
            </w:r>
          </w:p>
        </w:tc>
        <w:tc>
          <w:tcPr>
            <w:tcW w:w="2023" w:type="dxa"/>
            <w:vMerge/>
            <w:tcBorders>
              <w:right w:val="single" w:sz="12" w:space="0" w:color="auto"/>
            </w:tcBorders>
          </w:tcPr>
          <w:p w14:paraId="4833F1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F648A2" w14:textId="77777777">
        <w:tc>
          <w:tcPr>
            <w:tcW w:w="1384" w:type="dxa"/>
            <w:vMerge/>
            <w:tcBorders>
              <w:left w:val="single" w:sz="12" w:space="0" w:color="auto"/>
            </w:tcBorders>
          </w:tcPr>
          <w:p w14:paraId="0D34A388" w14:textId="77777777" w:rsidR="003B3105" w:rsidRDefault="003B3105" w:rsidP="001E533B">
            <w:pPr>
              <w:rPr>
                <w:rFonts w:ascii="新細明體" w:eastAsia="新細明體" w:hAnsi="新細明體"/>
              </w:rPr>
            </w:pPr>
          </w:p>
        </w:tc>
        <w:tc>
          <w:tcPr>
            <w:tcW w:w="1276" w:type="dxa"/>
            <w:vMerge/>
          </w:tcPr>
          <w:p w14:paraId="37724CC8" w14:textId="77777777" w:rsidR="003B3105" w:rsidRDefault="003B3105" w:rsidP="001E533B">
            <w:pPr>
              <w:rPr>
                <w:rFonts w:ascii="新細明體" w:eastAsia="新細明體" w:hAnsi="新細明體"/>
              </w:rPr>
            </w:pPr>
          </w:p>
        </w:tc>
        <w:tc>
          <w:tcPr>
            <w:tcW w:w="5386" w:type="dxa"/>
            <w:tcBorders>
              <w:top w:val="nil"/>
              <w:bottom w:val="nil"/>
            </w:tcBorders>
          </w:tcPr>
          <w:p w14:paraId="36F86D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1.應簽署避免利益衝突聲明書。</w:t>
            </w:r>
          </w:p>
        </w:tc>
        <w:tc>
          <w:tcPr>
            <w:tcW w:w="5387" w:type="dxa"/>
            <w:tcBorders>
              <w:top w:val="nil"/>
              <w:bottom w:val="nil"/>
            </w:tcBorders>
          </w:tcPr>
          <w:p w14:paraId="7382F2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1.應簽署避免利益衝突聲明書。</w:t>
            </w:r>
          </w:p>
        </w:tc>
        <w:tc>
          <w:tcPr>
            <w:tcW w:w="2023" w:type="dxa"/>
            <w:vMerge/>
            <w:tcBorders>
              <w:right w:val="single" w:sz="12" w:space="0" w:color="auto"/>
            </w:tcBorders>
          </w:tcPr>
          <w:p w14:paraId="018B09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DD7479" w14:textId="77777777">
        <w:tc>
          <w:tcPr>
            <w:tcW w:w="1384" w:type="dxa"/>
            <w:vMerge/>
            <w:tcBorders>
              <w:left w:val="single" w:sz="12" w:space="0" w:color="auto"/>
            </w:tcBorders>
          </w:tcPr>
          <w:p w14:paraId="7C4D501B" w14:textId="77777777" w:rsidR="003B3105" w:rsidRDefault="003B3105" w:rsidP="001E533B">
            <w:pPr>
              <w:rPr>
                <w:rFonts w:ascii="新細明體" w:eastAsia="新細明體" w:hAnsi="新細明體"/>
              </w:rPr>
            </w:pPr>
          </w:p>
        </w:tc>
        <w:tc>
          <w:tcPr>
            <w:tcW w:w="1276" w:type="dxa"/>
            <w:vMerge/>
          </w:tcPr>
          <w:p w14:paraId="3D071EA2" w14:textId="77777777" w:rsidR="003B3105" w:rsidRDefault="003B3105" w:rsidP="001E533B">
            <w:pPr>
              <w:rPr>
                <w:rFonts w:ascii="新細明體" w:eastAsia="新細明體" w:hAnsi="新細明體"/>
              </w:rPr>
            </w:pPr>
          </w:p>
        </w:tc>
        <w:tc>
          <w:tcPr>
            <w:tcW w:w="5386" w:type="dxa"/>
            <w:tcBorders>
              <w:top w:val="nil"/>
              <w:bottom w:val="nil"/>
            </w:tcBorders>
          </w:tcPr>
          <w:p w14:paraId="552F0C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應進行關聯戶建檔並比照注意事項範本規定對關聯戶等帳戶及交易持續監控。</w:t>
            </w:r>
          </w:p>
        </w:tc>
        <w:tc>
          <w:tcPr>
            <w:tcW w:w="5387" w:type="dxa"/>
            <w:tcBorders>
              <w:top w:val="nil"/>
              <w:bottom w:val="nil"/>
            </w:tcBorders>
          </w:tcPr>
          <w:p w14:paraId="08FAFC2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應進行關聯戶建檔並比照注意事項範本規定對關聯戶等帳戶及交易持續監控。</w:t>
            </w:r>
          </w:p>
        </w:tc>
        <w:tc>
          <w:tcPr>
            <w:tcW w:w="2023" w:type="dxa"/>
            <w:vMerge/>
            <w:tcBorders>
              <w:right w:val="single" w:sz="12" w:space="0" w:color="auto"/>
            </w:tcBorders>
          </w:tcPr>
          <w:p w14:paraId="1FA7EA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A9653C" w14:textId="77777777">
        <w:tc>
          <w:tcPr>
            <w:tcW w:w="1384" w:type="dxa"/>
            <w:vMerge/>
            <w:tcBorders>
              <w:left w:val="single" w:sz="12" w:space="0" w:color="auto"/>
            </w:tcBorders>
          </w:tcPr>
          <w:p w14:paraId="55C9EC3F" w14:textId="77777777" w:rsidR="003B3105" w:rsidRDefault="003B3105" w:rsidP="001E533B">
            <w:pPr>
              <w:rPr>
                <w:rFonts w:ascii="新細明體" w:eastAsia="新細明體" w:hAnsi="新細明體"/>
              </w:rPr>
            </w:pPr>
          </w:p>
        </w:tc>
        <w:tc>
          <w:tcPr>
            <w:tcW w:w="1276" w:type="dxa"/>
            <w:vMerge/>
          </w:tcPr>
          <w:p w14:paraId="3E78FFC2" w14:textId="77777777" w:rsidR="003B3105" w:rsidRDefault="003B3105" w:rsidP="001E533B">
            <w:pPr>
              <w:rPr>
                <w:rFonts w:ascii="新細明體" w:eastAsia="新細明體" w:hAnsi="新細明體"/>
              </w:rPr>
            </w:pPr>
          </w:p>
        </w:tc>
        <w:tc>
          <w:tcPr>
            <w:tcW w:w="5386" w:type="dxa"/>
            <w:tcBorders>
              <w:top w:val="nil"/>
              <w:bottom w:val="nil"/>
            </w:tcBorders>
          </w:tcPr>
          <w:p w14:paraId="42F88B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3.成交後應由公司檢查其交易有無涉及未公開資訊情形，或與公司或其他客戶有利益衝突而有迴避之必要，並於內部控制制度中訂定檢查程序（註：請公司自訂檢查程序）。</w:t>
            </w:r>
          </w:p>
        </w:tc>
        <w:tc>
          <w:tcPr>
            <w:tcW w:w="5387" w:type="dxa"/>
            <w:tcBorders>
              <w:top w:val="nil"/>
              <w:bottom w:val="nil"/>
            </w:tcBorders>
          </w:tcPr>
          <w:p w14:paraId="5403AF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3.成交後應由公司檢查其交易有無涉及未公開資訊情形，或與公司或其他客戶有利益衝突而有迴避之必要，並於內部控制制度中訂定檢查程序（註：請公司自訂檢查程序）。</w:t>
            </w:r>
          </w:p>
        </w:tc>
        <w:tc>
          <w:tcPr>
            <w:tcW w:w="2023" w:type="dxa"/>
            <w:vMerge/>
            <w:tcBorders>
              <w:right w:val="single" w:sz="12" w:space="0" w:color="auto"/>
            </w:tcBorders>
          </w:tcPr>
          <w:p w14:paraId="2C608A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72458F" w14:textId="77777777">
        <w:tc>
          <w:tcPr>
            <w:tcW w:w="1384" w:type="dxa"/>
            <w:vMerge/>
            <w:tcBorders>
              <w:left w:val="single" w:sz="12" w:space="0" w:color="auto"/>
            </w:tcBorders>
          </w:tcPr>
          <w:p w14:paraId="139D78E7" w14:textId="77777777" w:rsidR="003B3105" w:rsidRDefault="003B3105" w:rsidP="001E533B">
            <w:pPr>
              <w:rPr>
                <w:rFonts w:ascii="新細明體" w:eastAsia="新細明體" w:hAnsi="新細明體"/>
              </w:rPr>
            </w:pPr>
          </w:p>
        </w:tc>
        <w:tc>
          <w:tcPr>
            <w:tcW w:w="1276" w:type="dxa"/>
            <w:vMerge/>
          </w:tcPr>
          <w:p w14:paraId="1B34020C" w14:textId="77777777" w:rsidR="003B3105" w:rsidRDefault="003B3105" w:rsidP="001E533B">
            <w:pPr>
              <w:rPr>
                <w:rFonts w:ascii="新細明體" w:eastAsia="新細明體" w:hAnsi="新細明體"/>
              </w:rPr>
            </w:pPr>
          </w:p>
        </w:tc>
        <w:tc>
          <w:tcPr>
            <w:tcW w:w="5386" w:type="dxa"/>
            <w:tcBorders>
              <w:top w:val="nil"/>
              <w:bottom w:val="nil"/>
            </w:tcBorders>
          </w:tcPr>
          <w:p w14:paraId="353F4ED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七)公司如已辦理網際網路等電子式交易型態之委託業務時，如發現有同一網路位址(IP)為一個以上之投資人使用時，依證交所90年6月27日台證(90)交字第014019號函規定，應查明是否委託人親自下單，如為非本人下單，應請委託人</w:t>
            </w:r>
            <w:r>
              <w:rPr>
                <w:rFonts w:ascii="新細明體" w:eastAsia="新細明體" w:hAnsi="新細明體" w:cs="新細明體" w:hint="eastAsia"/>
              </w:rPr>
              <w:lastRenderedPageBreak/>
              <w:t>出具委任書指定代理人始得為之。公司應產製每日總公司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應指定專人於次月底前依下列規定完成查證作業並留存紀錄：</w:t>
            </w:r>
          </w:p>
        </w:tc>
        <w:tc>
          <w:tcPr>
            <w:tcW w:w="5387" w:type="dxa"/>
            <w:tcBorders>
              <w:top w:val="nil"/>
              <w:bottom w:val="nil"/>
            </w:tcBorders>
          </w:tcPr>
          <w:p w14:paraId="58BF743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七)公司如已辦理網際網路等電子式交易型態之委託業務時，如發現有同一網路位址(IP)為一個以上之投資人使用時，依證交所90年6月27日台證(90)交字第014019號函規定，應查明是否委託人親自下單，如為非本人下單，應請委託人</w:t>
            </w:r>
            <w:r>
              <w:rPr>
                <w:rFonts w:ascii="新細明體" w:eastAsia="新細明體" w:hAnsi="新細明體" w:cs="新細明體" w:hint="eastAsia"/>
              </w:rPr>
              <w:lastRenderedPageBreak/>
              <w:t>出具委任書指定代理人始得為之。公司應產製每日總</w:t>
            </w:r>
            <w:r>
              <w:rPr>
                <w:rFonts w:ascii="新細明體" w:eastAsia="新細明體" w:hAnsi="新細明體" w:cs="新細明體" w:hint="eastAsia"/>
                <w:b/>
                <w:color w:val="FF0000"/>
              </w:rPr>
              <w:t>分</w:t>
            </w:r>
            <w:r>
              <w:rPr>
                <w:rFonts w:ascii="新細明體" w:eastAsia="新細明體" w:hAnsi="新細明體" w:cs="新細明體" w:hint="eastAsia"/>
              </w:rPr>
              <w:t>公司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應指定專人於次月底前依下列規定完成查證作業並留存紀錄：</w:t>
            </w:r>
          </w:p>
        </w:tc>
        <w:tc>
          <w:tcPr>
            <w:tcW w:w="2023" w:type="dxa"/>
            <w:vMerge/>
            <w:tcBorders>
              <w:right w:val="single" w:sz="12" w:space="0" w:color="auto"/>
            </w:tcBorders>
          </w:tcPr>
          <w:p w14:paraId="43D9C5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503173" w14:textId="77777777">
        <w:tc>
          <w:tcPr>
            <w:tcW w:w="1384" w:type="dxa"/>
            <w:vMerge/>
            <w:tcBorders>
              <w:left w:val="single" w:sz="12" w:space="0" w:color="auto"/>
            </w:tcBorders>
          </w:tcPr>
          <w:p w14:paraId="7EE32FB9" w14:textId="77777777" w:rsidR="003B3105" w:rsidRDefault="003B3105" w:rsidP="001E533B">
            <w:pPr>
              <w:rPr>
                <w:rFonts w:ascii="新細明體" w:eastAsia="新細明體" w:hAnsi="新細明體"/>
              </w:rPr>
            </w:pPr>
          </w:p>
        </w:tc>
        <w:tc>
          <w:tcPr>
            <w:tcW w:w="1276" w:type="dxa"/>
            <w:vMerge/>
          </w:tcPr>
          <w:p w14:paraId="6CAAD5EC" w14:textId="77777777" w:rsidR="003B3105" w:rsidRDefault="003B3105" w:rsidP="001E533B">
            <w:pPr>
              <w:rPr>
                <w:rFonts w:ascii="新細明體" w:eastAsia="新細明體" w:hAnsi="新細明體"/>
              </w:rPr>
            </w:pPr>
          </w:p>
        </w:tc>
        <w:tc>
          <w:tcPr>
            <w:tcW w:w="5386" w:type="dxa"/>
            <w:tcBorders>
              <w:top w:val="nil"/>
              <w:bottom w:val="nil"/>
            </w:tcBorders>
          </w:tcPr>
          <w:p w14:paraId="70DDB9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5387" w:type="dxa"/>
            <w:tcBorders>
              <w:top w:val="nil"/>
              <w:bottom w:val="nil"/>
            </w:tcBorders>
          </w:tcPr>
          <w:p w14:paraId="0523D8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2023" w:type="dxa"/>
            <w:vMerge/>
            <w:tcBorders>
              <w:right w:val="single" w:sz="12" w:space="0" w:color="auto"/>
            </w:tcBorders>
          </w:tcPr>
          <w:p w14:paraId="4B2BBF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AE2BDC" w14:textId="77777777">
        <w:tc>
          <w:tcPr>
            <w:tcW w:w="1384" w:type="dxa"/>
            <w:vMerge/>
            <w:tcBorders>
              <w:left w:val="single" w:sz="12" w:space="0" w:color="auto"/>
            </w:tcBorders>
          </w:tcPr>
          <w:p w14:paraId="6785E829" w14:textId="77777777" w:rsidR="003B3105" w:rsidRDefault="003B3105" w:rsidP="001E533B">
            <w:pPr>
              <w:rPr>
                <w:rFonts w:ascii="新細明體" w:eastAsia="新細明體" w:hAnsi="新細明體"/>
              </w:rPr>
            </w:pPr>
          </w:p>
        </w:tc>
        <w:tc>
          <w:tcPr>
            <w:tcW w:w="1276" w:type="dxa"/>
            <w:vMerge/>
          </w:tcPr>
          <w:p w14:paraId="17284F81" w14:textId="77777777" w:rsidR="003B3105" w:rsidRDefault="003B3105" w:rsidP="001E533B">
            <w:pPr>
              <w:rPr>
                <w:rFonts w:ascii="新細明體" w:eastAsia="新細明體" w:hAnsi="新細明體"/>
              </w:rPr>
            </w:pPr>
          </w:p>
        </w:tc>
        <w:tc>
          <w:tcPr>
            <w:tcW w:w="5386" w:type="dxa"/>
            <w:tcBorders>
              <w:top w:val="nil"/>
              <w:bottom w:val="nil"/>
            </w:tcBorders>
          </w:tcPr>
          <w:p w14:paraId="007EBC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5387" w:type="dxa"/>
            <w:tcBorders>
              <w:top w:val="nil"/>
              <w:bottom w:val="nil"/>
            </w:tcBorders>
          </w:tcPr>
          <w:p w14:paraId="191F47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2023" w:type="dxa"/>
            <w:vMerge/>
            <w:tcBorders>
              <w:right w:val="single" w:sz="12" w:space="0" w:color="auto"/>
            </w:tcBorders>
          </w:tcPr>
          <w:p w14:paraId="600E24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2565CB" w14:textId="77777777">
        <w:tc>
          <w:tcPr>
            <w:tcW w:w="1384" w:type="dxa"/>
            <w:vMerge/>
            <w:tcBorders>
              <w:left w:val="single" w:sz="12" w:space="0" w:color="auto"/>
            </w:tcBorders>
          </w:tcPr>
          <w:p w14:paraId="49D55137" w14:textId="77777777" w:rsidR="003B3105" w:rsidRDefault="003B3105" w:rsidP="001E533B">
            <w:pPr>
              <w:rPr>
                <w:rFonts w:ascii="新細明體" w:eastAsia="新細明體" w:hAnsi="新細明體"/>
              </w:rPr>
            </w:pPr>
          </w:p>
        </w:tc>
        <w:tc>
          <w:tcPr>
            <w:tcW w:w="1276" w:type="dxa"/>
            <w:vMerge/>
          </w:tcPr>
          <w:p w14:paraId="179990F6" w14:textId="77777777" w:rsidR="003B3105" w:rsidRDefault="003B3105" w:rsidP="001E533B">
            <w:pPr>
              <w:rPr>
                <w:rFonts w:ascii="新細明體" w:eastAsia="新細明體" w:hAnsi="新細明體"/>
              </w:rPr>
            </w:pPr>
          </w:p>
        </w:tc>
        <w:tc>
          <w:tcPr>
            <w:tcW w:w="5386" w:type="dxa"/>
            <w:tcBorders>
              <w:top w:val="nil"/>
              <w:bottom w:val="nil"/>
            </w:tcBorders>
          </w:tcPr>
          <w:p w14:paraId="795AE9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5387" w:type="dxa"/>
            <w:tcBorders>
              <w:top w:val="nil"/>
              <w:bottom w:val="nil"/>
            </w:tcBorders>
          </w:tcPr>
          <w:p w14:paraId="2FA9E2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2023" w:type="dxa"/>
            <w:vMerge/>
            <w:tcBorders>
              <w:right w:val="single" w:sz="12" w:space="0" w:color="auto"/>
            </w:tcBorders>
          </w:tcPr>
          <w:p w14:paraId="2351A4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3284C7" w14:textId="77777777">
        <w:tc>
          <w:tcPr>
            <w:tcW w:w="1384" w:type="dxa"/>
            <w:vMerge/>
            <w:tcBorders>
              <w:left w:val="single" w:sz="12" w:space="0" w:color="auto"/>
            </w:tcBorders>
          </w:tcPr>
          <w:p w14:paraId="4BBEE427" w14:textId="77777777" w:rsidR="003B3105" w:rsidRDefault="003B3105" w:rsidP="001E533B">
            <w:pPr>
              <w:rPr>
                <w:rFonts w:ascii="新細明體" w:eastAsia="新細明體" w:hAnsi="新細明體"/>
              </w:rPr>
            </w:pPr>
          </w:p>
        </w:tc>
        <w:tc>
          <w:tcPr>
            <w:tcW w:w="1276" w:type="dxa"/>
            <w:vMerge/>
          </w:tcPr>
          <w:p w14:paraId="754389FA" w14:textId="77777777" w:rsidR="003B3105" w:rsidRDefault="003B3105" w:rsidP="001E533B">
            <w:pPr>
              <w:rPr>
                <w:rFonts w:ascii="新細明體" w:eastAsia="新細明體" w:hAnsi="新細明體"/>
              </w:rPr>
            </w:pPr>
          </w:p>
        </w:tc>
        <w:tc>
          <w:tcPr>
            <w:tcW w:w="5386" w:type="dxa"/>
            <w:tcBorders>
              <w:top w:val="nil"/>
              <w:bottom w:val="nil"/>
            </w:tcBorders>
          </w:tcPr>
          <w:p w14:paraId="3B1125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(1)應取得委託人確認交易真實性之聲明書、或採取適當方式(如電話錄音、Email回覆等)確認交易真實性並提醒客戶注意交易安全。公司可自訂前揭適當確認方式之有效期限，惟不得超過一年。</w:t>
            </w:r>
          </w:p>
        </w:tc>
        <w:tc>
          <w:tcPr>
            <w:tcW w:w="5387" w:type="dxa"/>
            <w:tcBorders>
              <w:top w:val="nil"/>
              <w:bottom w:val="nil"/>
            </w:tcBorders>
          </w:tcPr>
          <w:p w14:paraId="1BDA2A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(1)應取得委託人確認交易真實性之聲明書、或採取適當方式(如電話錄音、Email回覆等)確認交易真實性並提醒客戶注意交易安全。公司可自訂前揭適當確認方式之有效期限，惟不得超過一年。</w:t>
            </w:r>
          </w:p>
        </w:tc>
        <w:tc>
          <w:tcPr>
            <w:tcW w:w="2023" w:type="dxa"/>
            <w:vMerge/>
            <w:tcBorders>
              <w:right w:val="single" w:sz="12" w:space="0" w:color="auto"/>
            </w:tcBorders>
          </w:tcPr>
          <w:p w14:paraId="1BA5E4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BA5AA7" w14:textId="77777777">
        <w:tc>
          <w:tcPr>
            <w:tcW w:w="1384" w:type="dxa"/>
            <w:vMerge/>
            <w:tcBorders>
              <w:left w:val="single" w:sz="12" w:space="0" w:color="auto"/>
            </w:tcBorders>
          </w:tcPr>
          <w:p w14:paraId="1B1CA71A" w14:textId="77777777" w:rsidR="003B3105" w:rsidRDefault="003B3105" w:rsidP="001E533B">
            <w:pPr>
              <w:rPr>
                <w:rFonts w:ascii="新細明體" w:eastAsia="新細明體" w:hAnsi="新細明體"/>
              </w:rPr>
            </w:pPr>
          </w:p>
        </w:tc>
        <w:tc>
          <w:tcPr>
            <w:tcW w:w="1276" w:type="dxa"/>
            <w:vMerge/>
          </w:tcPr>
          <w:p w14:paraId="35435DFF" w14:textId="77777777" w:rsidR="003B3105" w:rsidRDefault="003B3105" w:rsidP="001E533B">
            <w:pPr>
              <w:rPr>
                <w:rFonts w:ascii="新細明體" w:eastAsia="新細明體" w:hAnsi="新細明體"/>
              </w:rPr>
            </w:pPr>
          </w:p>
        </w:tc>
        <w:tc>
          <w:tcPr>
            <w:tcW w:w="5386" w:type="dxa"/>
            <w:tcBorders>
              <w:top w:val="nil"/>
              <w:bottom w:val="nil"/>
            </w:tcBorders>
          </w:tcPr>
          <w:p w14:paraId="7479D96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5387" w:type="dxa"/>
            <w:tcBorders>
              <w:top w:val="nil"/>
              <w:bottom w:val="nil"/>
            </w:tcBorders>
          </w:tcPr>
          <w:p w14:paraId="01960F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2023" w:type="dxa"/>
            <w:vMerge/>
            <w:tcBorders>
              <w:right w:val="single" w:sz="12" w:space="0" w:color="auto"/>
            </w:tcBorders>
          </w:tcPr>
          <w:p w14:paraId="74CEF5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A511B7" w14:textId="77777777">
        <w:tc>
          <w:tcPr>
            <w:tcW w:w="1384" w:type="dxa"/>
            <w:vMerge/>
            <w:tcBorders>
              <w:left w:val="single" w:sz="12" w:space="0" w:color="auto"/>
            </w:tcBorders>
          </w:tcPr>
          <w:p w14:paraId="02348F5D" w14:textId="77777777" w:rsidR="003B3105" w:rsidRDefault="003B3105" w:rsidP="001E533B">
            <w:pPr>
              <w:rPr>
                <w:rFonts w:ascii="新細明體" w:eastAsia="新細明體" w:hAnsi="新細明體"/>
              </w:rPr>
            </w:pPr>
          </w:p>
        </w:tc>
        <w:tc>
          <w:tcPr>
            <w:tcW w:w="1276" w:type="dxa"/>
            <w:vMerge/>
          </w:tcPr>
          <w:p w14:paraId="356C9C55" w14:textId="77777777" w:rsidR="003B3105" w:rsidRDefault="003B3105" w:rsidP="001E533B">
            <w:pPr>
              <w:rPr>
                <w:rFonts w:ascii="新細明體" w:eastAsia="新細明體" w:hAnsi="新細明體"/>
              </w:rPr>
            </w:pPr>
          </w:p>
        </w:tc>
        <w:tc>
          <w:tcPr>
            <w:tcW w:w="5386" w:type="dxa"/>
            <w:tcBorders>
              <w:top w:val="nil"/>
              <w:bottom w:val="nil"/>
            </w:tcBorders>
          </w:tcPr>
          <w:p w14:paraId="22B62F8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5387" w:type="dxa"/>
            <w:tcBorders>
              <w:top w:val="nil"/>
              <w:bottom w:val="nil"/>
            </w:tcBorders>
          </w:tcPr>
          <w:p w14:paraId="424A96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2023" w:type="dxa"/>
            <w:vMerge/>
            <w:tcBorders>
              <w:right w:val="single" w:sz="12" w:space="0" w:color="auto"/>
            </w:tcBorders>
          </w:tcPr>
          <w:p w14:paraId="42815BA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0BC544" w14:textId="77777777">
        <w:tc>
          <w:tcPr>
            <w:tcW w:w="1384" w:type="dxa"/>
            <w:vMerge/>
            <w:tcBorders>
              <w:left w:val="single" w:sz="12" w:space="0" w:color="auto"/>
            </w:tcBorders>
          </w:tcPr>
          <w:p w14:paraId="12A59EB5" w14:textId="77777777" w:rsidR="003B3105" w:rsidRDefault="003B3105" w:rsidP="001E533B">
            <w:pPr>
              <w:rPr>
                <w:rFonts w:ascii="新細明體" w:eastAsia="新細明體" w:hAnsi="新細明體"/>
              </w:rPr>
            </w:pPr>
          </w:p>
        </w:tc>
        <w:tc>
          <w:tcPr>
            <w:tcW w:w="1276" w:type="dxa"/>
            <w:vMerge/>
          </w:tcPr>
          <w:p w14:paraId="76C637BA" w14:textId="77777777" w:rsidR="003B3105" w:rsidRDefault="003B3105" w:rsidP="001E533B">
            <w:pPr>
              <w:rPr>
                <w:rFonts w:ascii="新細明體" w:eastAsia="新細明體" w:hAnsi="新細明體"/>
              </w:rPr>
            </w:pPr>
          </w:p>
        </w:tc>
        <w:tc>
          <w:tcPr>
            <w:tcW w:w="5386" w:type="dxa"/>
            <w:tcBorders>
              <w:top w:val="nil"/>
              <w:bottom w:val="nil"/>
            </w:tcBorders>
          </w:tcPr>
          <w:p w14:paraId="2D54E0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(4)若客戶未能於期限內配合證券商完成查證作業，證券商得採取適當控管措施(如:不得新增電子式委託下單或調降</w:t>
            </w:r>
            <w:r>
              <w:rPr>
                <w:rFonts w:ascii="新細明體" w:eastAsia="新細明體" w:hAnsi="新細明體" w:cs="新細明體" w:hint="eastAsia"/>
              </w:rPr>
              <w:lastRenderedPageBreak/>
              <w:t>單日買賣額度等)。</w:t>
            </w:r>
          </w:p>
        </w:tc>
        <w:tc>
          <w:tcPr>
            <w:tcW w:w="5387" w:type="dxa"/>
            <w:tcBorders>
              <w:top w:val="nil"/>
              <w:bottom w:val="nil"/>
            </w:tcBorders>
          </w:tcPr>
          <w:p w14:paraId="2C3CC5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(4)若客戶未能於期限內配合證券商完成查證作業，證券商得採取適當控管措施(如:不得新增電子式委託下單或調降</w:t>
            </w:r>
            <w:r>
              <w:rPr>
                <w:rFonts w:ascii="新細明體" w:eastAsia="新細明體" w:hAnsi="新細明體" w:cs="新細明體" w:hint="eastAsia"/>
              </w:rPr>
              <w:lastRenderedPageBreak/>
              <w:t>單日買賣額度等)。</w:t>
            </w:r>
          </w:p>
        </w:tc>
        <w:tc>
          <w:tcPr>
            <w:tcW w:w="2023" w:type="dxa"/>
            <w:vMerge/>
            <w:tcBorders>
              <w:right w:val="single" w:sz="12" w:space="0" w:color="auto"/>
            </w:tcBorders>
          </w:tcPr>
          <w:p w14:paraId="3272ED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74B8DF" w14:textId="77777777">
        <w:tc>
          <w:tcPr>
            <w:tcW w:w="1384" w:type="dxa"/>
            <w:vMerge/>
            <w:tcBorders>
              <w:left w:val="single" w:sz="12" w:space="0" w:color="auto"/>
            </w:tcBorders>
          </w:tcPr>
          <w:p w14:paraId="249BAAE8" w14:textId="77777777" w:rsidR="003B3105" w:rsidRDefault="003B3105" w:rsidP="001E533B">
            <w:pPr>
              <w:rPr>
                <w:rFonts w:ascii="新細明體" w:eastAsia="新細明體" w:hAnsi="新細明體"/>
              </w:rPr>
            </w:pPr>
          </w:p>
        </w:tc>
        <w:tc>
          <w:tcPr>
            <w:tcW w:w="1276" w:type="dxa"/>
            <w:vMerge/>
          </w:tcPr>
          <w:p w14:paraId="02F83AA9" w14:textId="77777777" w:rsidR="003B3105" w:rsidRDefault="003B3105" w:rsidP="001E533B">
            <w:pPr>
              <w:rPr>
                <w:rFonts w:ascii="新細明體" w:eastAsia="新細明體" w:hAnsi="新細明體"/>
              </w:rPr>
            </w:pPr>
          </w:p>
        </w:tc>
        <w:tc>
          <w:tcPr>
            <w:tcW w:w="5386" w:type="dxa"/>
            <w:tcBorders>
              <w:top w:val="nil"/>
              <w:bottom w:val="nil"/>
            </w:tcBorders>
          </w:tcPr>
          <w:p w14:paraId="07EF17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5387" w:type="dxa"/>
            <w:tcBorders>
              <w:top w:val="nil"/>
              <w:bottom w:val="nil"/>
            </w:tcBorders>
          </w:tcPr>
          <w:p w14:paraId="7A6916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2023" w:type="dxa"/>
            <w:vMerge/>
            <w:tcBorders>
              <w:right w:val="single" w:sz="12" w:space="0" w:color="auto"/>
            </w:tcBorders>
          </w:tcPr>
          <w:p w14:paraId="2C9FC5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916284" w14:textId="77777777">
        <w:tc>
          <w:tcPr>
            <w:tcW w:w="1384" w:type="dxa"/>
            <w:vMerge/>
            <w:tcBorders>
              <w:left w:val="single" w:sz="12" w:space="0" w:color="auto"/>
            </w:tcBorders>
          </w:tcPr>
          <w:p w14:paraId="00E5039B" w14:textId="77777777" w:rsidR="003B3105" w:rsidRDefault="003B3105" w:rsidP="001E533B">
            <w:pPr>
              <w:rPr>
                <w:rFonts w:ascii="新細明體" w:eastAsia="新細明體" w:hAnsi="新細明體"/>
              </w:rPr>
            </w:pPr>
          </w:p>
        </w:tc>
        <w:tc>
          <w:tcPr>
            <w:tcW w:w="1276" w:type="dxa"/>
            <w:vMerge/>
          </w:tcPr>
          <w:p w14:paraId="6CC7F473" w14:textId="77777777" w:rsidR="003B3105" w:rsidRDefault="003B3105" w:rsidP="001E533B">
            <w:pPr>
              <w:rPr>
                <w:rFonts w:ascii="新細明體" w:eastAsia="新細明體" w:hAnsi="新細明體"/>
              </w:rPr>
            </w:pPr>
          </w:p>
        </w:tc>
        <w:tc>
          <w:tcPr>
            <w:tcW w:w="5386" w:type="dxa"/>
            <w:tcBorders>
              <w:top w:val="nil"/>
              <w:bottom w:val="nil"/>
            </w:tcBorders>
          </w:tcPr>
          <w:p w14:paraId="4DF9C0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(四十八)公司不得採類似「靠行」、「借牌」、「包櫃」等，經營某一部門或分支機構之全部或部分業務。</w:t>
            </w:r>
          </w:p>
        </w:tc>
        <w:tc>
          <w:tcPr>
            <w:tcW w:w="5387" w:type="dxa"/>
            <w:tcBorders>
              <w:top w:val="nil"/>
              <w:bottom w:val="nil"/>
            </w:tcBorders>
          </w:tcPr>
          <w:p w14:paraId="0169931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(四十八)公司不得採類似「靠行」、「借牌」、「包櫃」等，經營某一部門或分支機構之全部或部分業務。</w:t>
            </w:r>
          </w:p>
        </w:tc>
        <w:tc>
          <w:tcPr>
            <w:tcW w:w="2023" w:type="dxa"/>
            <w:vMerge/>
            <w:tcBorders>
              <w:right w:val="single" w:sz="12" w:space="0" w:color="auto"/>
            </w:tcBorders>
          </w:tcPr>
          <w:p w14:paraId="4A3BBB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99" w:left="257"/>
              <w:rPr>
                <w:rFonts w:ascii="新細明體" w:eastAsia="新細明體" w:hAnsi="新細明體" w:cs="新細明體"/>
              </w:rPr>
            </w:pPr>
            <w:r>
              <w:rPr>
                <w:rFonts w:ascii="新細明體" w:eastAsia="新細明體" w:hAnsi="新細明體" w:cs="新細明體" w:hint="eastAsia"/>
              </w:rPr>
              <w:t>註：財富管理業務之銷售、交易及成交回報採單一窗口作業者，與本章規定如有不同，以CA-19130規定為準。</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99" w:left="257"/>
              <w:rPr>
                <w:rFonts w:ascii="新細明體" w:eastAsia="新細明體" w:hAnsi="新細明體" w:cs="新細明體"/>
              </w:rPr>
            </w:pPr>
            <w:r>
              <w:rPr>
                <w:rFonts w:ascii="新細明體" w:eastAsia="新細明體" w:hAnsi="新細明體" w:cs="新細明體" w:hint="eastAsia"/>
              </w:rPr>
              <w:t>註：財富管理業務之銷售、交易及成交回報採單一窗口作業者，與本章規定如有不同，以CA-19130規定為準。</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6C07" w14:textId="77777777" w:rsidR="00396850" w:rsidRDefault="00396850" w:rsidP="00E87601">
      <w:pPr>
        <w:spacing w:line="240" w:lineRule="auto"/>
      </w:pPr>
      <w:r>
        <w:separator/>
      </w:r>
    </w:p>
  </w:endnote>
  <w:endnote w:type="continuationSeparator" w:id="0">
    <w:p w14:paraId="7730577B" w14:textId="77777777" w:rsidR="00396850" w:rsidRDefault="00396850"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C55A" w14:textId="77777777" w:rsidR="00396850" w:rsidRDefault="00396850" w:rsidP="00E87601">
      <w:pPr>
        <w:spacing w:line="240" w:lineRule="auto"/>
      </w:pPr>
      <w:r>
        <w:separator/>
      </w:r>
    </w:p>
  </w:footnote>
  <w:footnote w:type="continuationSeparator" w:id="0">
    <w:p w14:paraId="6B3115B6" w14:textId="77777777" w:rsidR="00396850" w:rsidRDefault="00396850"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0F53A8"/>
    <w:rsid w:val="001132A5"/>
    <w:rsid w:val="00115946"/>
    <w:rsid w:val="00155D75"/>
    <w:rsid w:val="001643B7"/>
    <w:rsid w:val="00164EC3"/>
    <w:rsid w:val="001812B0"/>
    <w:rsid w:val="001C0745"/>
    <w:rsid w:val="001E533B"/>
    <w:rsid w:val="00200AE8"/>
    <w:rsid w:val="002156CD"/>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9685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30EF9"/>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D2679"/>
    <w:rsid w:val="00811EEB"/>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5680</Words>
  <Characters>32379</Characters>
  <Application>Microsoft Office Word</Application>
  <DocSecurity>0</DocSecurity>
  <Lines>269</Lines>
  <Paragraphs>75</Paragraphs>
  <ScaleCrop>false</ScaleCrop>
  <Company>Hewlett-Packard Company</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2026-03-27T01:32:00Z</dcterms:created>
  <dcterms:modified xsi:type="dcterms:W3CDTF">2026-05-19T02:48:00Z</dcterms:modified>
</cp:coreProperties>
</file>