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206453" w14:paraId="4B5EF8E7" w14:textId="77777777" w:rsidTr="00206453">
        <w:tc>
          <w:tcPr>
            <w:tcW w:w="4853" w:type="dxa"/>
          </w:tcPr>
          <w:p w14:paraId="676C949F"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4B8E7B1E"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24"/>
                <w:u w:val="single"/>
              </w:rPr>
              <w:t xml:space="preserve">　　　　　　</w:t>
            </w:r>
            <w:bookmarkStart w:id="0" w:name="Std_Type2"/>
            <w:r w:rsidRPr="00367148">
              <w:rPr>
                <w:rFonts w:hint="eastAsia"/>
                <w:color w:val="000000" w:themeColor="text1"/>
                <w:spacing w:val="24"/>
                <w:u w:val="single"/>
              </w:rPr>
              <w:t>證券</w:t>
            </w:r>
            <w:bookmarkEnd w:id="0"/>
            <w:r w:rsidRPr="00367148">
              <w:rPr>
                <w:rFonts w:hint="eastAsia"/>
                <w:color w:val="000000" w:themeColor="text1"/>
                <w:spacing w:val="24"/>
                <w:u w:val="single"/>
              </w:rPr>
              <w:t>股份有限公司</w:t>
            </w:r>
          </w:p>
        </w:tc>
        <w:tc>
          <w:tcPr>
            <w:tcW w:w="4854" w:type="dxa"/>
          </w:tcPr>
          <w:p w14:paraId="34160232" w14:textId="77777777" w:rsidR="00206453" w:rsidRDefault="00206453" w:rsidP="00A3347B">
            <w:pPr>
              <w:spacing w:line="300" w:lineRule="auto"/>
              <w:jc w:val="center"/>
              <w:rPr>
                <w:rFonts w:ascii="新細明體" w:hAnsi="新細明體"/>
                <w:color w:val="000000" w:themeColor="text1"/>
                <w:spacing w:val="24"/>
              </w:rPr>
            </w:pPr>
          </w:p>
        </w:tc>
      </w:tr>
      <w:tr w:rsidR="00206453" w14:paraId="155693E7" w14:textId="77777777" w:rsidTr="00206453">
        <w:tc>
          <w:tcPr>
            <w:tcW w:w="4853" w:type="dxa"/>
          </w:tcPr>
          <w:p w14:paraId="157F8D5D"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595EDB49" w14:textId="77777777" w:rsidR="00206453" w:rsidRPr="00206453" w:rsidRDefault="00206453" w:rsidP="00206453">
            <w:pPr>
              <w:spacing w:line="400" w:lineRule="exact"/>
              <w:jc w:val="center"/>
              <w:rPr>
                <w:rFonts w:ascii="新細明體" w:hAnsi="新細明體"/>
                <w:color w:val="000000" w:themeColor="text1"/>
                <w:spacing w:val="24"/>
                <w:u w:val="single"/>
              </w:rPr>
            </w:pPr>
            <w:r>
              <w:rPr>
                <w:rFonts w:ascii="新細明體" w:hAnsi="新細明體" w:hint="eastAsia"/>
                <w:color w:val="000000" w:themeColor="text1"/>
              </w:rPr>
              <w:t xml:space="preserve">業務及收入循環：經紀－集中、櫃檯 </w:t>
            </w:r>
          </w:p>
        </w:tc>
        <w:tc>
          <w:tcPr>
            <w:tcW w:w="4854" w:type="dxa"/>
          </w:tcPr>
          <w:p w14:paraId="270F69B2" w14:textId="77777777" w:rsidR="00206453" w:rsidRDefault="00206453" w:rsidP="00A3347B">
            <w:pPr>
              <w:spacing w:line="300" w:lineRule="auto"/>
              <w:jc w:val="center"/>
              <w:rPr>
                <w:rFonts w:ascii="新細明體" w:hAnsi="新細明體"/>
                <w:color w:val="000000" w:themeColor="text1"/>
                <w:spacing w:val="24"/>
              </w:rPr>
            </w:pPr>
          </w:p>
        </w:tc>
      </w:tr>
      <w:tr w:rsidR="00206453" w14:paraId="0BCE38C9" w14:textId="77777777" w:rsidTr="00206453">
        <w:tc>
          <w:tcPr>
            <w:tcW w:w="4853" w:type="dxa"/>
          </w:tcPr>
          <w:p w14:paraId="3574CE46" w14:textId="77777777" w:rsidR="00206453" w:rsidRDefault="00206453" w:rsidP="00206453">
            <w:pPr>
              <w:spacing w:line="300" w:lineRule="auto"/>
              <w:rPr>
                <w:rFonts w:ascii="新細明體" w:hAnsi="新細明體"/>
                <w:color w:val="000000" w:themeColor="text1"/>
                <w:spacing w:val="24"/>
              </w:rPr>
            </w:pPr>
            <w:r>
              <w:rPr>
                <w:rFonts w:ascii="新細明體" w:hAnsi="新細明體" w:hint="eastAsia"/>
                <w:color w:val="000000" w:themeColor="text1"/>
                <w:spacing w:val="24"/>
              </w:rPr>
              <w:t>作業週期：（每月至少查核乙次）</w:t>
            </w:r>
          </w:p>
        </w:tc>
        <w:tc>
          <w:tcPr>
            <w:tcW w:w="4853" w:type="dxa"/>
          </w:tcPr>
          <w:p w14:paraId="5D1A2699"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60"/>
                <w:u w:val="single"/>
              </w:rPr>
              <w:t>受託買賣交易查核明細表</w:t>
            </w:r>
          </w:p>
        </w:tc>
        <w:tc>
          <w:tcPr>
            <w:tcW w:w="4854" w:type="dxa"/>
          </w:tcPr>
          <w:p w14:paraId="4F47AD3F" w14:textId="77777777" w:rsidR="00206453" w:rsidRDefault="00206453" w:rsidP="00A3347B">
            <w:pPr>
              <w:spacing w:line="300" w:lineRule="auto"/>
              <w:jc w:val="center"/>
              <w:rPr>
                <w:rFonts w:ascii="新細明體" w:hAnsi="新細明體"/>
                <w:color w:val="000000" w:themeColor="text1"/>
                <w:spacing w:val="24"/>
              </w:rPr>
            </w:pPr>
          </w:p>
        </w:tc>
      </w:tr>
    </w:tbl>
    <w:tbl>
      <w:tblPr>
        <w:tblW w:w="150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00367148" w:rsidRPr="00367148" w14:paraId="509B9F18" w14:textId="77777777" w:rsidTr="00B77A59">
        <w:trPr>
          <w:cantSplit/>
          <w:trHeight w:hRule="exact" w:val="522"/>
          <w:tblHeader/>
        </w:trPr>
        <w:tc>
          <w:tcPr>
            <w:tcW w:w="1985" w:type="dxa"/>
            <w:vMerge w:val="restart"/>
            <w:tcBorders>
              <w:top w:val="single" w:sz="12" w:space="0" w:color="auto"/>
              <w:left w:val="single" w:sz="12" w:space="0" w:color="auto"/>
            </w:tcBorders>
            <w:vAlign w:val="center"/>
          </w:tcPr>
          <w:p w14:paraId="016523E8"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項</w:t>
            </w:r>
            <w:r w:rsidRPr="00367148">
              <w:rPr>
                <w:rFonts w:ascii="新細明體" w:hAnsi="新細明體"/>
                <w:color w:val="000000" w:themeColor="text1"/>
              </w:rPr>
              <w:t xml:space="preserve">     </w:t>
            </w:r>
            <w:r w:rsidRPr="00367148">
              <w:rPr>
                <w:rFonts w:ascii="新細明體" w:hAnsi="新細明體" w:hint="eastAsia"/>
                <w:color w:val="000000" w:themeColor="text1"/>
              </w:rPr>
              <w:t>目</w:t>
            </w:r>
          </w:p>
        </w:tc>
        <w:tc>
          <w:tcPr>
            <w:tcW w:w="9383" w:type="dxa"/>
            <w:vMerge w:val="restart"/>
            <w:tcBorders>
              <w:top w:val="single" w:sz="12" w:space="0" w:color="auto"/>
            </w:tcBorders>
            <w:vAlign w:val="center"/>
          </w:tcPr>
          <w:p w14:paraId="201F2731"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查</w:t>
            </w:r>
            <w:r w:rsidRPr="00367148">
              <w:rPr>
                <w:rFonts w:ascii="新細明體" w:hAnsi="新細明體"/>
                <w:color w:val="000000" w:themeColor="text1"/>
              </w:rPr>
              <w:t xml:space="preserve">          </w:t>
            </w:r>
            <w:r w:rsidRPr="00367148">
              <w:rPr>
                <w:rFonts w:ascii="新細明體" w:hAnsi="新細明體" w:hint="eastAsia"/>
                <w:color w:val="000000" w:themeColor="text1"/>
              </w:rPr>
              <w:t>核</w:t>
            </w:r>
            <w:r w:rsidRPr="00367148">
              <w:rPr>
                <w:rFonts w:ascii="新細明體" w:hAnsi="新細明體"/>
                <w:color w:val="000000" w:themeColor="text1"/>
              </w:rPr>
              <w:t xml:space="preserve">          </w:t>
            </w:r>
            <w:r w:rsidRPr="00367148">
              <w:rPr>
                <w:rFonts w:ascii="新細明體" w:hAnsi="新細明體" w:hint="eastAsia"/>
                <w:color w:val="000000" w:themeColor="text1"/>
              </w:rPr>
              <w:t>程</w:t>
            </w:r>
            <w:r w:rsidRPr="00367148">
              <w:rPr>
                <w:rFonts w:ascii="新細明體" w:hAnsi="新細明體"/>
                <w:color w:val="000000" w:themeColor="text1"/>
              </w:rPr>
              <w:t xml:space="preserve">          </w:t>
            </w:r>
            <w:r w:rsidRPr="00367148">
              <w:rPr>
                <w:rFonts w:ascii="新細明體" w:hAnsi="新細明體" w:hint="eastAsia"/>
                <w:color w:val="000000" w:themeColor="text1"/>
              </w:rPr>
              <w:t>序</w:t>
            </w:r>
          </w:p>
        </w:tc>
        <w:tc>
          <w:tcPr>
            <w:tcW w:w="2410" w:type="dxa"/>
            <w:gridSpan w:val="3"/>
            <w:tcBorders>
              <w:top w:val="single" w:sz="12" w:space="0" w:color="auto"/>
            </w:tcBorders>
            <w:vAlign w:val="center"/>
          </w:tcPr>
          <w:p w14:paraId="662F4736" w14:textId="77777777" w:rsidR="00A1667A" w:rsidRPr="00367148" w:rsidRDefault="00A1667A" w:rsidP="008600C2">
            <w:pPr>
              <w:spacing w:line="280" w:lineRule="exact"/>
              <w:jc w:val="center"/>
              <w:rPr>
                <w:rFonts w:ascii="新細明體" w:hAnsi="新細明體"/>
                <w:color w:val="000000" w:themeColor="text1"/>
                <w:spacing w:val="60"/>
                <w:sz w:val="18"/>
                <w:szCs w:val="18"/>
              </w:rPr>
            </w:pPr>
            <w:r w:rsidRPr="00367148">
              <w:rPr>
                <w:rFonts w:ascii="新細明體" w:hAnsi="新細明體" w:hint="eastAsia"/>
                <w:color w:val="000000" w:themeColor="text1"/>
                <w:spacing w:val="60"/>
                <w:sz w:val="18"/>
                <w:szCs w:val="18"/>
              </w:rPr>
              <w:t>查核結果</w:t>
            </w:r>
          </w:p>
        </w:tc>
        <w:tc>
          <w:tcPr>
            <w:tcW w:w="1276" w:type="dxa"/>
            <w:vMerge w:val="restart"/>
            <w:tcBorders>
              <w:top w:val="single" w:sz="12" w:space="0" w:color="auto"/>
              <w:right w:val="single" w:sz="12" w:space="0" w:color="auto"/>
            </w:tcBorders>
            <w:vAlign w:val="center"/>
          </w:tcPr>
          <w:p w14:paraId="3ECBC1BD" w14:textId="77777777" w:rsidR="007A0E65" w:rsidRPr="00367148" w:rsidRDefault="00A1667A" w:rsidP="005E3DFF">
            <w:pPr>
              <w:spacing w:line="320" w:lineRule="atLeast"/>
              <w:jc w:val="center"/>
              <w:rPr>
                <w:rFonts w:ascii="新細明體" w:hAnsi="新細明體"/>
                <w:color w:val="000000" w:themeColor="text1"/>
                <w:spacing w:val="60"/>
              </w:rPr>
            </w:pPr>
            <w:r w:rsidRPr="00367148">
              <w:rPr>
                <w:rFonts w:ascii="新細明體" w:hAnsi="新細明體" w:hint="eastAsia"/>
                <w:color w:val="000000" w:themeColor="text1"/>
                <w:spacing w:val="60"/>
              </w:rPr>
              <w:t>底稿</w:t>
            </w:r>
          </w:p>
          <w:p w14:paraId="29D44D06" w14:textId="77777777" w:rsidR="00A1667A" w:rsidRPr="00367148" w:rsidRDefault="00A1667A" w:rsidP="005E3DFF">
            <w:pPr>
              <w:spacing w:line="320" w:lineRule="atLeast"/>
              <w:jc w:val="center"/>
              <w:rPr>
                <w:rFonts w:ascii="新細明體" w:hAnsi="新細明體"/>
                <w:color w:val="000000" w:themeColor="text1"/>
              </w:rPr>
            </w:pPr>
            <w:r w:rsidRPr="00367148">
              <w:rPr>
                <w:rFonts w:ascii="新細明體" w:hAnsi="新細明體" w:hint="eastAsia"/>
                <w:color w:val="000000" w:themeColor="text1"/>
                <w:spacing w:val="60"/>
              </w:rPr>
              <w:t>索引</w:t>
            </w:r>
          </w:p>
        </w:tc>
      </w:tr>
      <w:tr w:rsidR="00367148" w:rsidRPr="00367148" w14:paraId="67C005CA" w14:textId="77777777" w:rsidTr="00B77A59">
        <w:trPr>
          <w:cantSplit/>
          <w:trHeight w:hRule="exact" w:val="402"/>
          <w:tblHeader/>
        </w:trPr>
        <w:tc>
          <w:tcPr>
            <w:tcW w:w="1985" w:type="dxa"/>
            <w:vMerge/>
            <w:tcBorders>
              <w:left w:val="single" w:sz="12" w:space="0" w:color="auto"/>
            </w:tcBorders>
          </w:tcPr>
          <w:p w14:paraId="7D33333B" w14:textId="77777777" w:rsidR="00A1667A" w:rsidRPr="00367148" w:rsidRDefault="00A1667A" w:rsidP="00647C22">
            <w:pPr>
              <w:rPr>
                <w:rFonts w:ascii="新細明體" w:hAnsi="新細明體"/>
                <w:color w:val="000000" w:themeColor="text1"/>
              </w:rPr>
            </w:pPr>
          </w:p>
        </w:tc>
        <w:tc>
          <w:tcPr>
            <w:tcW w:w="9383" w:type="dxa"/>
            <w:vMerge/>
          </w:tcPr>
          <w:p w14:paraId="304164A2" w14:textId="77777777" w:rsidR="00A1667A" w:rsidRPr="00367148" w:rsidRDefault="00A1667A" w:rsidP="00647C22">
            <w:pPr>
              <w:rPr>
                <w:rFonts w:ascii="新細明體" w:hAnsi="新細明體"/>
                <w:color w:val="000000" w:themeColor="text1"/>
              </w:rPr>
            </w:pPr>
          </w:p>
        </w:tc>
        <w:tc>
          <w:tcPr>
            <w:tcW w:w="851" w:type="dxa"/>
          </w:tcPr>
          <w:p w14:paraId="57BE5A9D"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是</w:t>
            </w:r>
          </w:p>
        </w:tc>
        <w:tc>
          <w:tcPr>
            <w:tcW w:w="850" w:type="dxa"/>
          </w:tcPr>
          <w:p w14:paraId="3CA728FB"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否</w:t>
            </w:r>
          </w:p>
        </w:tc>
        <w:tc>
          <w:tcPr>
            <w:tcW w:w="709" w:type="dxa"/>
          </w:tcPr>
          <w:p w14:paraId="73DBE6E5"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不適用</w:t>
            </w:r>
          </w:p>
        </w:tc>
        <w:tc>
          <w:tcPr>
            <w:tcW w:w="1276" w:type="dxa"/>
            <w:vMerge/>
            <w:tcBorders>
              <w:right w:val="single" w:sz="12" w:space="0" w:color="auto"/>
            </w:tcBorders>
          </w:tcPr>
          <w:p w14:paraId="5635C47E" w14:textId="77777777" w:rsidR="00A1667A" w:rsidRPr="00367148" w:rsidRDefault="00A1667A" w:rsidP="00647C22">
            <w:pPr>
              <w:rPr>
                <w:rFonts w:ascii="新細明體" w:hAnsi="新細明體"/>
                <w:color w:val="000000" w:themeColor="text1"/>
              </w:rPr>
            </w:pPr>
          </w:p>
        </w:tc>
      </w:tr>
      <w:tr w:rsidR="00367148" w:rsidRPr="00367148" w14:paraId="374AA9BA" w14:textId="77777777" w:rsidTr="00260A68">
        <w:trPr>
          <w:trHeight w:val="489"/>
        </w:trPr>
        <w:tc>
          <w:tcPr>
            <w:tcW w:w="1985" w:type="dxa"/>
            <w:tcBorders>
              <w:left w:val="single" w:sz="12" w:space="0" w:color="auto"/>
            </w:tcBorders>
          </w:tcPr>
          <w:p w14:paraId="4CAB056D"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(FA-11210-M)</w:t>
            </w:r>
          </w:p>
          <w:p w14:paraId="57FC07C7"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受託買賣及成交作業</w:t>
            </w:r>
          </w:p>
        </w:tc>
        <w:tc>
          <w:tcPr>
            <w:tcW w:w="9383" w:type="dxa"/>
          </w:tcPr>
          <w:p w14:paraId="7AC34DAF" w14:textId="77777777" w:rsidR="00C077EC" w:rsidRDefault="00FB6D5F">
            <w:pPr>
              <w:ind w:left="449" w:hangingChars="187" w:hanging="449"/>
            </w:pPr>
            <w:r>
              <w:t>一、營業櫃檯主管或其指定人員應按月擇日</w:t>
            </w:r>
            <w:r>
              <w:t>(</w:t>
            </w:r>
            <w:r>
              <w:t>至少選一營業日</w:t>
            </w:r>
            <w:r>
              <w:t>)</w:t>
            </w:r>
            <w:r>
              <w:t>就當面委託交易者確認有無委託事實，並留存相關紀錄，抽樣比例至少為該日當面委託筆數之</w:t>
            </w:r>
            <w:r>
              <w:t>20%</w:t>
            </w:r>
            <w:r>
              <w:t>。</w:t>
            </w:r>
            <w:r>
              <w:t>(</w:t>
            </w:r>
            <w:r>
              <w:t>排除客戶屬『證券商管理規則』第</w:t>
            </w:r>
            <w:r>
              <w:t>19</w:t>
            </w:r>
            <w:r>
              <w:t>條之</w:t>
            </w:r>
            <w:r>
              <w:t>7</w:t>
            </w:r>
            <w:r>
              <w:t>所稱之專業機構投資人。</w:t>
            </w:r>
            <w:r>
              <w:t>)</w:t>
            </w:r>
          </w:p>
          <w:p w14:paraId="31881E19" w14:textId="77777777" w:rsidR="00C077EC" w:rsidRDefault="00FB6D5F">
            <w:pPr>
              <w:ind w:left="449" w:hangingChars="187" w:hanging="449"/>
            </w:pPr>
            <w:r>
              <w:t>二、受託買賣業務人員接受客戶電話委託後是否依客戶指示執行買賣有價證券。</w:t>
            </w:r>
            <w:r>
              <w:t>(</w:t>
            </w:r>
            <w:r>
              <w:t>排除客戶屬『證券商管理規則』第</w:t>
            </w:r>
            <w:r>
              <w:t>19</w:t>
            </w:r>
            <w:r>
              <w:t>條之</w:t>
            </w:r>
            <w:r>
              <w:t>7</w:t>
            </w:r>
            <w:r>
              <w:t>所稱之專業機構投資人。</w:t>
            </w:r>
            <w:r>
              <w:t>)</w:t>
            </w:r>
          </w:p>
          <w:p w14:paraId="4DF771BC" w14:textId="77777777" w:rsidR="00C077EC" w:rsidRDefault="00FB6D5F">
            <w:pPr>
              <w:ind w:left="449" w:hangingChars="187" w:hanging="449"/>
            </w:pPr>
            <w:r>
              <w:t>三、公司是否產製每日總</w:t>
            </w:r>
            <w:r>
              <w:rPr>
                <w:strike/>
                <w:color w:val="FF0000"/>
              </w:rPr>
              <w:t>分</w:t>
            </w:r>
            <w:r>
              <w:t>公司</w:t>
            </w:r>
            <w:r>
              <w:rPr>
                <w:color w:val="FF0000"/>
                <w:u w:val="single"/>
              </w:rPr>
              <w:t>及分支機構</w:t>
            </w:r>
            <w:r>
              <w:t>所有網際網路委託多筆買賣合計新台幣二百五十萬元以上或單筆買賣新台幣五十萬元以上明細</w:t>
            </w:r>
            <w:r>
              <w:t>(</w:t>
            </w:r>
            <w:r>
              <w:t>惟內部人員及客戶間不限買賣金額</w:t>
            </w:r>
            <w:r>
              <w:t>)</w:t>
            </w:r>
            <w:r>
              <w:t>間之相同</w:t>
            </w:r>
            <w:r>
              <w:t>IP</w:t>
            </w:r>
            <w:r>
              <w:t>資料，除已留存紀錄確認有精進方式可識別該相同</w:t>
            </w:r>
            <w:r>
              <w:t>IP</w:t>
            </w:r>
            <w:r>
              <w:t>係來自不同裝置下單者外，是否指定專人於次月底依下列規定完成查證作業並留存紀錄：</w:t>
            </w:r>
          </w:p>
          <w:p w14:paraId="28D30C2B" w14:textId="77777777" w:rsidR="00C077EC" w:rsidRDefault="00FB6D5F">
            <w:pPr>
              <w:ind w:leftChars="99" w:left="639" w:hangingChars="167" w:hanging="401"/>
            </w:pPr>
            <w:r>
              <w:t>(</w:t>
            </w:r>
            <w:r>
              <w:t>一</w:t>
            </w:r>
            <w:r>
              <w:t>)</w:t>
            </w:r>
            <w:r>
              <w:t>應查明是否為委託人親自委託下單。</w:t>
            </w:r>
          </w:p>
          <w:p w14:paraId="4386A36A" w14:textId="77777777" w:rsidR="00C077EC" w:rsidRDefault="00FB6D5F">
            <w:pPr>
              <w:ind w:leftChars="99" w:left="639" w:hangingChars="167" w:hanging="401"/>
            </w:pPr>
            <w:r>
              <w:t>(</w:t>
            </w:r>
            <w:r>
              <w:t>二</w:t>
            </w:r>
            <w:r>
              <w:t>)</w:t>
            </w:r>
            <w:r>
              <w:t>如非委託人本人下單，委託人是否出具委任書指定代理人。</w:t>
            </w:r>
          </w:p>
          <w:p w14:paraId="1F37F286" w14:textId="77777777" w:rsidR="00C077EC" w:rsidRDefault="00FB6D5F">
            <w:pPr>
              <w:ind w:leftChars="99" w:left="639" w:hangingChars="167" w:hanging="401"/>
            </w:pPr>
            <w:r>
              <w:t>(</w:t>
            </w:r>
            <w:r>
              <w:t>三</w:t>
            </w:r>
            <w:r>
              <w:t>)</w:t>
            </w:r>
            <w:r>
              <w:t>應查證同一</w:t>
            </w:r>
            <w:r>
              <w:t>IP</w:t>
            </w:r>
            <w:r>
              <w:t>下單之原因及合理性：</w:t>
            </w:r>
          </w:p>
          <w:p w14:paraId="405FD06D" w14:textId="77777777" w:rsidR="00C077EC" w:rsidRDefault="00FB6D5F">
            <w:pPr>
              <w:ind w:leftChars="280" w:left="948" w:hangingChars="115" w:hanging="276"/>
            </w:pPr>
            <w:r>
              <w:t>1.</w:t>
            </w:r>
            <w:r>
              <w:t>應取得委託人確認交易真實性之聲明書、或採取適當方式</w:t>
            </w:r>
            <w:r>
              <w:t>(</w:t>
            </w:r>
            <w:r>
              <w:t>如電話錄音、</w:t>
            </w:r>
            <w:r>
              <w:t>Email</w:t>
            </w:r>
            <w:r>
              <w:t>回覆等</w:t>
            </w:r>
            <w:r>
              <w:t>)</w:t>
            </w:r>
            <w:r>
              <w:t>確認交易真實性並提醒客戶注意交易安全。公司可自訂前揭適當確認方式之有效期限，惟不得超過一年。</w:t>
            </w:r>
          </w:p>
          <w:p w14:paraId="36CBC5F5" w14:textId="77777777" w:rsidR="00C077EC" w:rsidRDefault="00FB6D5F">
            <w:pPr>
              <w:ind w:leftChars="280" w:left="948" w:hangingChars="115" w:hanging="276"/>
            </w:pPr>
            <w:r>
              <w:t>2.</w:t>
            </w:r>
            <w:r>
              <w:t>除為委託人之法定代理人、監護人或輔助人者外，證券商之董事、監察人及受僱人員不得代理他人買賣有價證券。</w:t>
            </w:r>
          </w:p>
          <w:p w14:paraId="4276121C" w14:textId="77777777" w:rsidR="00C077EC" w:rsidRDefault="00FB6D5F">
            <w:pPr>
              <w:ind w:leftChars="280" w:left="948" w:hangingChars="115" w:hanging="276"/>
            </w:pPr>
            <w:r>
              <w:t>3.</w:t>
            </w:r>
            <w:r>
              <w:t>如明知或可判斷個別客戶間屬關聯戶者，應納入公司關聯戶歸戶控管機制。</w:t>
            </w:r>
          </w:p>
          <w:p w14:paraId="46A1884D" w14:textId="77777777" w:rsidR="00C077EC" w:rsidRDefault="00FB6D5F">
            <w:pPr>
              <w:ind w:leftChars="280" w:left="948" w:hangingChars="115" w:hanging="276"/>
            </w:pPr>
            <w:r>
              <w:t>4.</w:t>
            </w:r>
            <w:r>
              <w:t>若客戶未能於期限內配合證券商完成查證作業，證券商得採取適當控管措施</w:t>
            </w:r>
            <w:r>
              <w:t>(</w:t>
            </w:r>
            <w:r>
              <w:t>如</w:t>
            </w:r>
            <w:r>
              <w:t>:</w:t>
            </w:r>
            <w:r>
              <w:t>不得新增電子式委託下單或調降單日買賣額度等</w:t>
            </w:r>
            <w:r>
              <w:t>)</w:t>
            </w:r>
            <w:r>
              <w:t>。</w:t>
            </w:r>
          </w:p>
          <w:p w14:paraId="3DF6BA6E" w14:textId="77777777" w:rsidR="00C077EC" w:rsidRDefault="00FB6D5F">
            <w:pPr>
              <w:ind w:leftChars="99" w:left="639" w:hangingChars="167" w:hanging="401"/>
            </w:pPr>
            <w:r>
              <w:t>(</w:t>
            </w:r>
            <w:r>
              <w:t>四</w:t>
            </w:r>
            <w:r>
              <w:t>)</w:t>
            </w:r>
            <w:r>
              <w:t>如發現內部人員確有違背法令，即應主動報請證交所或主管機關核辦，若有違反公司內部控制制度時，即應依規定予以處分，並留存完整之處理報告紀錄。</w:t>
            </w:r>
          </w:p>
          <w:p w14:paraId="3D5ADA3D" w14:textId="77777777" w:rsidR="00C077EC" w:rsidRDefault="00FB6D5F">
            <w:pPr>
              <w:ind w:left="449" w:hangingChars="187" w:hanging="449"/>
            </w:pPr>
            <w:r>
              <w:lastRenderedPageBreak/>
              <w:t>四、為強化投資人違約風險控管，依證交所</w:t>
            </w:r>
            <w:r>
              <w:t>110</w:t>
            </w:r>
            <w:r>
              <w:t>年</w:t>
            </w:r>
            <w:r>
              <w:t>9</w:t>
            </w:r>
            <w:r>
              <w:t>月</w:t>
            </w:r>
            <w:r>
              <w:t>10</w:t>
            </w:r>
            <w:r>
              <w:t>日臺證輔字第</w:t>
            </w:r>
            <w:r>
              <w:t>1100018043</w:t>
            </w:r>
            <w:r>
              <w:t>號函規定，自</w:t>
            </w:r>
            <w:r>
              <w:t>110</w:t>
            </w:r>
            <w:r>
              <w:t>年</w:t>
            </w:r>
            <w:r>
              <w:t>10</w:t>
            </w:r>
            <w:r>
              <w:t>月</w:t>
            </w:r>
            <w:r>
              <w:t>12</w:t>
            </w:r>
            <w:r>
              <w:t>日起，公司是否對違約投資人實施下列管理措施：</w:t>
            </w:r>
          </w:p>
          <w:p w14:paraId="61732C8D" w14:textId="77777777" w:rsidR="00C077EC" w:rsidRDefault="00FB6D5F">
            <w:pPr>
              <w:ind w:leftChars="99" w:left="639" w:hangingChars="167" w:hanging="401"/>
            </w:pPr>
            <w:r>
              <w:t>(</w:t>
            </w:r>
            <w:r>
              <w:t>一</w:t>
            </w:r>
            <w:r>
              <w:t>)</w:t>
            </w:r>
            <w:r>
              <w:t>投資人首次發生違約，公司應以文件通知投資人委託買賣證券應履行交割責任，若未履行，違約資訊將揭露於證券商聯合徵信系統之個人負面資料，影響個人日後與公司之業務往來，並告知投資人爾後再次發生違約之相關規範。</w:t>
            </w:r>
          </w:p>
          <w:p w14:paraId="1A8107A0" w14:textId="77777777" w:rsidR="00C077EC" w:rsidRDefault="00FB6D5F">
            <w:pPr>
              <w:ind w:leftChars="99" w:left="639" w:hangingChars="167" w:hanging="401"/>
            </w:pPr>
            <w:r>
              <w:t>(</w:t>
            </w:r>
            <w:r>
              <w:t>二</w:t>
            </w:r>
            <w:r>
              <w:t>)</w:t>
            </w:r>
            <w:r>
              <w:t>投資人再次發生違約距前次違約時間尚在</w:t>
            </w:r>
            <w:r>
              <w:t xml:space="preserve"> 1</w:t>
            </w:r>
            <w:r>
              <w:t>年內，公司自接獲證交所每日上午</w:t>
            </w:r>
            <w:r>
              <w:t>8</w:t>
            </w:r>
            <w:r>
              <w:t>點</w:t>
            </w:r>
            <w:r>
              <w:t>30</w:t>
            </w:r>
            <w:r>
              <w:t>分之結案公告日起</w:t>
            </w:r>
            <w:r>
              <w:t>3</w:t>
            </w:r>
            <w:r>
              <w:t>個月內，受理該投資人首次交易日起連續</w:t>
            </w:r>
            <w:r>
              <w:t>10</w:t>
            </w:r>
            <w:r>
              <w:t>個營業日之委託，應預收足額款券，且預收之款券應透過公司交割專戶及證券集中保管事業辦理劃撥入帳及證券圈存，並在委託書上加註。</w:t>
            </w:r>
          </w:p>
          <w:p w14:paraId="630E35E7" w14:textId="77777777" w:rsidR="00C077EC" w:rsidRDefault="00FB6D5F">
            <w:pPr>
              <w:ind w:left="449" w:hangingChars="187" w:hanging="449"/>
            </w:pPr>
            <w:r>
              <w:t>五、公司受理客戶使用應用程式介面</w:t>
            </w:r>
            <w:r>
              <w:t>(API)</w:t>
            </w:r>
            <w:r>
              <w:t>服務作業是否依證交所「證券商受理投資人使用應用程式介面</w:t>
            </w:r>
            <w:r>
              <w:t>(API)</w:t>
            </w:r>
            <w:r>
              <w:t>服務作業規範」辦理。如提供加值服務是否由客戶自行設定參數與決定買賣之執行。</w:t>
            </w:r>
          </w:p>
          <w:p w14:paraId="3336C246" w14:textId="77777777" w:rsidR="00C077EC" w:rsidRDefault="00FB6D5F">
            <w:pPr>
              <w:ind w:left="449" w:hangingChars="187" w:hanging="449"/>
            </w:pPr>
            <w:r>
              <w:t>六、經證交所函知，公司對大量買進停止信用交易及借券交易指數股票型期貨信託基金受益憑證之客戶，應執行加強調查作業，是否依證交所</w:t>
            </w:r>
            <w:r>
              <w:t>112</w:t>
            </w:r>
            <w:r>
              <w:t>年</w:t>
            </w:r>
            <w:r>
              <w:t>5</w:t>
            </w:r>
            <w:r>
              <w:t>月</w:t>
            </w:r>
            <w:r>
              <w:t>30</w:t>
            </w:r>
            <w:r>
              <w:t>日臺證輔字第</w:t>
            </w:r>
            <w:r>
              <w:t>1120501644</w:t>
            </w:r>
            <w:r>
              <w:t>號函辦理，並依證交所函知期限函復備查。</w:t>
            </w:r>
          </w:p>
        </w:tc>
        <w:tc>
          <w:tcPr>
            <w:tcW w:w="851" w:type="dxa"/>
          </w:tcPr>
          <w:p w14:paraId="56C7CBB9"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850" w:type="dxa"/>
          </w:tcPr>
          <w:p w14:paraId="49DF5F4F"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709" w:type="dxa"/>
          </w:tcPr>
          <w:p w14:paraId="19583125"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1276" w:type="dxa"/>
            <w:tcBorders>
              <w:right w:val="single" w:sz="12" w:space="0" w:color="auto"/>
            </w:tcBorders>
          </w:tcPr>
          <w:p w14:paraId="67620AF1" w14:textId="77777777" w:rsidR="00A1667A" w:rsidRPr="00367148" w:rsidRDefault="00A1667A" w:rsidP="00647C22">
            <w:pPr>
              <w:spacing w:line="260" w:lineRule="exact"/>
              <w:rPr>
                <w:rFonts w:ascii="新細明體" w:hAnsi="新細明體"/>
                <w:color w:val="000000" w:themeColor="text1"/>
              </w:rPr>
            </w:pPr>
          </w:p>
        </w:tc>
      </w:tr>
      <w:tr w:rsidR="00367148" w:rsidRPr="00367148" w14:paraId="2037FC8E" w14:textId="77777777" w:rsidTr="00455A5F">
        <w:trPr>
          <w:cantSplit/>
        </w:trPr>
        <w:tc>
          <w:tcPr>
            <w:tcW w:w="15054" w:type="dxa"/>
            <w:gridSpan w:val="6"/>
            <w:tcBorders>
              <w:left w:val="single" w:sz="12" w:space="0" w:color="auto"/>
              <w:bottom w:val="single" w:sz="12" w:space="0" w:color="auto"/>
              <w:right w:val="single" w:sz="12" w:space="0" w:color="auto"/>
            </w:tcBorders>
          </w:tcPr>
          <w:p w14:paraId="465E06CF" w14:textId="77777777" w:rsidR="00A1667A" w:rsidRPr="00367148" w:rsidRDefault="00A1667A" w:rsidP="00647C22">
            <w:pPr>
              <w:ind w:firstLine="180"/>
              <w:rPr>
                <w:rFonts w:ascii="新細明體" w:hAnsi="新細明體"/>
                <w:color w:val="000000" w:themeColor="text1"/>
              </w:rPr>
            </w:pPr>
            <w:r w:rsidRPr="00367148">
              <w:rPr>
                <w:rFonts w:ascii="新細明體" w:hAnsi="新細明體" w:hint="eastAsia"/>
                <w:color w:val="000000" w:themeColor="text1"/>
                <w:spacing w:val="24"/>
              </w:rPr>
              <w:t>備</w:t>
            </w:r>
            <w:r w:rsidR="00055C99">
              <w:rPr>
                <w:rFonts w:ascii="新細明體" w:hAnsi="新細明體" w:hint="eastAsia"/>
                <w:color w:val="000000" w:themeColor="text1"/>
                <w:spacing w:val="24"/>
              </w:rPr>
              <w:t xml:space="preserve">  </w:t>
            </w:r>
            <w:proofErr w:type="gramStart"/>
            <w:r w:rsidRPr="00367148">
              <w:rPr>
                <w:rFonts w:ascii="新細明體" w:hAnsi="新細明體" w:hint="eastAsia"/>
                <w:color w:val="000000" w:themeColor="text1"/>
                <w:spacing w:val="24"/>
              </w:rPr>
              <w:t>註</w:t>
            </w:r>
            <w:proofErr w:type="gramEnd"/>
            <w:r w:rsidRPr="00367148">
              <w:rPr>
                <w:rFonts w:ascii="新細明體" w:hAnsi="新細明體" w:hint="eastAsia"/>
                <w:color w:val="000000" w:themeColor="text1"/>
                <w:spacing w:val="24"/>
              </w:rPr>
              <w:t>：</w:t>
            </w:r>
          </w:p>
        </w:tc>
      </w:tr>
    </w:tbl>
    <w:p w14:paraId="1EE0A6C2" w14:textId="77777777" w:rsidR="00A24670" w:rsidRPr="00EF3852" w:rsidRDefault="00A3347B" w:rsidP="00EF3852">
      <w:pPr>
        <w:spacing w:beforeLines="50" w:before="180"/>
        <w:rPr>
          <w:rFonts w:ascii="新細明體" w:hAnsi="新細明體"/>
          <w:color w:val="000000" w:themeColor="text1"/>
          <w:spacing w:val="24"/>
          <w:u w:val="single"/>
        </w:rPr>
      </w:pPr>
      <w:r w:rsidRPr="00367148">
        <w:rPr>
          <w:rFonts w:ascii="新細明體" w:hAnsi="新細明體" w:hint="eastAsia"/>
          <w:color w:val="000000" w:themeColor="text1"/>
          <w:spacing w:val="24"/>
        </w:rPr>
        <w:t xml:space="preserve">                                                        稽核人員</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日</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期</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p>
    <w:sectPr w:rsidR="00A24670" w:rsidRPr="00EF3852"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6BA24" w14:textId="77777777" w:rsidR="00125530" w:rsidRDefault="00125530" w:rsidP="00D253DA">
      <w:r>
        <w:separator/>
      </w:r>
    </w:p>
  </w:endnote>
  <w:endnote w:type="continuationSeparator" w:id="0">
    <w:p w14:paraId="7144E9F7" w14:textId="77777777" w:rsidR="00125530" w:rsidRDefault="00125530"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E6030" w14:textId="77777777" w:rsidR="00125530" w:rsidRDefault="00125530" w:rsidP="00D253DA">
      <w:r>
        <w:separator/>
      </w:r>
    </w:p>
  </w:footnote>
  <w:footnote w:type="continuationSeparator" w:id="0">
    <w:p w14:paraId="09BDDFD9" w14:textId="77777777" w:rsidR="00125530" w:rsidRDefault="00125530"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33986210">
    <w:abstractNumId w:val="8"/>
  </w:num>
  <w:num w:numId="2" w16cid:durableId="1140803734">
    <w:abstractNumId w:val="0"/>
  </w:num>
  <w:num w:numId="3" w16cid:durableId="118762223">
    <w:abstractNumId w:val="2"/>
  </w:num>
  <w:num w:numId="4" w16cid:durableId="696395036">
    <w:abstractNumId w:val="4"/>
  </w:num>
  <w:num w:numId="5" w16cid:durableId="1778286075">
    <w:abstractNumId w:val="5"/>
  </w:num>
  <w:num w:numId="6" w16cid:durableId="1070345503">
    <w:abstractNumId w:val="6"/>
  </w:num>
  <w:num w:numId="7" w16cid:durableId="414210760">
    <w:abstractNumId w:val="9"/>
  </w:num>
  <w:num w:numId="8" w16cid:durableId="2114980009">
    <w:abstractNumId w:val="7"/>
  </w:num>
  <w:num w:numId="9" w16cid:durableId="985864830">
    <w:abstractNumId w:val="3"/>
  </w:num>
  <w:num w:numId="10" w16cid:durableId="1972402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34BB9"/>
    <w:rsid w:val="00055C99"/>
    <w:rsid w:val="00060168"/>
    <w:rsid w:val="00061E81"/>
    <w:rsid w:val="00071F35"/>
    <w:rsid w:val="000731FA"/>
    <w:rsid w:val="000733BF"/>
    <w:rsid w:val="000738D8"/>
    <w:rsid w:val="00075AC3"/>
    <w:rsid w:val="00085A58"/>
    <w:rsid w:val="00092406"/>
    <w:rsid w:val="00096F14"/>
    <w:rsid w:val="000A4AF2"/>
    <w:rsid w:val="000B1084"/>
    <w:rsid w:val="000B3E18"/>
    <w:rsid w:val="000B750B"/>
    <w:rsid w:val="000B7B71"/>
    <w:rsid w:val="000B7D5B"/>
    <w:rsid w:val="000C0D07"/>
    <w:rsid w:val="000C45D4"/>
    <w:rsid w:val="000D6B17"/>
    <w:rsid w:val="000D6E5B"/>
    <w:rsid w:val="000F37DD"/>
    <w:rsid w:val="0011220A"/>
    <w:rsid w:val="0011623D"/>
    <w:rsid w:val="00116AF7"/>
    <w:rsid w:val="00120188"/>
    <w:rsid w:val="00122D16"/>
    <w:rsid w:val="00125530"/>
    <w:rsid w:val="001267E4"/>
    <w:rsid w:val="00133DF6"/>
    <w:rsid w:val="00134ECA"/>
    <w:rsid w:val="00137DF7"/>
    <w:rsid w:val="00151762"/>
    <w:rsid w:val="00160E83"/>
    <w:rsid w:val="001635E1"/>
    <w:rsid w:val="00182897"/>
    <w:rsid w:val="00182FD3"/>
    <w:rsid w:val="00190BC6"/>
    <w:rsid w:val="001A1FD8"/>
    <w:rsid w:val="001A2FF1"/>
    <w:rsid w:val="001B4BE3"/>
    <w:rsid w:val="001C3E48"/>
    <w:rsid w:val="001C4E28"/>
    <w:rsid w:val="001D7FAD"/>
    <w:rsid w:val="001F12B7"/>
    <w:rsid w:val="002021CF"/>
    <w:rsid w:val="00206453"/>
    <w:rsid w:val="00207834"/>
    <w:rsid w:val="00230C9D"/>
    <w:rsid w:val="00234AA8"/>
    <w:rsid w:val="002376FA"/>
    <w:rsid w:val="002432F4"/>
    <w:rsid w:val="00243EA1"/>
    <w:rsid w:val="00245C15"/>
    <w:rsid w:val="00250198"/>
    <w:rsid w:val="0025675C"/>
    <w:rsid w:val="00260A68"/>
    <w:rsid w:val="00267873"/>
    <w:rsid w:val="00273D15"/>
    <w:rsid w:val="0027434F"/>
    <w:rsid w:val="0027590B"/>
    <w:rsid w:val="00284C2E"/>
    <w:rsid w:val="00296A8C"/>
    <w:rsid w:val="002A03D0"/>
    <w:rsid w:val="002A1FF7"/>
    <w:rsid w:val="002A4796"/>
    <w:rsid w:val="002B134A"/>
    <w:rsid w:val="002B16A5"/>
    <w:rsid w:val="002B1B2A"/>
    <w:rsid w:val="002B4A98"/>
    <w:rsid w:val="002B50E6"/>
    <w:rsid w:val="002B69AD"/>
    <w:rsid w:val="002C3D1B"/>
    <w:rsid w:val="002C755D"/>
    <w:rsid w:val="002D06ED"/>
    <w:rsid w:val="002D51F4"/>
    <w:rsid w:val="002D5539"/>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44123"/>
    <w:rsid w:val="00351611"/>
    <w:rsid w:val="00353B28"/>
    <w:rsid w:val="00367148"/>
    <w:rsid w:val="00374E0E"/>
    <w:rsid w:val="00382874"/>
    <w:rsid w:val="003A7FBE"/>
    <w:rsid w:val="003B26ED"/>
    <w:rsid w:val="003B5E07"/>
    <w:rsid w:val="003C20BF"/>
    <w:rsid w:val="003C754B"/>
    <w:rsid w:val="003C789F"/>
    <w:rsid w:val="003D0C59"/>
    <w:rsid w:val="003D2115"/>
    <w:rsid w:val="003E5F61"/>
    <w:rsid w:val="00400E6D"/>
    <w:rsid w:val="00410F98"/>
    <w:rsid w:val="0041457C"/>
    <w:rsid w:val="004229A3"/>
    <w:rsid w:val="00431812"/>
    <w:rsid w:val="0043293A"/>
    <w:rsid w:val="00440574"/>
    <w:rsid w:val="00440CF8"/>
    <w:rsid w:val="00444456"/>
    <w:rsid w:val="00455A5F"/>
    <w:rsid w:val="00474B4E"/>
    <w:rsid w:val="00481DE6"/>
    <w:rsid w:val="00483844"/>
    <w:rsid w:val="004A4B59"/>
    <w:rsid w:val="004A7E9E"/>
    <w:rsid w:val="004B2CD0"/>
    <w:rsid w:val="004C0F9A"/>
    <w:rsid w:val="004E16DF"/>
    <w:rsid w:val="004E330A"/>
    <w:rsid w:val="00502095"/>
    <w:rsid w:val="005034CB"/>
    <w:rsid w:val="005044EC"/>
    <w:rsid w:val="005200FE"/>
    <w:rsid w:val="005240E1"/>
    <w:rsid w:val="005327E8"/>
    <w:rsid w:val="00537B07"/>
    <w:rsid w:val="0054342D"/>
    <w:rsid w:val="0055469E"/>
    <w:rsid w:val="005610BC"/>
    <w:rsid w:val="0057123A"/>
    <w:rsid w:val="005715B0"/>
    <w:rsid w:val="00585C65"/>
    <w:rsid w:val="0059082B"/>
    <w:rsid w:val="005A204F"/>
    <w:rsid w:val="005A51E2"/>
    <w:rsid w:val="005C35E5"/>
    <w:rsid w:val="005D49C9"/>
    <w:rsid w:val="005D5E4D"/>
    <w:rsid w:val="005E0E2C"/>
    <w:rsid w:val="005E344C"/>
    <w:rsid w:val="005E3DFF"/>
    <w:rsid w:val="005F1322"/>
    <w:rsid w:val="005F5945"/>
    <w:rsid w:val="005F594B"/>
    <w:rsid w:val="005F73D1"/>
    <w:rsid w:val="00600DA5"/>
    <w:rsid w:val="00601E8C"/>
    <w:rsid w:val="006176E2"/>
    <w:rsid w:val="00647C22"/>
    <w:rsid w:val="00657C60"/>
    <w:rsid w:val="00661D33"/>
    <w:rsid w:val="00662526"/>
    <w:rsid w:val="00664E6D"/>
    <w:rsid w:val="00666D6E"/>
    <w:rsid w:val="0067139E"/>
    <w:rsid w:val="00677DAF"/>
    <w:rsid w:val="0069488D"/>
    <w:rsid w:val="0069784E"/>
    <w:rsid w:val="006A6D65"/>
    <w:rsid w:val="006B1C94"/>
    <w:rsid w:val="006B786D"/>
    <w:rsid w:val="006C4D07"/>
    <w:rsid w:val="006C63F0"/>
    <w:rsid w:val="006D034B"/>
    <w:rsid w:val="006D1078"/>
    <w:rsid w:val="006D27EC"/>
    <w:rsid w:val="00702D71"/>
    <w:rsid w:val="00711873"/>
    <w:rsid w:val="007266FF"/>
    <w:rsid w:val="007404A6"/>
    <w:rsid w:val="00751823"/>
    <w:rsid w:val="00753702"/>
    <w:rsid w:val="00753B5B"/>
    <w:rsid w:val="007665A4"/>
    <w:rsid w:val="0077161A"/>
    <w:rsid w:val="0077362B"/>
    <w:rsid w:val="00792CFF"/>
    <w:rsid w:val="00793B17"/>
    <w:rsid w:val="007A0E65"/>
    <w:rsid w:val="007B1EE6"/>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7707"/>
    <w:rsid w:val="00881A04"/>
    <w:rsid w:val="008A727F"/>
    <w:rsid w:val="008B3EB3"/>
    <w:rsid w:val="008B4360"/>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41D42"/>
    <w:rsid w:val="00945C4A"/>
    <w:rsid w:val="00951604"/>
    <w:rsid w:val="00953424"/>
    <w:rsid w:val="00962BEB"/>
    <w:rsid w:val="00966363"/>
    <w:rsid w:val="00967E27"/>
    <w:rsid w:val="00970379"/>
    <w:rsid w:val="00971361"/>
    <w:rsid w:val="00987B0B"/>
    <w:rsid w:val="00987CC2"/>
    <w:rsid w:val="00994361"/>
    <w:rsid w:val="0099688B"/>
    <w:rsid w:val="009A180A"/>
    <w:rsid w:val="009A2B04"/>
    <w:rsid w:val="009B03EA"/>
    <w:rsid w:val="009B24C9"/>
    <w:rsid w:val="009C01DC"/>
    <w:rsid w:val="009C3B4E"/>
    <w:rsid w:val="009D2746"/>
    <w:rsid w:val="009D77E5"/>
    <w:rsid w:val="009E5794"/>
    <w:rsid w:val="00A13C80"/>
    <w:rsid w:val="00A1667A"/>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7465"/>
    <w:rsid w:val="00A804B1"/>
    <w:rsid w:val="00A863BF"/>
    <w:rsid w:val="00AA60EC"/>
    <w:rsid w:val="00AB5EAE"/>
    <w:rsid w:val="00AB60C4"/>
    <w:rsid w:val="00AC2A52"/>
    <w:rsid w:val="00AD06BC"/>
    <w:rsid w:val="00AF5854"/>
    <w:rsid w:val="00AF63DE"/>
    <w:rsid w:val="00B110D2"/>
    <w:rsid w:val="00B1653A"/>
    <w:rsid w:val="00B177BF"/>
    <w:rsid w:val="00B27F48"/>
    <w:rsid w:val="00B332DA"/>
    <w:rsid w:val="00B336AA"/>
    <w:rsid w:val="00B37227"/>
    <w:rsid w:val="00B40BE3"/>
    <w:rsid w:val="00B43B3A"/>
    <w:rsid w:val="00B43B6E"/>
    <w:rsid w:val="00B47D8F"/>
    <w:rsid w:val="00B55802"/>
    <w:rsid w:val="00B60AB9"/>
    <w:rsid w:val="00B650E1"/>
    <w:rsid w:val="00B65AC9"/>
    <w:rsid w:val="00B713D7"/>
    <w:rsid w:val="00B71A4F"/>
    <w:rsid w:val="00B71AE8"/>
    <w:rsid w:val="00B771F2"/>
    <w:rsid w:val="00B77A59"/>
    <w:rsid w:val="00B936DF"/>
    <w:rsid w:val="00BB1876"/>
    <w:rsid w:val="00BC1BED"/>
    <w:rsid w:val="00BC5D94"/>
    <w:rsid w:val="00BD63B1"/>
    <w:rsid w:val="00BE01E6"/>
    <w:rsid w:val="00BE0615"/>
    <w:rsid w:val="00C01E50"/>
    <w:rsid w:val="00C02697"/>
    <w:rsid w:val="00C038B3"/>
    <w:rsid w:val="00C051C5"/>
    <w:rsid w:val="00C06685"/>
    <w:rsid w:val="00C077EC"/>
    <w:rsid w:val="00C10899"/>
    <w:rsid w:val="00C12943"/>
    <w:rsid w:val="00C13A56"/>
    <w:rsid w:val="00C40023"/>
    <w:rsid w:val="00C43224"/>
    <w:rsid w:val="00C502E5"/>
    <w:rsid w:val="00C54497"/>
    <w:rsid w:val="00C55D61"/>
    <w:rsid w:val="00C618D2"/>
    <w:rsid w:val="00C666C3"/>
    <w:rsid w:val="00C7577C"/>
    <w:rsid w:val="00C77171"/>
    <w:rsid w:val="00C80CB7"/>
    <w:rsid w:val="00C84620"/>
    <w:rsid w:val="00C92619"/>
    <w:rsid w:val="00C9551B"/>
    <w:rsid w:val="00C97BBC"/>
    <w:rsid w:val="00CB0A40"/>
    <w:rsid w:val="00CB1E82"/>
    <w:rsid w:val="00CC0247"/>
    <w:rsid w:val="00CC1D26"/>
    <w:rsid w:val="00CE0B3B"/>
    <w:rsid w:val="00CE0FA0"/>
    <w:rsid w:val="00CE6BE7"/>
    <w:rsid w:val="00CF41F2"/>
    <w:rsid w:val="00CF7E52"/>
    <w:rsid w:val="00D0103E"/>
    <w:rsid w:val="00D054DE"/>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204E"/>
    <w:rsid w:val="00D84D70"/>
    <w:rsid w:val="00DA0161"/>
    <w:rsid w:val="00DA0F1B"/>
    <w:rsid w:val="00DC040D"/>
    <w:rsid w:val="00DC6263"/>
    <w:rsid w:val="00DC6402"/>
    <w:rsid w:val="00DE027C"/>
    <w:rsid w:val="00E025C9"/>
    <w:rsid w:val="00E02BA5"/>
    <w:rsid w:val="00E0414A"/>
    <w:rsid w:val="00E04C37"/>
    <w:rsid w:val="00E04E52"/>
    <w:rsid w:val="00E10468"/>
    <w:rsid w:val="00E23984"/>
    <w:rsid w:val="00E26F65"/>
    <w:rsid w:val="00E32A97"/>
    <w:rsid w:val="00E42EE1"/>
    <w:rsid w:val="00E44E4E"/>
    <w:rsid w:val="00E5074E"/>
    <w:rsid w:val="00E56C42"/>
    <w:rsid w:val="00E755B9"/>
    <w:rsid w:val="00E941A9"/>
    <w:rsid w:val="00E97905"/>
    <w:rsid w:val="00EA0AA8"/>
    <w:rsid w:val="00EA7651"/>
    <w:rsid w:val="00EB45B5"/>
    <w:rsid w:val="00EB5D6D"/>
    <w:rsid w:val="00EC52A4"/>
    <w:rsid w:val="00EC64A2"/>
    <w:rsid w:val="00EC6C66"/>
    <w:rsid w:val="00ED24D4"/>
    <w:rsid w:val="00EE229C"/>
    <w:rsid w:val="00EE23B9"/>
    <w:rsid w:val="00EE3D47"/>
    <w:rsid w:val="00EE7565"/>
    <w:rsid w:val="00EF3852"/>
    <w:rsid w:val="00F02A55"/>
    <w:rsid w:val="00F166BA"/>
    <w:rsid w:val="00F23467"/>
    <w:rsid w:val="00F30173"/>
    <w:rsid w:val="00F449D4"/>
    <w:rsid w:val="00F46A33"/>
    <w:rsid w:val="00F47776"/>
    <w:rsid w:val="00F47FFD"/>
    <w:rsid w:val="00F63C22"/>
    <w:rsid w:val="00F65344"/>
    <w:rsid w:val="00F65EF0"/>
    <w:rsid w:val="00F706F6"/>
    <w:rsid w:val="00F73C25"/>
    <w:rsid w:val="00F82344"/>
    <w:rsid w:val="00F92384"/>
    <w:rsid w:val="00FA16AB"/>
    <w:rsid w:val="00FB6D5F"/>
    <w:rsid w:val="00FC6183"/>
    <w:rsid w:val="00FC6F5D"/>
    <w:rsid w:val="00FD13E8"/>
    <w:rsid w:val="00FD6918"/>
    <w:rsid w:val="00FE465A"/>
    <w:rsid w:val="00FF56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75E44"/>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219</Words>
  <Characters>1249</Characters>
  <Application>Microsoft Office Word</Application>
  <DocSecurity>0</DocSecurity>
  <Lines>10</Lines>
  <Paragraphs>2</Paragraphs>
  <ScaleCrop>false</ScaleCrop>
  <Company/>
  <LinksUpToDate>false</LinksUpToDate>
  <CharactersWithSpaces>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陳泓志</cp:lastModifiedBy>
  <cp:revision>2</cp:revision>
  <cp:lastPrinted>2018-07-17T03:11:00Z</cp:lastPrinted>
  <dcterms:created xsi:type="dcterms:W3CDTF">2026-03-09T11:57:00Z</dcterms:created>
  <dcterms:modified xsi:type="dcterms:W3CDTF">2026-03-09T11:57:00Z</dcterms:modified>
</cp:coreProperties>
</file>