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6F49FD2E"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9"/>
        <w:gridCol w:w="5355"/>
        <w:gridCol w:w="5356"/>
        <w:gridCol w:w="2012"/>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CA-11230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受託買賣錯帳及更正帳號申報處理作業</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434E883"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配合證交所證券經紀商受託買賣錯帳及更正帳號申報處理作業要點第2點第3款及櫃檯買賣中心證券經紀商受託買賣錯帳及更正帳號處理作業要點第2點第3款</w:t>
            </w:r>
            <w:r w:rsidR="00EE7312">
              <w:rPr>
                <w:rFonts w:ascii="新細明體" w:eastAsia="新細明體" w:hAnsi="新細明體" w:cs="Times New Roman" w:hint="eastAsia"/>
                <w:color w:val="FF0000"/>
                <w:spacing w:val="20"/>
                <w:szCs w:val="20"/>
                <w:u w:val="single"/>
              </w:rPr>
              <w:t>規定</w:t>
            </w:r>
            <w:r>
              <w:rPr>
                <w:rFonts w:ascii="新細明體" w:eastAsia="新細明體" w:hAnsi="新細明體" w:cs="Times New Roman" w:hint="eastAsia"/>
                <w:color w:val="FF0000"/>
                <w:spacing w:val="20"/>
                <w:szCs w:val="20"/>
                <w:u w:val="single"/>
              </w:rPr>
              <w:t>修正，將申報錯帳或更正帳號須檢送書面資料之標準金額由5千萬元調整為1億元。</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(一)如於盤中發生錯帳時，即由營業員先向主管報告錯誤情形，於當日軋平；如收盤後發現錯誤，則在次日處理。內部並應製作更正帳號明細表逐級呈核，留存備查。</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(一)如於盤中發生錯帳時，即由營業員先向主管報告錯誤情形，於當日軋平；如收盤後發現錯誤，則在次日處理。內部並應製作更正帳號明細表逐級呈核，留存備查。</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A198E1" w14:textId="77777777">
        <w:tc>
          <w:tcPr>
            <w:tcW w:w="1384" w:type="dxa"/>
            <w:vMerge/>
            <w:tcBorders>
              <w:left w:val="single" w:sz="12" w:space="0" w:color="auto"/>
            </w:tcBorders>
          </w:tcPr>
          <w:p w14:paraId="573D6559" w14:textId="77777777" w:rsidR="003B3105" w:rsidRDefault="003B3105" w:rsidP="001E533B">
            <w:pPr>
              <w:rPr>
                <w:rFonts w:ascii="新細明體" w:eastAsia="新細明體" w:hAnsi="新細明體"/>
              </w:rPr>
            </w:pPr>
          </w:p>
        </w:tc>
        <w:tc>
          <w:tcPr>
            <w:tcW w:w="1276" w:type="dxa"/>
            <w:vMerge/>
          </w:tcPr>
          <w:p w14:paraId="6965D94D" w14:textId="77777777" w:rsidR="003B3105" w:rsidRDefault="003B3105" w:rsidP="001E533B">
            <w:pPr>
              <w:rPr>
                <w:rFonts w:ascii="新細明體" w:eastAsia="新細明體" w:hAnsi="新細明體"/>
              </w:rPr>
            </w:pPr>
          </w:p>
        </w:tc>
        <w:tc>
          <w:tcPr>
            <w:tcW w:w="5386" w:type="dxa"/>
            <w:tcBorders>
              <w:top w:val="nil"/>
              <w:bottom w:val="nil"/>
            </w:tcBorders>
          </w:tcPr>
          <w:p w14:paraId="034E543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(二)若屬可歸責於客戶之更正帳號，受理原委託之客戶申請更正帳號，至遲不得逾成交日後第二營業日上午十時。</w:t>
            </w:r>
          </w:p>
        </w:tc>
        <w:tc>
          <w:tcPr>
            <w:tcW w:w="5387" w:type="dxa"/>
            <w:tcBorders>
              <w:top w:val="nil"/>
              <w:bottom w:val="nil"/>
            </w:tcBorders>
          </w:tcPr>
          <w:p w14:paraId="6F0265E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(二)若屬可歸責於客戶之更正帳號，受理原委託之客戶申請更正帳號，至遲不得逾成交日後第二營業日上午十時。</w:t>
            </w:r>
          </w:p>
        </w:tc>
        <w:tc>
          <w:tcPr>
            <w:tcW w:w="2023" w:type="dxa"/>
            <w:vMerge/>
            <w:tcBorders>
              <w:right w:val="single" w:sz="12" w:space="0" w:color="auto"/>
            </w:tcBorders>
          </w:tcPr>
          <w:p w14:paraId="4A0C1C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1C57A7" w14:textId="77777777">
        <w:tc>
          <w:tcPr>
            <w:tcW w:w="1384" w:type="dxa"/>
            <w:vMerge/>
            <w:tcBorders>
              <w:left w:val="single" w:sz="12" w:space="0" w:color="auto"/>
            </w:tcBorders>
          </w:tcPr>
          <w:p w14:paraId="4B72C1DC" w14:textId="77777777" w:rsidR="003B3105" w:rsidRDefault="003B3105" w:rsidP="001E533B">
            <w:pPr>
              <w:rPr>
                <w:rFonts w:ascii="新細明體" w:eastAsia="新細明體" w:hAnsi="新細明體"/>
              </w:rPr>
            </w:pPr>
          </w:p>
        </w:tc>
        <w:tc>
          <w:tcPr>
            <w:tcW w:w="1276" w:type="dxa"/>
            <w:vMerge/>
          </w:tcPr>
          <w:p w14:paraId="0C83F1C3" w14:textId="77777777" w:rsidR="003B3105" w:rsidRDefault="003B3105" w:rsidP="001E533B">
            <w:pPr>
              <w:rPr>
                <w:rFonts w:ascii="新細明體" w:eastAsia="新細明體" w:hAnsi="新細明體"/>
              </w:rPr>
            </w:pPr>
          </w:p>
        </w:tc>
        <w:tc>
          <w:tcPr>
            <w:tcW w:w="5386" w:type="dxa"/>
            <w:tcBorders>
              <w:top w:val="nil"/>
              <w:bottom w:val="nil"/>
            </w:tcBorders>
          </w:tcPr>
          <w:p w14:paraId="3CDE7B5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應依客戶所提示之更正前後帳號雙方同意之「更正帳號申請書」辦理更正帳號申報作業。如更正前帳號為空號者，公司應提出證明。受理專業機構投資人辦理更正帳號，依證交所營業細則第七十五條之委託買賣交易方式申請者，得免提示「更正帳號申請書」，公司應留存相關資料，惟更正前後帳號，分別委由不同代理人，或不同專業機構投資人且未委由相同代理人，則應留存更正前後帳號雙方上開證明其意思表示之同意資料。</w:t>
            </w:r>
          </w:p>
        </w:tc>
        <w:tc>
          <w:tcPr>
            <w:tcW w:w="5387" w:type="dxa"/>
            <w:tcBorders>
              <w:top w:val="nil"/>
              <w:bottom w:val="nil"/>
            </w:tcBorders>
          </w:tcPr>
          <w:p w14:paraId="3E2E869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應依客戶所提示之更正前後帳號雙方同意之「更正帳號申請書」辦理更正帳號申報作業。如更正前帳號為空號者，公司應提出證明。受理專業機構投資人辦理更正帳號，依證交所營業細則第七十五條之委託買賣交易方式申請者，得免提示「更正帳號申請書」，公司應留存相關資料，惟更正前後帳號，分別委由不同代理人，或不同專業機構投資人且未委由相同代理人，則應留存更正前後帳號雙方上開證明其意思表示之同意資料。</w:t>
            </w:r>
          </w:p>
        </w:tc>
        <w:tc>
          <w:tcPr>
            <w:tcW w:w="2023" w:type="dxa"/>
            <w:vMerge/>
            <w:tcBorders>
              <w:right w:val="single" w:sz="12" w:space="0" w:color="auto"/>
            </w:tcBorders>
          </w:tcPr>
          <w:p w14:paraId="19EEC5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C4F8BF" w14:textId="77777777">
        <w:tc>
          <w:tcPr>
            <w:tcW w:w="1384" w:type="dxa"/>
            <w:vMerge/>
            <w:tcBorders>
              <w:left w:val="single" w:sz="12" w:space="0" w:color="auto"/>
            </w:tcBorders>
          </w:tcPr>
          <w:p w14:paraId="725BA7C9" w14:textId="77777777" w:rsidR="003B3105" w:rsidRDefault="003B3105" w:rsidP="001E533B">
            <w:pPr>
              <w:rPr>
                <w:rFonts w:ascii="新細明體" w:eastAsia="新細明體" w:hAnsi="新細明體"/>
              </w:rPr>
            </w:pPr>
          </w:p>
        </w:tc>
        <w:tc>
          <w:tcPr>
            <w:tcW w:w="1276" w:type="dxa"/>
            <w:vMerge/>
          </w:tcPr>
          <w:p w14:paraId="4140CF9E" w14:textId="77777777" w:rsidR="003B3105" w:rsidRDefault="003B3105" w:rsidP="001E533B">
            <w:pPr>
              <w:rPr>
                <w:rFonts w:ascii="新細明體" w:eastAsia="新細明體" w:hAnsi="新細明體"/>
              </w:rPr>
            </w:pPr>
          </w:p>
        </w:tc>
        <w:tc>
          <w:tcPr>
            <w:tcW w:w="5386" w:type="dxa"/>
            <w:tcBorders>
              <w:top w:val="nil"/>
              <w:bottom w:val="nil"/>
            </w:tcBorders>
          </w:tcPr>
          <w:p w14:paraId="6E69B52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(四)因執行受託買賣發生錯誤及更正帳號者，應依下列規定申報：</w:t>
            </w:r>
          </w:p>
        </w:tc>
        <w:tc>
          <w:tcPr>
            <w:tcW w:w="5387" w:type="dxa"/>
            <w:tcBorders>
              <w:top w:val="nil"/>
              <w:bottom w:val="nil"/>
            </w:tcBorders>
          </w:tcPr>
          <w:p w14:paraId="685710A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(四)因執行受託買賣發生錯誤及更正帳號者，應依下列規定申報：</w:t>
            </w:r>
          </w:p>
        </w:tc>
        <w:tc>
          <w:tcPr>
            <w:tcW w:w="2023" w:type="dxa"/>
            <w:vMerge/>
            <w:tcBorders>
              <w:right w:val="single" w:sz="12" w:space="0" w:color="auto"/>
            </w:tcBorders>
          </w:tcPr>
          <w:p w14:paraId="6F25AF5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3B0BCB" w14:textId="77777777">
        <w:tc>
          <w:tcPr>
            <w:tcW w:w="1384" w:type="dxa"/>
            <w:vMerge/>
            <w:tcBorders>
              <w:left w:val="single" w:sz="12" w:space="0" w:color="auto"/>
            </w:tcBorders>
          </w:tcPr>
          <w:p w14:paraId="06878458" w14:textId="77777777" w:rsidR="003B3105" w:rsidRDefault="003B3105" w:rsidP="001E533B">
            <w:pPr>
              <w:rPr>
                <w:rFonts w:ascii="新細明體" w:eastAsia="新細明體" w:hAnsi="新細明體"/>
              </w:rPr>
            </w:pPr>
          </w:p>
        </w:tc>
        <w:tc>
          <w:tcPr>
            <w:tcW w:w="1276" w:type="dxa"/>
            <w:vMerge/>
          </w:tcPr>
          <w:p w14:paraId="17ECC5FD" w14:textId="77777777" w:rsidR="003B3105" w:rsidRDefault="003B3105" w:rsidP="001E533B">
            <w:pPr>
              <w:rPr>
                <w:rFonts w:ascii="新細明體" w:eastAsia="新細明體" w:hAnsi="新細明體"/>
              </w:rPr>
            </w:pPr>
          </w:p>
        </w:tc>
        <w:tc>
          <w:tcPr>
            <w:tcW w:w="5386" w:type="dxa"/>
            <w:tcBorders>
              <w:top w:val="nil"/>
              <w:bottom w:val="nil"/>
            </w:tcBorders>
          </w:tcPr>
          <w:p w14:paraId="7174403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1.電腦申報：</w:t>
            </w:r>
          </w:p>
        </w:tc>
        <w:tc>
          <w:tcPr>
            <w:tcW w:w="5387" w:type="dxa"/>
            <w:tcBorders>
              <w:top w:val="nil"/>
              <w:bottom w:val="nil"/>
            </w:tcBorders>
          </w:tcPr>
          <w:p w14:paraId="13D07ED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1.電腦申報：</w:t>
            </w:r>
          </w:p>
        </w:tc>
        <w:tc>
          <w:tcPr>
            <w:tcW w:w="2023" w:type="dxa"/>
            <w:vMerge/>
            <w:tcBorders>
              <w:right w:val="single" w:sz="12" w:space="0" w:color="auto"/>
            </w:tcBorders>
          </w:tcPr>
          <w:p w14:paraId="409F81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3CDC2A" w14:textId="77777777">
        <w:tc>
          <w:tcPr>
            <w:tcW w:w="1384" w:type="dxa"/>
            <w:vMerge/>
            <w:tcBorders>
              <w:left w:val="single" w:sz="12" w:space="0" w:color="auto"/>
            </w:tcBorders>
          </w:tcPr>
          <w:p w14:paraId="6E403C57" w14:textId="77777777" w:rsidR="003B3105" w:rsidRDefault="003B3105" w:rsidP="001E533B">
            <w:pPr>
              <w:rPr>
                <w:rFonts w:ascii="新細明體" w:eastAsia="新細明體" w:hAnsi="新細明體"/>
              </w:rPr>
            </w:pPr>
          </w:p>
        </w:tc>
        <w:tc>
          <w:tcPr>
            <w:tcW w:w="1276" w:type="dxa"/>
            <w:vMerge/>
          </w:tcPr>
          <w:p w14:paraId="3157CE64" w14:textId="77777777" w:rsidR="003B3105" w:rsidRDefault="003B3105" w:rsidP="001E533B">
            <w:pPr>
              <w:rPr>
                <w:rFonts w:ascii="新細明體" w:eastAsia="新細明體" w:hAnsi="新細明體"/>
              </w:rPr>
            </w:pPr>
          </w:p>
        </w:tc>
        <w:tc>
          <w:tcPr>
            <w:tcW w:w="5386" w:type="dxa"/>
            <w:tcBorders>
              <w:top w:val="nil"/>
              <w:bottom w:val="nil"/>
            </w:tcBorders>
          </w:tcPr>
          <w:p w14:paraId="1095A4A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(1)輸入時間：</w:t>
            </w:r>
          </w:p>
        </w:tc>
        <w:tc>
          <w:tcPr>
            <w:tcW w:w="5387" w:type="dxa"/>
            <w:tcBorders>
              <w:top w:val="nil"/>
              <w:bottom w:val="nil"/>
            </w:tcBorders>
          </w:tcPr>
          <w:p w14:paraId="57DB4C3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(1)輸入時間：</w:t>
            </w:r>
          </w:p>
        </w:tc>
        <w:tc>
          <w:tcPr>
            <w:tcW w:w="2023" w:type="dxa"/>
            <w:vMerge/>
            <w:tcBorders>
              <w:right w:val="single" w:sz="12" w:space="0" w:color="auto"/>
            </w:tcBorders>
          </w:tcPr>
          <w:p w14:paraId="13081C9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42AE89" w14:textId="77777777">
        <w:tc>
          <w:tcPr>
            <w:tcW w:w="1384" w:type="dxa"/>
            <w:vMerge/>
            <w:tcBorders>
              <w:left w:val="single" w:sz="12" w:space="0" w:color="auto"/>
            </w:tcBorders>
          </w:tcPr>
          <w:p w14:paraId="6ED709E7" w14:textId="77777777" w:rsidR="003B3105" w:rsidRDefault="003B3105" w:rsidP="001E533B">
            <w:pPr>
              <w:rPr>
                <w:rFonts w:ascii="新細明體" w:eastAsia="新細明體" w:hAnsi="新細明體"/>
              </w:rPr>
            </w:pPr>
          </w:p>
        </w:tc>
        <w:tc>
          <w:tcPr>
            <w:tcW w:w="1276" w:type="dxa"/>
            <w:vMerge/>
          </w:tcPr>
          <w:p w14:paraId="4AA3CA2B" w14:textId="77777777" w:rsidR="003B3105" w:rsidRDefault="003B3105" w:rsidP="001E533B">
            <w:pPr>
              <w:rPr>
                <w:rFonts w:ascii="新細明體" w:eastAsia="新細明體" w:hAnsi="新細明體"/>
              </w:rPr>
            </w:pPr>
          </w:p>
        </w:tc>
        <w:tc>
          <w:tcPr>
            <w:tcW w:w="5386" w:type="dxa"/>
            <w:tcBorders>
              <w:top w:val="nil"/>
              <w:bottom w:val="nil"/>
            </w:tcBorders>
          </w:tcPr>
          <w:p w14:paraId="088FB927"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應將錯帳及更正帳號資料輸入證交所電腦或櫃檯買賣中心指定之電腦，至遲不得逾成交日後第二營業</w:t>
            </w:r>
            <w:r>
              <w:rPr>
                <w:rFonts w:ascii="新細明體" w:eastAsia="新細明體" w:hAnsi="新細明體" w:cs="新細明體" w:hint="eastAsia"/>
              </w:rPr>
              <w:lastRenderedPageBreak/>
              <w:t>日上午十時。但屬公司已申報遲延交割（給付結算）在案者，應於成交日之第三營業日下午六時前輸入。</w:t>
            </w:r>
          </w:p>
        </w:tc>
        <w:tc>
          <w:tcPr>
            <w:tcW w:w="5387" w:type="dxa"/>
            <w:tcBorders>
              <w:top w:val="nil"/>
              <w:bottom w:val="nil"/>
            </w:tcBorders>
          </w:tcPr>
          <w:p w14:paraId="0CBEC55E"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lastRenderedPageBreak/>
              <w:t>應將錯帳及更正帳號資料輸入證交所電腦或櫃檯買賣中心指定之電腦，至遲不得逾成交日後第二營業</w:t>
            </w:r>
            <w:r>
              <w:rPr>
                <w:rFonts w:ascii="新細明體" w:eastAsia="新細明體" w:hAnsi="新細明體" w:cs="新細明體" w:hint="eastAsia"/>
              </w:rPr>
              <w:lastRenderedPageBreak/>
              <w:t>日上午十時。但屬公司已申報遲延交割（給付結算）在案者，應於成交日之第三營業日下午六時前輸入。</w:t>
            </w:r>
          </w:p>
        </w:tc>
        <w:tc>
          <w:tcPr>
            <w:tcW w:w="2023" w:type="dxa"/>
            <w:vMerge/>
            <w:tcBorders>
              <w:right w:val="single" w:sz="12" w:space="0" w:color="auto"/>
            </w:tcBorders>
          </w:tcPr>
          <w:p w14:paraId="0DA663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5F51DC" w14:textId="77777777">
        <w:tc>
          <w:tcPr>
            <w:tcW w:w="1384" w:type="dxa"/>
            <w:vMerge/>
            <w:tcBorders>
              <w:left w:val="single" w:sz="12" w:space="0" w:color="auto"/>
            </w:tcBorders>
          </w:tcPr>
          <w:p w14:paraId="702EA398" w14:textId="77777777" w:rsidR="003B3105" w:rsidRDefault="003B3105" w:rsidP="001E533B">
            <w:pPr>
              <w:rPr>
                <w:rFonts w:ascii="新細明體" w:eastAsia="新細明體" w:hAnsi="新細明體"/>
              </w:rPr>
            </w:pPr>
          </w:p>
        </w:tc>
        <w:tc>
          <w:tcPr>
            <w:tcW w:w="1276" w:type="dxa"/>
            <w:vMerge/>
          </w:tcPr>
          <w:p w14:paraId="4846F8A7" w14:textId="77777777" w:rsidR="003B3105" w:rsidRDefault="003B3105" w:rsidP="001E533B">
            <w:pPr>
              <w:rPr>
                <w:rFonts w:ascii="新細明體" w:eastAsia="新細明體" w:hAnsi="新細明體"/>
              </w:rPr>
            </w:pPr>
          </w:p>
        </w:tc>
        <w:tc>
          <w:tcPr>
            <w:tcW w:w="5386" w:type="dxa"/>
            <w:tcBorders>
              <w:top w:val="nil"/>
              <w:bottom w:val="nil"/>
            </w:tcBorders>
          </w:tcPr>
          <w:p w14:paraId="65BDF1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(2)事故處理：</w:t>
            </w:r>
          </w:p>
        </w:tc>
        <w:tc>
          <w:tcPr>
            <w:tcW w:w="5387" w:type="dxa"/>
            <w:tcBorders>
              <w:top w:val="nil"/>
              <w:bottom w:val="nil"/>
            </w:tcBorders>
          </w:tcPr>
          <w:p w14:paraId="42D3F1D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(2)事故處理：</w:t>
            </w:r>
          </w:p>
        </w:tc>
        <w:tc>
          <w:tcPr>
            <w:tcW w:w="2023" w:type="dxa"/>
            <w:vMerge/>
            <w:tcBorders>
              <w:right w:val="single" w:sz="12" w:space="0" w:color="auto"/>
            </w:tcBorders>
          </w:tcPr>
          <w:p w14:paraId="57F147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A7FC9D" w14:textId="77777777">
        <w:tc>
          <w:tcPr>
            <w:tcW w:w="1384" w:type="dxa"/>
            <w:vMerge/>
            <w:tcBorders>
              <w:left w:val="single" w:sz="12" w:space="0" w:color="auto"/>
            </w:tcBorders>
          </w:tcPr>
          <w:p w14:paraId="09D45DEF" w14:textId="77777777" w:rsidR="003B3105" w:rsidRDefault="003B3105" w:rsidP="001E533B">
            <w:pPr>
              <w:rPr>
                <w:rFonts w:ascii="新細明體" w:eastAsia="新細明體" w:hAnsi="新細明體"/>
              </w:rPr>
            </w:pPr>
          </w:p>
        </w:tc>
        <w:tc>
          <w:tcPr>
            <w:tcW w:w="1276" w:type="dxa"/>
            <w:vMerge/>
          </w:tcPr>
          <w:p w14:paraId="33245AB7" w14:textId="77777777" w:rsidR="003B3105" w:rsidRDefault="003B3105" w:rsidP="001E533B">
            <w:pPr>
              <w:rPr>
                <w:rFonts w:ascii="新細明體" w:eastAsia="新細明體" w:hAnsi="新細明體"/>
              </w:rPr>
            </w:pPr>
          </w:p>
        </w:tc>
        <w:tc>
          <w:tcPr>
            <w:tcW w:w="5386" w:type="dxa"/>
            <w:tcBorders>
              <w:top w:val="nil"/>
              <w:bottom w:val="nil"/>
            </w:tcBorders>
          </w:tcPr>
          <w:p w14:paraId="14B8DD80"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因偶發事故致電腦傳輸無法傳輸時，應立即以電話先行向證交所或櫃檯買賣中心申報，並於事故排除後，補行輸入。</w:t>
            </w:r>
          </w:p>
        </w:tc>
        <w:tc>
          <w:tcPr>
            <w:tcW w:w="5387" w:type="dxa"/>
            <w:tcBorders>
              <w:top w:val="nil"/>
              <w:bottom w:val="nil"/>
            </w:tcBorders>
          </w:tcPr>
          <w:p w14:paraId="131621C3"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因偶發事故致電腦傳輸無法傳輸時，應立即以電話先行向證交所或櫃檯買賣中心申報，並於事故排除後，補行輸入。</w:t>
            </w:r>
          </w:p>
        </w:tc>
        <w:tc>
          <w:tcPr>
            <w:tcW w:w="2023" w:type="dxa"/>
            <w:vMerge/>
            <w:tcBorders>
              <w:right w:val="single" w:sz="12" w:space="0" w:color="auto"/>
            </w:tcBorders>
          </w:tcPr>
          <w:p w14:paraId="5319FA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865298" w14:textId="77777777">
        <w:tc>
          <w:tcPr>
            <w:tcW w:w="1384" w:type="dxa"/>
            <w:vMerge/>
            <w:tcBorders>
              <w:left w:val="single" w:sz="12" w:space="0" w:color="auto"/>
            </w:tcBorders>
          </w:tcPr>
          <w:p w14:paraId="1592D98C" w14:textId="77777777" w:rsidR="003B3105" w:rsidRDefault="003B3105" w:rsidP="001E533B">
            <w:pPr>
              <w:rPr>
                <w:rFonts w:ascii="新細明體" w:eastAsia="新細明體" w:hAnsi="新細明體"/>
              </w:rPr>
            </w:pPr>
          </w:p>
        </w:tc>
        <w:tc>
          <w:tcPr>
            <w:tcW w:w="1276" w:type="dxa"/>
            <w:vMerge/>
          </w:tcPr>
          <w:p w14:paraId="3DB0806A" w14:textId="77777777" w:rsidR="003B3105" w:rsidRDefault="003B3105" w:rsidP="001E533B">
            <w:pPr>
              <w:rPr>
                <w:rFonts w:ascii="新細明體" w:eastAsia="新細明體" w:hAnsi="新細明體"/>
              </w:rPr>
            </w:pPr>
          </w:p>
        </w:tc>
        <w:tc>
          <w:tcPr>
            <w:tcW w:w="5386" w:type="dxa"/>
            <w:tcBorders>
              <w:top w:val="nil"/>
              <w:bottom w:val="nil"/>
            </w:tcBorders>
          </w:tcPr>
          <w:p w14:paraId="373B30F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2.書面申報：</w:t>
            </w:r>
          </w:p>
        </w:tc>
        <w:tc>
          <w:tcPr>
            <w:tcW w:w="5387" w:type="dxa"/>
            <w:tcBorders>
              <w:top w:val="nil"/>
              <w:bottom w:val="nil"/>
            </w:tcBorders>
          </w:tcPr>
          <w:p w14:paraId="74D207A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2.書面申報：</w:t>
            </w:r>
          </w:p>
        </w:tc>
        <w:tc>
          <w:tcPr>
            <w:tcW w:w="2023" w:type="dxa"/>
            <w:vMerge/>
            <w:tcBorders>
              <w:right w:val="single" w:sz="12" w:space="0" w:color="auto"/>
            </w:tcBorders>
          </w:tcPr>
          <w:p w14:paraId="387CC4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05FC07" w14:textId="77777777">
        <w:tc>
          <w:tcPr>
            <w:tcW w:w="1384" w:type="dxa"/>
            <w:vMerge/>
            <w:tcBorders>
              <w:left w:val="single" w:sz="12" w:space="0" w:color="auto"/>
            </w:tcBorders>
          </w:tcPr>
          <w:p w14:paraId="2D1B6225" w14:textId="77777777" w:rsidR="003B3105" w:rsidRDefault="003B3105" w:rsidP="001E533B">
            <w:pPr>
              <w:rPr>
                <w:rFonts w:ascii="新細明體" w:eastAsia="新細明體" w:hAnsi="新細明體"/>
              </w:rPr>
            </w:pPr>
          </w:p>
        </w:tc>
        <w:tc>
          <w:tcPr>
            <w:tcW w:w="1276" w:type="dxa"/>
            <w:vMerge/>
          </w:tcPr>
          <w:p w14:paraId="0E90DF84" w14:textId="77777777" w:rsidR="003B3105" w:rsidRDefault="003B3105" w:rsidP="001E533B">
            <w:pPr>
              <w:rPr>
                <w:rFonts w:ascii="新細明體" w:eastAsia="新細明體" w:hAnsi="新細明體"/>
              </w:rPr>
            </w:pPr>
          </w:p>
        </w:tc>
        <w:tc>
          <w:tcPr>
            <w:tcW w:w="5386" w:type="dxa"/>
            <w:tcBorders>
              <w:top w:val="nil"/>
              <w:bottom w:val="nil"/>
            </w:tcBorders>
          </w:tcPr>
          <w:p w14:paraId="66DB75A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(1)若同一成交日同一客戶電腦傳輸申報錯帳或更正帳號成交金額達新</w:t>
            </w:r>
            <w:r>
              <w:rPr>
                <w:rFonts w:ascii="新細明體" w:eastAsia="新細明體" w:hAnsi="新細明體" w:cs="新細明體" w:hint="eastAsia"/>
                <w:b/>
                <w:color w:val="FF0000"/>
                <w:u w:val="single"/>
              </w:rPr>
              <w:t>臺</w:t>
            </w:r>
            <w:r>
              <w:rPr>
                <w:rFonts w:ascii="新細明體" w:eastAsia="新細明體" w:hAnsi="新細明體" w:cs="新細明體" w:hint="eastAsia"/>
              </w:rPr>
              <w:t>幣</w:t>
            </w:r>
            <w:r>
              <w:rPr>
                <w:rFonts w:ascii="新細明體" w:eastAsia="新細明體" w:hAnsi="新細明體" w:cs="新細明體" w:hint="eastAsia"/>
                <w:b/>
                <w:color w:val="FF0000"/>
                <w:u w:val="single"/>
              </w:rPr>
              <w:t>壹億</w:t>
            </w:r>
            <w:r>
              <w:rPr>
                <w:rFonts w:ascii="新細明體" w:eastAsia="新細明體" w:hAnsi="新細明體" w:cs="新細明體" w:hint="eastAsia"/>
              </w:rPr>
              <w:t>元或股數（受益權單位）達壹佰萬股（受益權單位）以上者，證交所得視情況要求公司於期限內提供相關書面資料。</w:t>
            </w:r>
          </w:p>
        </w:tc>
        <w:tc>
          <w:tcPr>
            <w:tcW w:w="5387" w:type="dxa"/>
            <w:tcBorders>
              <w:top w:val="nil"/>
              <w:bottom w:val="nil"/>
            </w:tcBorders>
          </w:tcPr>
          <w:p w14:paraId="0C3DC2C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(1)若同一成交日同一客戶電腦傳輸申報錯帳或更正帳號成交金額達新</w:t>
            </w:r>
            <w:r>
              <w:rPr>
                <w:rFonts w:ascii="新細明體" w:eastAsia="新細明體" w:hAnsi="新細明體" w:cs="新細明體" w:hint="eastAsia"/>
                <w:b/>
                <w:color w:val="FF0000"/>
              </w:rPr>
              <w:t>台</w:t>
            </w:r>
            <w:r>
              <w:rPr>
                <w:rFonts w:ascii="新細明體" w:eastAsia="新細明體" w:hAnsi="新細明體" w:cs="新細明體" w:hint="eastAsia"/>
              </w:rPr>
              <w:t>幣</w:t>
            </w:r>
            <w:r>
              <w:rPr>
                <w:rFonts w:ascii="新細明體" w:eastAsia="新細明體" w:hAnsi="新細明體" w:cs="新細明體" w:hint="eastAsia"/>
                <w:b/>
                <w:color w:val="FF0000"/>
              </w:rPr>
              <w:t>伍仟萬</w:t>
            </w:r>
            <w:r>
              <w:rPr>
                <w:rFonts w:ascii="新細明體" w:eastAsia="新細明體" w:hAnsi="新細明體" w:cs="新細明體" w:hint="eastAsia"/>
              </w:rPr>
              <w:t>元或股數（受益權單位）達壹佰萬股（受益權單位）以上者，證交所得視情況要求公司於期限內提供相關書面資料。</w:t>
            </w:r>
          </w:p>
        </w:tc>
        <w:tc>
          <w:tcPr>
            <w:tcW w:w="2023" w:type="dxa"/>
            <w:vMerge/>
            <w:tcBorders>
              <w:right w:val="single" w:sz="12" w:space="0" w:color="auto"/>
            </w:tcBorders>
          </w:tcPr>
          <w:p w14:paraId="3865A2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21ECC4" w14:textId="77777777">
        <w:tc>
          <w:tcPr>
            <w:tcW w:w="1384" w:type="dxa"/>
            <w:vMerge/>
            <w:tcBorders>
              <w:left w:val="single" w:sz="12" w:space="0" w:color="auto"/>
            </w:tcBorders>
          </w:tcPr>
          <w:p w14:paraId="36A25A55" w14:textId="77777777" w:rsidR="003B3105" w:rsidRDefault="003B3105" w:rsidP="001E533B">
            <w:pPr>
              <w:rPr>
                <w:rFonts w:ascii="新細明體" w:eastAsia="新細明體" w:hAnsi="新細明體"/>
              </w:rPr>
            </w:pPr>
          </w:p>
        </w:tc>
        <w:tc>
          <w:tcPr>
            <w:tcW w:w="1276" w:type="dxa"/>
            <w:vMerge/>
          </w:tcPr>
          <w:p w14:paraId="0D7034CA" w14:textId="77777777" w:rsidR="003B3105" w:rsidRDefault="003B3105" w:rsidP="001E533B">
            <w:pPr>
              <w:rPr>
                <w:rFonts w:ascii="新細明體" w:eastAsia="新細明體" w:hAnsi="新細明體"/>
              </w:rPr>
            </w:pPr>
          </w:p>
        </w:tc>
        <w:tc>
          <w:tcPr>
            <w:tcW w:w="5386" w:type="dxa"/>
            <w:tcBorders>
              <w:top w:val="nil"/>
              <w:bottom w:val="nil"/>
            </w:tcBorders>
          </w:tcPr>
          <w:p w14:paraId="24A5EEE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(2)若同一成交日同一投資人股票股數（受益權單位）達壹佰萬股（受益權單位）或債券（含受益證券）單位達壹仟個交易單位或金額達</w:t>
            </w:r>
            <w:r>
              <w:rPr>
                <w:rFonts w:ascii="新細明體" w:eastAsia="新細明體" w:hAnsi="新細明體" w:cs="新細明體" w:hint="eastAsia"/>
                <w:b/>
                <w:color w:val="FF0000"/>
                <w:u w:val="single"/>
              </w:rPr>
              <w:t>壹億</w:t>
            </w:r>
            <w:r>
              <w:rPr>
                <w:rFonts w:ascii="新細明體" w:eastAsia="新細明體" w:hAnsi="新細明體" w:cs="新細明體" w:hint="eastAsia"/>
              </w:rPr>
              <w:t>元（包含新</w:t>
            </w:r>
            <w:r>
              <w:rPr>
                <w:rFonts w:ascii="新細明體" w:eastAsia="新細明體" w:hAnsi="新細明體" w:cs="新細明體" w:hint="eastAsia"/>
                <w:b/>
                <w:color w:val="FF0000"/>
                <w:u w:val="single"/>
              </w:rPr>
              <w:t>臺</w:t>
            </w:r>
            <w:r>
              <w:rPr>
                <w:rFonts w:ascii="新細明體" w:eastAsia="新細明體" w:hAnsi="新細明體" w:cs="新細明體" w:hint="eastAsia"/>
              </w:rPr>
              <w:t>幣成交金額及外幣成交金額按即期匯率換算為新</w:t>
            </w:r>
            <w:r>
              <w:rPr>
                <w:rFonts w:ascii="新細明體" w:eastAsia="新細明體" w:hAnsi="新細明體" w:cs="新細明體" w:hint="eastAsia"/>
                <w:b/>
                <w:color w:val="FF0000"/>
                <w:u w:val="single"/>
              </w:rPr>
              <w:t>臺</w:t>
            </w:r>
            <w:r>
              <w:rPr>
                <w:rFonts w:ascii="新細明體" w:eastAsia="新細明體" w:hAnsi="新細明體" w:cs="新細明體" w:hint="eastAsia"/>
              </w:rPr>
              <w:t>幣之金額）以上之錯帳或更正帳號，於完成電腦傳輸後，櫃檯買賣中心得視情況要求公司於期限內提供相關書面資料。</w:t>
            </w:r>
          </w:p>
        </w:tc>
        <w:tc>
          <w:tcPr>
            <w:tcW w:w="5387" w:type="dxa"/>
            <w:tcBorders>
              <w:top w:val="nil"/>
              <w:bottom w:val="nil"/>
            </w:tcBorders>
          </w:tcPr>
          <w:p w14:paraId="0CCB766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(2)若同一成交日同一投資人股票股數（受益權單位）達壹佰萬股（受益權單位）或債券（含受益證券）單位達壹仟個交易單位或金額達</w:t>
            </w:r>
            <w:r>
              <w:rPr>
                <w:rFonts w:ascii="新細明體" w:eastAsia="新細明體" w:hAnsi="新細明體" w:cs="新細明體" w:hint="eastAsia"/>
                <w:b/>
                <w:color w:val="FF0000"/>
              </w:rPr>
              <w:t>伍仟萬</w:t>
            </w:r>
            <w:r>
              <w:rPr>
                <w:rFonts w:ascii="新細明體" w:eastAsia="新細明體" w:hAnsi="新細明體" w:cs="新細明體" w:hint="eastAsia"/>
              </w:rPr>
              <w:t>元（包含新</w:t>
            </w:r>
            <w:r>
              <w:rPr>
                <w:rFonts w:ascii="新細明體" w:eastAsia="新細明體" w:hAnsi="新細明體" w:cs="新細明體" w:hint="eastAsia"/>
                <w:b/>
                <w:color w:val="FF0000"/>
              </w:rPr>
              <w:t>台</w:t>
            </w:r>
            <w:r>
              <w:rPr>
                <w:rFonts w:ascii="新細明體" w:eastAsia="新細明體" w:hAnsi="新細明體" w:cs="新細明體" w:hint="eastAsia"/>
              </w:rPr>
              <w:t>幣成交金額及外幣成交金額按即期匯率換算為新</w:t>
            </w:r>
            <w:r>
              <w:rPr>
                <w:rFonts w:ascii="新細明體" w:eastAsia="新細明體" w:hAnsi="新細明體" w:cs="新細明體" w:hint="eastAsia"/>
                <w:b/>
                <w:color w:val="FF0000"/>
              </w:rPr>
              <w:t>台</w:t>
            </w:r>
            <w:r>
              <w:rPr>
                <w:rFonts w:ascii="新細明體" w:eastAsia="新細明體" w:hAnsi="新細明體" w:cs="新細明體" w:hint="eastAsia"/>
              </w:rPr>
              <w:t>幣之金額）以上之錯帳或更正帳號，於完成電腦傳輸後，櫃檯買賣中心得視情況要求公司於期限內提供相關書面資料。</w:t>
            </w:r>
          </w:p>
        </w:tc>
        <w:tc>
          <w:tcPr>
            <w:tcW w:w="2023" w:type="dxa"/>
            <w:vMerge/>
            <w:tcBorders>
              <w:right w:val="single" w:sz="12" w:space="0" w:color="auto"/>
            </w:tcBorders>
          </w:tcPr>
          <w:p w14:paraId="748B11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038D94" w14:textId="77777777">
        <w:tc>
          <w:tcPr>
            <w:tcW w:w="1384" w:type="dxa"/>
            <w:vMerge/>
            <w:tcBorders>
              <w:left w:val="single" w:sz="12" w:space="0" w:color="auto"/>
            </w:tcBorders>
          </w:tcPr>
          <w:p w14:paraId="2E84E250" w14:textId="77777777" w:rsidR="003B3105" w:rsidRDefault="003B3105" w:rsidP="001E533B">
            <w:pPr>
              <w:rPr>
                <w:rFonts w:ascii="新細明體" w:eastAsia="新細明體" w:hAnsi="新細明體"/>
              </w:rPr>
            </w:pPr>
          </w:p>
        </w:tc>
        <w:tc>
          <w:tcPr>
            <w:tcW w:w="1276" w:type="dxa"/>
            <w:vMerge/>
          </w:tcPr>
          <w:p w14:paraId="3AEAD900" w14:textId="77777777" w:rsidR="003B3105" w:rsidRDefault="003B3105" w:rsidP="001E533B">
            <w:pPr>
              <w:rPr>
                <w:rFonts w:ascii="新細明體" w:eastAsia="新細明體" w:hAnsi="新細明體"/>
              </w:rPr>
            </w:pPr>
          </w:p>
        </w:tc>
        <w:tc>
          <w:tcPr>
            <w:tcW w:w="5386" w:type="dxa"/>
            <w:tcBorders>
              <w:top w:val="nil"/>
              <w:bottom w:val="nil"/>
            </w:tcBorders>
          </w:tcPr>
          <w:p w14:paraId="5E93A8D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(五)錯帳處理作業：</w:t>
            </w:r>
          </w:p>
        </w:tc>
        <w:tc>
          <w:tcPr>
            <w:tcW w:w="5387" w:type="dxa"/>
            <w:tcBorders>
              <w:top w:val="nil"/>
              <w:bottom w:val="nil"/>
            </w:tcBorders>
          </w:tcPr>
          <w:p w14:paraId="61C14A1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(五)錯帳處理作業：</w:t>
            </w:r>
          </w:p>
        </w:tc>
        <w:tc>
          <w:tcPr>
            <w:tcW w:w="2023" w:type="dxa"/>
            <w:vMerge/>
            <w:tcBorders>
              <w:right w:val="single" w:sz="12" w:space="0" w:color="auto"/>
            </w:tcBorders>
          </w:tcPr>
          <w:p w14:paraId="4F4577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D7759F" w14:textId="77777777">
        <w:tc>
          <w:tcPr>
            <w:tcW w:w="1384" w:type="dxa"/>
            <w:vMerge/>
            <w:tcBorders>
              <w:left w:val="single" w:sz="12" w:space="0" w:color="auto"/>
            </w:tcBorders>
          </w:tcPr>
          <w:p w14:paraId="1E5B3FB5" w14:textId="77777777" w:rsidR="003B3105" w:rsidRDefault="003B3105" w:rsidP="001E533B">
            <w:pPr>
              <w:rPr>
                <w:rFonts w:ascii="新細明體" w:eastAsia="新細明體" w:hAnsi="新細明體"/>
              </w:rPr>
            </w:pPr>
          </w:p>
        </w:tc>
        <w:tc>
          <w:tcPr>
            <w:tcW w:w="1276" w:type="dxa"/>
            <w:vMerge/>
          </w:tcPr>
          <w:p w14:paraId="2DA7CD89" w14:textId="77777777" w:rsidR="003B3105" w:rsidRDefault="003B3105" w:rsidP="001E533B">
            <w:pPr>
              <w:rPr>
                <w:rFonts w:ascii="新細明體" w:eastAsia="新細明體" w:hAnsi="新細明體"/>
              </w:rPr>
            </w:pPr>
          </w:p>
        </w:tc>
        <w:tc>
          <w:tcPr>
            <w:tcW w:w="5386" w:type="dxa"/>
            <w:tcBorders>
              <w:top w:val="nil"/>
              <w:bottom w:val="nil"/>
            </w:tcBorders>
          </w:tcPr>
          <w:p w14:paraId="1984BEE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1.公司依規定申報錯帳，應於當日或次一營業日以錯帳處理專戶就其原數為其買</w:t>
            </w:r>
            <w:r>
              <w:rPr>
                <w:rFonts w:ascii="新細明體" w:eastAsia="新細明體" w:hAnsi="新細明體" w:cs="新細明體" w:hint="eastAsia"/>
              </w:rPr>
              <w:lastRenderedPageBreak/>
              <w:t>回或轉賣處理。但同一成交日同一種類之有價證券得先行相互抵繳處理。並依上開(四)1.(1)之輸入時間內，將相互抵繳資料輸入證交所電腦或櫃檯買賣中心指定之電腦。</w:t>
            </w:r>
          </w:p>
        </w:tc>
        <w:tc>
          <w:tcPr>
            <w:tcW w:w="5387" w:type="dxa"/>
            <w:tcBorders>
              <w:top w:val="nil"/>
              <w:bottom w:val="nil"/>
            </w:tcBorders>
          </w:tcPr>
          <w:p w14:paraId="149BD43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1.公司依規定申報錯帳，應於當日或次一營業日以錯帳處理專戶就其原數為其買</w:t>
            </w:r>
            <w:r>
              <w:rPr>
                <w:rFonts w:ascii="新細明體" w:eastAsia="新細明體" w:hAnsi="新細明體" w:cs="新細明體" w:hint="eastAsia"/>
              </w:rPr>
              <w:lastRenderedPageBreak/>
              <w:t>回或轉賣處理。但同一成交日同一種類之有價證券得先行相互抵繳處理。並依上開(四)1.(1)之輸入時間內，將相互抵繳資料輸入證交所電腦或櫃檯買賣中心指定之電腦。</w:t>
            </w:r>
          </w:p>
        </w:tc>
        <w:tc>
          <w:tcPr>
            <w:tcW w:w="2023" w:type="dxa"/>
            <w:vMerge/>
            <w:tcBorders>
              <w:right w:val="single" w:sz="12" w:space="0" w:color="auto"/>
            </w:tcBorders>
          </w:tcPr>
          <w:p w14:paraId="392851D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D02AF2" w14:textId="77777777">
        <w:tc>
          <w:tcPr>
            <w:tcW w:w="1384" w:type="dxa"/>
            <w:vMerge/>
            <w:tcBorders>
              <w:left w:val="single" w:sz="12" w:space="0" w:color="auto"/>
            </w:tcBorders>
          </w:tcPr>
          <w:p w14:paraId="16C84588" w14:textId="77777777" w:rsidR="003B3105" w:rsidRDefault="003B3105" w:rsidP="001E533B">
            <w:pPr>
              <w:rPr>
                <w:rFonts w:ascii="新細明體" w:eastAsia="新細明體" w:hAnsi="新細明體"/>
              </w:rPr>
            </w:pPr>
          </w:p>
        </w:tc>
        <w:tc>
          <w:tcPr>
            <w:tcW w:w="1276" w:type="dxa"/>
            <w:vMerge/>
          </w:tcPr>
          <w:p w14:paraId="1C20340C" w14:textId="77777777" w:rsidR="003B3105" w:rsidRDefault="003B3105" w:rsidP="001E533B">
            <w:pPr>
              <w:rPr>
                <w:rFonts w:ascii="新細明體" w:eastAsia="新細明體" w:hAnsi="新細明體"/>
              </w:rPr>
            </w:pPr>
          </w:p>
        </w:tc>
        <w:tc>
          <w:tcPr>
            <w:tcW w:w="5386" w:type="dxa"/>
            <w:tcBorders>
              <w:top w:val="nil"/>
              <w:bottom w:val="nil"/>
            </w:tcBorders>
          </w:tcPr>
          <w:p w14:paraId="1A79685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2.為前項買回或轉賣處理後，至遲應於處理次二營業日上午十時前將錯帳處理資料輸入證交所電腦或櫃檯買賣中心指定之電腦。</w:t>
            </w:r>
          </w:p>
        </w:tc>
        <w:tc>
          <w:tcPr>
            <w:tcW w:w="5387" w:type="dxa"/>
            <w:tcBorders>
              <w:top w:val="nil"/>
              <w:bottom w:val="nil"/>
            </w:tcBorders>
          </w:tcPr>
          <w:p w14:paraId="3EA452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2.為前項買回或轉賣處理後，至遲應於處理次二營業日上午十時前將錯帳處理資料輸入證交所電腦或櫃檯買賣中心指定之電腦。</w:t>
            </w:r>
          </w:p>
        </w:tc>
        <w:tc>
          <w:tcPr>
            <w:tcW w:w="2023" w:type="dxa"/>
            <w:vMerge/>
            <w:tcBorders>
              <w:right w:val="single" w:sz="12" w:space="0" w:color="auto"/>
            </w:tcBorders>
          </w:tcPr>
          <w:p w14:paraId="4103BF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E110B1" w14:textId="77777777">
        <w:tc>
          <w:tcPr>
            <w:tcW w:w="1384" w:type="dxa"/>
            <w:vMerge/>
            <w:tcBorders>
              <w:left w:val="single" w:sz="12" w:space="0" w:color="auto"/>
            </w:tcBorders>
          </w:tcPr>
          <w:p w14:paraId="180C648D" w14:textId="77777777" w:rsidR="003B3105" w:rsidRDefault="003B3105" w:rsidP="001E533B">
            <w:pPr>
              <w:rPr>
                <w:rFonts w:ascii="新細明體" w:eastAsia="新細明體" w:hAnsi="新細明體"/>
              </w:rPr>
            </w:pPr>
          </w:p>
        </w:tc>
        <w:tc>
          <w:tcPr>
            <w:tcW w:w="1276" w:type="dxa"/>
            <w:vMerge/>
          </w:tcPr>
          <w:p w14:paraId="2E7A3882" w14:textId="77777777" w:rsidR="003B3105" w:rsidRDefault="003B3105" w:rsidP="001E533B">
            <w:pPr>
              <w:rPr>
                <w:rFonts w:ascii="新細明體" w:eastAsia="新細明體" w:hAnsi="新細明體"/>
              </w:rPr>
            </w:pPr>
          </w:p>
        </w:tc>
        <w:tc>
          <w:tcPr>
            <w:tcW w:w="5386" w:type="dxa"/>
            <w:tcBorders>
              <w:top w:val="nil"/>
              <w:bottom w:val="nil"/>
            </w:tcBorders>
          </w:tcPr>
          <w:p w14:paraId="21D6B16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3.因不可歸責於公司之事由，而未及時依規定時限為其買回或轉賣之處理者，應俟處理後，製作處理紀錄併同相關憑證留存備查。</w:t>
            </w:r>
          </w:p>
        </w:tc>
        <w:tc>
          <w:tcPr>
            <w:tcW w:w="5387" w:type="dxa"/>
            <w:tcBorders>
              <w:top w:val="nil"/>
              <w:bottom w:val="nil"/>
            </w:tcBorders>
          </w:tcPr>
          <w:p w14:paraId="4460EF5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3.因不可歸責於公司之事由，而未及時依規定時限為其買回或轉賣之處理者，應俟處理後，製作處理紀錄併同相關憑證留存備查。</w:t>
            </w:r>
          </w:p>
        </w:tc>
        <w:tc>
          <w:tcPr>
            <w:tcW w:w="2023" w:type="dxa"/>
            <w:vMerge/>
            <w:tcBorders>
              <w:right w:val="single" w:sz="12" w:space="0" w:color="auto"/>
            </w:tcBorders>
          </w:tcPr>
          <w:p w14:paraId="55CAF9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FA418D" w14:textId="77777777">
        <w:tc>
          <w:tcPr>
            <w:tcW w:w="1384" w:type="dxa"/>
            <w:vMerge/>
            <w:tcBorders>
              <w:left w:val="single" w:sz="12" w:space="0" w:color="auto"/>
            </w:tcBorders>
          </w:tcPr>
          <w:p w14:paraId="634A3BFA" w14:textId="77777777" w:rsidR="003B3105" w:rsidRDefault="003B3105" w:rsidP="001E533B">
            <w:pPr>
              <w:rPr>
                <w:rFonts w:ascii="新細明體" w:eastAsia="新細明體" w:hAnsi="新細明體"/>
              </w:rPr>
            </w:pPr>
          </w:p>
        </w:tc>
        <w:tc>
          <w:tcPr>
            <w:tcW w:w="1276" w:type="dxa"/>
            <w:vMerge/>
          </w:tcPr>
          <w:p w14:paraId="31EBD251" w14:textId="77777777" w:rsidR="003B3105" w:rsidRDefault="003B3105" w:rsidP="001E533B">
            <w:pPr>
              <w:rPr>
                <w:rFonts w:ascii="新細明體" w:eastAsia="新細明體" w:hAnsi="新細明體"/>
              </w:rPr>
            </w:pPr>
          </w:p>
        </w:tc>
        <w:tc>
          <w:tcPr>
            <w:tcW w:w="5386" w:type="dxa"/>
            <w:tcBorders>
              <w:top w:val="nil"/>
              <w:bottom w:val="nil"/>
            </w:tcBorders>
          </w:tcPr>
          <w:p w14:paraId="3EF047D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(六)因綜合交易帳戶買賣有價證券而發生錯帳，不得以綜合交易帳戶申報錯帳，應以完成申報分配後之各客戶證券買賣帳戶申報錯帳。但更正帳號者不在此限。</w:t>
            </w:r>
          </w:p>
        </w:tc>
        <w:tc>
          <w:tcPr>
            <w:tcW w:w="5387" w:type="dxa"/>
            <w:tcBorders>
              <w:top w:val="nil"/>
              <w:bottom w:val="nil"/>
            </w:tcBorders>
          </w:tcPr>
          <w:p w14:paraId="2301CC5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(六)因綜合交易帳戶買賣有價證券而發生錯帳，不得以綜合交易帳戶申報錯帳，應以完成申報分配後之各客戶證券買賣帳戶申報錯帳。但更正帳號者不在此限。</w:t>
            </w:r>
          </w:p>
        </w:tc>
        <w:tc>
          <w:tcPr>
            <w:tcW w:w="2023" w:type="dxa"/>
            <w:vMerge/>
            <w:tcBorders>
              <w:right w:val="single" w:sz="12" w:space="0" w:color="auto"/>
            </w:tcBorders>
          </w:tcPr>
          <w:p w14:paraId="170904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8BE4AE" w14:textId="77777777">
        <w:tc>
          <w:tcPr>
            <w:tcW w:w="1384" w:type="dxa"/>
            <w:vMerge/>
            <w:tcBorders>
              <w:left w:val="single" w:sz="12" w:space="0" w:color="auto"/>
            </w:tcBorders>
          </w:tcPr>
          <w:p w14:paraId="4EB1942A" w14:textId="77777777" w:rsidR="003B3105" w:rsidRDefault="003B3105" w:rsidP="001E533B">
            <w:pPr>
              <w:rPr>
                <w:rFonts w:ascii="新細明體" w:eastAsia="新細明體" w:hAnsi="新細明體"/>
              </w:rPr>
            </w:pPr>
          </w:p>
        </w:tc>
        <w:tc>
          <w:tcPr>
            <w:tcW w:w="1276" w:type="dxa"/>
            <w:vMerge/>
          </w:tcPr>
          <w:p w14:paraId="0D8DF636" w14:textId="77777777" w:rsidR="003B3105" w:rsidRDefault="003B3105" w:rsidP="001E533B">
            <w:pPr>
              <w:rPr>
                <w:rFonts w:ascii="新細明體" w:eastAsia="新細明體" w:hAnsi="新細明體"/>
              </w:rPr>
            </w:pPr>
          </w:p>
        </w:tc>
        <w:tc>
          <w:tcPr>
            <w:tcW w:w="5386" w:type="dxa"/>
            <w:tcBorders>
              <w:top w:val="nil"/>
              <w:bottom w:val="nil"/>
            </w:tcBorders>
          </w:tcPr>
          <w:p w14:paraId="1A2B3F2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(七)因拍賣或標購交易方式而發生錯帳及更正帳號，應依「證券經紀商受託買賣錯帳及更正帳號申報處理作業要點」辦理。</w:t>
            </w:r>
          </w:p>
        </w:tc>
        <w:tc>
          <w:tcPr>
            <w:tcW w:w="5387" w:type="dxa"/>
            <w:tcBorders>
              <w:top w:val="nil"/>
              <w:bottom w:val="nil"/>
            </w:tcBorders>
          </w:tcPr>
          <w:p w14:paraId="0821695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(七)因拍賣或標購交易方式而發生錯帳及更正帳號，應依「證券經紀商受託買賣錯帳及更正帳號申報處理作業要點」辦理。</w:t>
            </w:r>
          </w:p>
        </w:tc>
        <w:tc>
          <w:tcPr>
            <w:tcW w:w="2023" w:type="dxa"/>
            <w:vMerge/>
            <w:tcBorders>
              <w:right w:val="single" w:sz="12" w:space="0" w:color="auto"/>
            </w:tcBorders>
          </w:tcPr>
          <w:p w14:paraId="04D424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52E30F" w14:textId="77777777">
        <w:tc>
          <w:tcPr>
            <w:tcW w:w="1384" w:type="dxa"/>
            <w:vMerge/>
            <w:tcBorders>
              <w:left w:val="single" w:sz="12" w:space="0" w:color="auto"/>
            </w:tcBorders>
          </w:tcPr>
          <w:p w14:paraId="66D0D9C6" w14:textId="77777777" w:rsidR="003B3105" w:rsidRDefault="003B3105" w:rsidP="001E533B">
            <w:pPr>
              <w:rPr>
                <w:rFonts w:ascii="新細明體" w:eastAsia="新細明體" w:hAnsi="新細明體"/>
              </w:rPr>
            </w:pPr>
          </w:p>
        </w:tc>
        <w:tc>
          <w:tcPr>
            <w:tcW w:w="1276" w:type="dxa"/>
            <w:vMerge/>
          </w:tcPr>
          <w:p w14:paraId="753F76B7" w14:textId="77777777" w:rsidR="003B3105" w:rsidRDefault="003B3105" w:rsidP="001E533B">
            <w:pPr>
              <w:rPr>
                <w:rFonts w:ascii="新細明體" w:eastAsia="新細明體" w:hAnsi="新細明體"/>
              </w:rPr>
            </w:pPr>
          </w:p>
        </w:tc>
        <w:tc>
          <w:tcPr>
            <w:tcW w:w="5386" w:type="dxa"/>
            <w:tcBorders>
              <w:top w:val="nil"/>
              <w:bottom w:val="nil"/>
            </w:tcBorders>
          </w:tcPr>
          <w:p w14:paraId="1EBA390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得依客戶之申請，就受託買賣價格執行錯誤所產生之價差申報錯帳，但不適用買回或轉賣之相關規定。公司應留存客戶申請價差錯帳及公司與客戶協議之相關紀錄，公司得以書面、e-mail、電話紀錄等可供查證之方式，留存客戶同意及申報價差錯帳之相關紀錄，相關紀錄保存年限應與</w:t>
            </w:r>
            <w:r>
              <w:rPr>
                <w:rFonts w:ascii="新細明體" w:eastAsia="新細明體" w:hAnsi="新細明體" w:cs="新細明體" w:hint="eastAsia"/>
              </w:rPr>
              <w:lastRenderedPageBreak/>
              <w:t>委託書保存年限相同。</w:t>
            </w:r>
          </w:p>
        </w:tc>
        <w:tc>
          <w:tcPr>
            <w:tcW w:w="5387" w:type="dxa"/>
            <w:tcBorders>
              <w:top w:val="nil"/>
              <w:bottom w:val="nil"/>
            </w:tcBorders>
          </w:tcPr>
          <w:p w14:paraId="69298BD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八)公司得依客戶之申請，就受託買賣價格執行錯誤所產生之價差申報錯帳，但不適用買回或轉賣之相關規定。公司應留存客戶申請價差錯帳及公司與客戶協議之相關紀錄，公司得以書面、e-mail、電話紀錄等可供查證之方式，留存客戶同意及申報價差錯帳之相關紀錄，相關紀錄保存年限應與</w:t>
            </w:r>
            <w:r>
              <w:rPr>
                <w:rFonts w:ascii="新細明體" w:eastAsia="新細明體" w:hAnsi="新細明體" w:cs="新細明體" w:hint="eastAsia"/>
              </w:rPr>
              <w:lastRenderedPageBreak/>
              <w:t>委託書保存年限相同。</w:t>
            </w:r>
          </w:p>
        </w:tc>
        <w:tc>
          <w:tcPr>
            <w:tcW w:w="2023" w:type="dxa"/>
            <w:vMerge/>
            <w:tcBorders>
              <w:right w:val="single" w:sz="12" w:space="0" w:color="auto"/>
            </w:tcBorders>
          </w:tcPr>
          <w:p w14:paraId="79E6A4F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545CA2" w14:textId="77777777">
        <w:tc>
          <w:tcPr>
            <w:tcW w:w="1384" w:type="dxa"/>
            <w:vMerge/>
            <w:tcBorders>
              <w:left w:val="single" w:sz="12" w:space="0" w:color="auto"/>
            </w:tcBorders>
          </w:tcPr>
          <w:p w14:paraId="26DD75C4" w14:textId="77777777" w:rsidR="003B3105" w:rsidRDefault="003B3105" w:rsidP="001E533B">
            <w:pPr>
              <w:rPr>
                <w:rFonts w:ascii="新細明體" w:eastAsia="新細明體" w:hAnsi="新細明體"/>
              </w:rPr>
            </w:pPr>
          </w:p>
        </w:tc>
        <w:tc>
          <w:tcPr>
            <w:tcW w:w="1276" w:type="dxa"/>
            <w:vMerge/>
          </w:tcPr>
          <w:p w14:paraId="18FBA657" w14:textId="77777777" w:rsidR="003B3105" w:rsidRDefault="003B3105" w:rsidP="001E533B">
            <w:pPr>
              <w:rPr>
                <w:rFonts w:ascii="新細明體" w:eastAsia="新細明體" w:hAnsi="新細明體"/>
              </w:rPr>
            </w:pPr>
          </w:p>
        </w:tc>
        <w:tc>
          <w:tcPr>
            <w:tcW w:w="5386" w:type="dxa"/>
            <w:tcBorders>
              <w:top w:val="nil"/>
              <w:bottom w:val="nil"/>
            </w:tcBorders>
          </w:tcPr>
          <w:p w14:paraId="09290BA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(九)公司因有價證券當日沖銷交易發生錯誤，依下列程序辦理：</w:t>
            </w:r>
          </w:p>
        </w:tc>
        <w:tc>
          <w:tcPr>
            <w:tcW w:w="5387" w:type="dxa"/>
            <w:tcBorders>
              <w:top w:val="nil"/>
              <w:bottom w:val="nil"/>
            </w:tcBorders>
          </w:tcPr>
          <w:p w14:paraId="06B1F54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(九)公司因有價證券當日沖銷交易發生錯誤，依下列程序辦理：</w:t>
            </w:r>
          </w:p>
        </w:tc>
        <w:tc>
          <w:tcPr>
            <w:tcW w:w="2023" w:type="dxa"/>
            <w:vMerge/>
            <w:tcBorders>
              <w:right w:val="single" w:sz="12" w:space="0" w:color="auto"/>
            </w:tcBorders>
          </w:tcPr>
          <w:p w14:paraId="741B10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4299BC" w14:textId="77777777">
        <w:tc>
          <w:tcPr>
            <w:tcW w:w="1384" w:type="dxa"/>
            <w:vMerge/>
            <w:tcBorders>
              <w:left w:val="single" w:sz="12" w:space="0" w:color="auto"/>
            </w:tcBorders>
          </w:tcPr>
          <w:p w14:paraId="387288CC" w14:textId="77777777" w:rsidR="003B3105" w:rsidRDefault="003B3105" w:rsidP="001E533B">
            <w:pPr>
              <w:rPr>
                <w:rFonts w:ascii="新細明體" w:eastAsia="新細明體" w:hAnsi="新細明體"/>
              </w:rPr>
            </w:pPr>
          </w:p>
        </w:tc>
        <w:tc>
          <w:tcPr>
            <w:tcW w:w="1276" w:type="dxa"/>
            <w:vMerge/>
          </w:tcPr>
          <w:p w14:paraId="1CF6BAB3" w14:textId="77777777" w:rsidR="003B3105" w:rsidRDefault="003B3105" w:rsidP="001E533B">
            <w:pPr>
              <w:rPr>
                <w:rFonts w:ascii="新細明體" w:eastAsia="新細明體" w:hAnsi="新細明體"/>
              </w:rPr>
            </w:pPr>
          </w:p>
        </w:tc>
        <w:tc>
          <w:tcPr>
            <w:tcW w:w="5386" w:type="dxa"/>
            <w:tcBorders>
              <w:top w:val="nil"/>
              <w:bottom w:val="nil"/>
            </w:tcBorders>
          </w:tcPr>
          <w:p w14:paraId="40652E8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1.成交日後第二營業日上午十時前申報錯帳或更正帳號者，應先取消已申報之當沖部位後，再申報錯帳或更正帳號。</w:t>
            </w:r>
          </w:p>
        </w:tc>
        <w:tc>
          <w:tcPr>
            <w:tcW w:w="5387" w:type="dxa"/>
            <w:tcBorders>
              <w:top w:val="nil"/>
              <w:bottom w:val="nil"/>
            </w:tcBorders>
          </w:tcPr>
          <w:p w14:paraId="04B6F88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1.成交日後第二營業日上午十時前申報錯帳或更正帳號者，應先取消已申報之當沖部位後，再申報錯帳或更正帳號。</w:t>
            </w:r>
          </w:p>
        </w:tc>
        <w:tc>
          <w:tcPr>
            <w:tcW w:w="2023" w:type="dxa"/>
            <w:vMerge/>
            <w:tcBorders>
              <w:right w:val="single" w:sz="12" w:space="0" w:color="auto"/>
            </w:tcBorders>
          </w:tcPr>
          <w:p w14:paraId="7A68A3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8C3D53" w14:textId="77777777">
        <w:tc>
          <w:tcPr>
            <w:tcW w:w="1384" w:type="dxa"/>
            <w:vMerge/>
            <w:tcBorders>
              <w:left w:val="single" w:sz="12" w:space="0" w:color="auto"/>
            </w:tcBorders>
          </w:tcPr>
          <w:p w14:paraId="65108DA6" w14:textId="77777777" w:rsidR="003B3105" w:rsidRDefault="003B3105" w:rsidP="001E533B">
            <w:pPr>
              <w:rPr>
                <w:rFonts w:ascii="新細明體" w:eastAsia="新細明體" w:hAnsi="新細明體"/>
              </w:rPr>
            </w:pPr>
          </w:p>
        </w:tc>
        <w:tc>
          <w:tcPr>
            <w:tcW w:w="1276" w:type="dxa"/>
            <w:vMerge/>
          </w:tcPr>
          <w:p w14:paraId="4716F6AA" w14:textId="77777777" w:rsidR="003B3105" w:rsidRDefault="003B3105" w:rsidP="001E533B">
            <w:pPr>
              <w:rPr>
                <w:rFonts w:ascii="新細明體" w:eastAsia="新細明體" w:hAnsi="新細明體"/>
              </w:rPr>
            </w:pPr>
          </w:p>
        </w:tc>
        <w:tc>
          <w:tcPr>
            <w:tcW w:w="5386" w:type="dxa"/>
            <w:tcBorders>
              <w:top w:val="nil"/>
              <w:bottom w:val="nil"/>
            </w:tcBorders>
          </w:tcPr>
          <w:p w14:paraId="5701BE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2.成交日後第二營業日上午十時後，僅得就當沖互抵後差額部分申報錯帳。惟不得再申報更正帳號。</w:t>
            </w:r>
          </w:p>
        </w:tc>
        <w:tc>
          <w:tcPr>
            <w:tcW w:w="5387" w:type="dxa"/>
            <w:tcBorders>
              <w:top w:val="nil"/>
              <w:bottom w:val="nil"/>
            </w:tcBorders>
          </w:tcPr>
          <w:p w14:paraId="78E436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2.成交日後第二營業日上午十時後，僅得就當沖互抵後差額部分申報錯帳。惟不得再申報更正帳號。</w:t>
            </w:r>
          </w:p>
        </w:tc>
        <w:tc>
          <w:tcPr>
            <w:tcW w:w="2023" w:type="dxa"/>
            <w:vMerge/>
            <w:tcBorders>
              <w:right w:val="single" w:sz="12" w:space="0" w:color="auto"/>
            </w:tcBorders>
          </w:tcPr>
          <w:p w14:paraId="66169C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9F8BA9" w14:textId="77777777">
        <w:tc>
          <w:tcPr>
            <w:tcW w:w="1384" w:type="dxa"/>
            <w:vMerge/>
            <w:tcBorders>
              <w:left w:val="single" w:sz="12" w:space="0" w:color="auto"/>
            </w:tcBorders>
          </w:tcPr>
          <w:p w14:paraId="7B1962BB" w14:textId="77777777" w:rsidR="003B3105" w:rsidRDefault="003B3105" w:rsidP="001E533B">
            <w:pPr>
              <w:rPr>
                <w:rFonts w:ascii="新細明體" w:eastAsia="新細明體" w:hAnsi="新細明體"/>
              </w:rPr>
            </w:pPr>
          </w:p>
        </w:tc>
        <w:tc>
          <w:tcPr>
            <w:tcW w:w="1276" w:type="dxa"/>
            <w:vMerge/>
          </w:tcPr>
          <w:p w14:paraId="17ED8803" w14:textId="77777777" w:rsidR="003B3105" w:rsidRDefault="003B3105" w:rsidP="001E533B">
            <w:pPr>
              <w:rPr>
                <w:rFonts w:ascii="新細明體" w:eastAsia="新細明體" w:hAnsi="新細明體"/>
              </w:rPr>
            </w:pPr>
          </w:p>
        </w:tc>
        <w:tc>
          <w:tcPr>
            <w:tcW w:w="5386" w:type="dxa"/>
            <w:tcBorders>
              <w:top w:val="nil"/>
              <w:bottom w:val="nil"/>
            </w:tcBorders>
          </w:tcPr>
          <w:p w14:paraId="0E879A1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3.申報遲延交割（給付結算）後之錯帳及更正帳號依上開（九）、2規定辦理。</w:t>
            </w:r>
          </w:p>
        </w:tc>
        <w:tc>
          <w:tcPr>
            <w:tcW w:w="5387" w:type="dxa"/>
            <w:tcBorders>
              <w:top w:val="nil"/>
              <w:bottom w:val="nil"/>
            </w:tcBorders>
          </w:tcPr>
          <w:p w14:paraId="032FCE6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3.申報遲延交割（給付結算）後之錯帳及更正帳號依上開（九）、2規定辦理。</w:t>
            </w:r>
          </w:p>
        </w:tc>
        <w:tc>
          <w:tcPr>
            <w:tcW w:w="2023" w:type="dxa"/>
            <w:vMerge/>
            <w:tcBorders>
              <w:right w:val="single" w:sz="12" w:space="0" w:color="auto"/>
            </w:tcBorders>
          </w:tcPr>
          <w:p w14:paraId="5C0F3C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CB46F7" w14:textId="77777777">
        <w:tc>
          <w:tcPr>
            <w:tcW w:w="1384" w:type="dxa"/>
            <w:vMerge/>
            <w:tcBorders>
              <w:left w:val="single" w:sz="12" w:space="0" w:color="auto"/>
            </w:tcBorders>
          </w:tcPr>
          <w:p w14:paraId="36BDAFE8" w14:textId="77777777" w:rsidR="003B3105" w:rsidRDefault="003B3105" w:rsidP="001E533B">
            <w:pPr>
              <w:rPr>
                <w:rFonts w:ascii="新細明體" w:eastAsia="新細明體" w:hAnsi="新細明體"/>
              </w:rPr>
            </w:pPr>
          </w:p>
        </w:tc>
        <w:tc>
          <w:tcPr>
            <w:tcW w:w="1276" w:type="dxa"/>
            <w:vMerge/>
          </w:tcPr>
          <w:p w14:paraId="26122522" w14:textId="77777777" w:rsidR="003B3105" w:rsidRDefault="003B3105" w:rsidP="001E533B">
            <w:pPr>
              <w:rPr>
                <w:rFonts w:ascii="新細明體" w:eastAsia="新細明體" w:hAnsi="新細明體"/>
              </w:rPr>
            </w:pPr>
          </w:p>
        </w:tc>
        <w:tc>
          <w:tcPr>
            <w:tcW w:w="5386" w:type="dxa"/>
            <w:tcBorders>
              <w:top w:val="nil"/>
              <w:bottom w:val="nil"/>
            </w:tcBorders>
          </w:tcPr>
          <w:p w14:paraId="212758A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(十)公司申報錯帳及更正帳號，應自訂內部控制制度(請公司自訂)，並應基於真實之錯誤而申報，不得有下列情事：</w:t>
            </w:r>
          </w:p>
        </w:tc>
        <w:tc>
          <w:tcPr>
            <w:tcW w:w="5387" w:type="dxa"/>
            <w:tcBorders>
              <w:top w:val="nil"/>
              <w:bottom w:val="nil"/>
            </w:tcBorders>
          </w:tcPr>
          <w:p w14:paraId="7D7FD2B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(十)公司申報錯帳及更正帳號，應自訂內部控制制度(請公司自訂)，並應基於真實之錯誤而申報，不得有下列情事：</w:t>
            </w:r>
          </w:p>
        </w:tc>
        <w:tc>
          <w:tcPr>
            <w:tcW w:w="2023" w:type="dxa"/>
            <w:vMerge/>
            <w:tcBorders>
              <w:right w:val="single" w:sz="12" w:space="0" w:color="auto"/>
            </w:tcBorders>
          </w:tcPr>
          <w:p w14:paraId="2BC348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DEA567" w14:textId="77777777">
        <w:tc>
          <w:tcPr>
            <w:tcW w:w="1384" w:type="dxa"/>
            <w:vMerge/>
            <w:tcBorders>
              <w:left w:val="single" w:sz="12" w:space="0" w:color="auto"/>
            </w:tcBorders>
          </w:tcPr>
          <w:p w14:paraId="7A6E61AC" w14:textId="77777777" w:rsidR="003B3105" w:rsidRDefault="003B3105" w:rsidP="001E533B">
            <w:pPr>
              <w:rPr>
                <w:rFonts w:ascii="新細明體" w:eastAsia="新細明體" w:hAnsi="新細明體"/>
              </w:rPr>
            </w:pPr>
          </w:p>
        </w:tc>
        <w:tc>
          <w:tcPr>
            <w:tcW w:w="1276" w:type="dxa"/>
            <w:vMerge/>
          </w:tcPr>
          <w:p w14:paraId="77A5EBB5" w14:textId="77777777" w:rsidR="003B3105" w:rsidRDefault="003B3105" w:rsidP="001E533B">
            <w:pPr>
              <w:rPr>
                <w:rFonts w:ascii="新細明體" w:eastAsia="新細明體" w:hAnsi="新細明體"/>
              </w:rPr>
            </w:pPr>
          </w:p>
        </w:tc>
        <w:tc>
          <w:tcPr>
            <w:tcW w:w="5386" w:type="dxa"/>
            <w:tcBorders>
              <w:top w:val="nil"/>
              <w:bottom w:val="nil"/>
            </w:tcBorders>
          </w:tcPr>
          <w:p w14:paraId="335072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1.應申報錯帳而申報更正帳號，或應申報更正帳號而申報錯帳者。</w:t>
            </w:r>
          </w:p>
        </w:tc>
        <w:tc>
          <w:tcPr>
            <w:tcW w:w="5387" w:type="dxa"/>
            <w:tcBorders>
              <w:top w:val="nil"/>
              <w:bottom w:val="nil"/>
            </w:tcBorders>
          </w:tcPr>
          <w:p w14:paraId="3034E4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1.應申報錯帳而申報更正帳號，或應申報更正帳號而申報錯帳者。</w:t>
            </w:r>
          </w:p>
        </w:tc>
        <w:tc>
          <w:tcPr>
            <w:tcW w:w="2023" w:type="dxa"/>
            <w:vMerge/>
            <w:tcBorders>
              <w:right w:val="single" w:sz="12" w:space="0" w:color="auto"/>
            </w:tcBorders>
          </w:tcPr>
          <w:p w14:paraId="7841D6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2A913E" w14:textId="77777777">
        <w:tc>
          <w:tcPr>
            <w:tcW w:w="1384" w:type="dxa"/>
            <w:vMerge/>
            <w:tcBorders>
              <w:left w:val="single" w:sz="12" w:space="0" w:color="auto"/>
            </w:tcBorders>
          </w:tcPr>
          <w:p w14:paraId="487C2487" w14:textId="77777777" w:rsidR="003B3105" w:rsidRDefault="003B3105" w:rsidP="001E533B">
            <w:pPr>
              <w:rPr>
                <w:rFonts w:ascii="新細明體" w:eastAsia="新細明體" w:hAnsi="新細明體"/>
              </w:rPr>
            </w:pPr>
          </w:p>
        </w:tc>
        <w:tc>
          <w:tcPr>
            <w:tcW w:w="1276" w:type="dxa"/>
            <w:vMerge/>
          </w:tcPr>
          <w:p w14:paraId="5D922D27" w14:textId="77777777" w:rsidR="003B3105" w:rsidRDefault="003B3105" w:rsidP="001E533B">
            <w:pPr>
              <w:rPr>
                <w:rFonts w:ascii="新細明體" w:eastAsia="新細明體" w:hAnsi="新細明體"/>
              </w:rPr>
            </w:pPr>
          </w:p>
        </w:tc>
        <w:tc>
          <w:tcPr>
            <w:tcW w:w="5386" w:type="dxa"/>
            <w:tcBorders>
              <w:top w:val="nil"/>
              <w:bottom w:val="nil"/>
            </w:tcBorders>
          </w:tcPr>
          <w:p w14:paraId="4BDB106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2.客戶未依內部人規定程序辦理股票轉讓，而申報錯帳或更正帳號者。</w:t>
            </w:r>
          </w:p>
        </w:tc>
        <w:tc>
          <w:tcPr>
            <w:tcW w:w="5387" w:type="dxa"/>
            <w:tcBorders>
              <w:top w:val="nil"/>
              <w:bottom w:val="nil"/>
            </w:tcBorders>
          </w:tcPr>
          <w:p w14:paraId="2E1114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2.客戶未依內部人規定程序辦理股票轉讓，而申報錯帳或更正帳號者。</w:t>
            </w:r>
          </w:p>
        </w:tc>
        <w:tc>
          <w:tcPr>
            <w:tcW w:w="2023" w:type="dxa"/>
            <w:vMerge/>
            <w:tcBorders>
              <w:right w:val="single" w:sz="12" w:space="0" w:color="auto"/>
            </w:tcBorders>
          </w:tcPr>
          <w:p w14:paraId="603C73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0366E3" w14:textId="77777777">
        <w:tc>
          <w:tcPr>
            <w:tcW w:w="1384" w:type="dxa"/>
            <w:vMerge/>
            <w:tcBorders>
              <w:left w:val="single" w:sz="12" w:space="0" w:color="auto"/>
            </w:tcBorders>
          </w:tcPr>
          <w:p w14:paraId="1E12ABE7" w14:textId="77777777" w:rsidR="003B3105" w:rsidRDefault="003B3105" w:rsidP="001E533B">
            <w:pPr>
              <w:rPr>
                <w:rFonts w:ascii="新細明體" w:eastAsia="新細明體" w:hAnsi="新細明體"/>
              </w:rPr>
            </w:pPr>
          </w:p>
        </w:tc>
        <w:tc>
          <w:tcPr>
            <w:tcW w:w="1276" w:type="dxa"/>
            <w:vMerge/>
          </w:tcPr>
          <w:p w14:paraId="4D596F1F" w14:textId="77777777" w:rsidR="003B3105" w:rsidRDefault="003B3105" w:rsidP="001E533B">
            <w:pPr>
              <w:rPr>
                <w:rFonts w:ascii="新細明體" w:eastAsia="新細明體" w:hAnsi="新細明體"/>
              </w:rPr>
            </w:pPr>
          </w:p>
        </w:tc>
        <w:tc>
          <w:tcPr>
            <w:tcW w:w="5386" w:type="dxa"/>
            <w:tcBorders>
              <w:top w:val="nil"/>
              <w:bottom w:val="nil"/>
            </w:tcBorders>
          </w:tcPr>
          <w:p w14:paraId="7B08C68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3.客戶違反內部人或關係人庫藏股買回期間禁止賣出之規定，而申報錯帳或更正帳號者。</w:t>
            </w:r>
          </w:p>
        </w:tc>
        <w:tc>
          <w:tcPr>
            <w:tcW w:w="5387" w:type="dxa"/>
            <w:tcBorders>
              <w:top w:val="nil"/>
              <w:bottom w:val="nil"/>
            </w:tcBorders>
          </w:tcPr>
          <w:p w14:paraId="1AB655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3.客戶違反內部人或關係人庫藏股買回期間禁止賣出之規定，而申報錯帳或更正帳號者。</w:t>
            </w:r>
          </w:p>
        </w:tc>
        <w:tc>
          <w:tcPr>
            <w:tcW w:w="2023" w:type="dxa"/>
            <w:vMerge/>
            <w:tcBorders>
              <w:right w:val="single" w:sz="12" w:space="0" w:color="auto"/>
            </w:tcBorders>
          </w:tcPr>
          <w:p w14:paraId="5FE9022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915A28" w14:textId="77777777">
        <w:tc>
          <w:tcPr>
            <w:tcW w:w="1384" w:type="dxa"/>
            <w:vMerge/>
            <w:tcBorders>
              <w:left w:val="single" w:sz="12" w:space="0" w:color="auto"/>
            </w:tcBorders>
          </w:tcPr>
          <w:p w14:paraId="628EBD19" w14:textId="77777777" w:rsidR="003B3105" w:rsidRDefault="003B3105" w:rsidP="001E533B">
            <w:pPr>
              <w:rPr>
                <w:rFonts w:ascii="新細明體" w:eastAsia="新細明體" w:hAnsi="新細明體"/>
              </w:rPr>
            </w:pPr>
          </w:p>
        </w:tc>
        <w:tc>
          <w:tcPr>
            <w:tcW w:w="1276" w:type="dxa"/>
            <w:vMerge/>
          </w:tcPr>
          <w:p w14:paraId="18F94F7C" w14:textId="77777777" w:rsidR="003B3105" w:rsidRDefault="003B3105" w:rsidP="001E533B">
            <w:pPr>
              <w:rPr>
                <w:rFonts w:ascii="新細明體" w:eastAsia="新細明體" w:hAnsi="新細明體"/>
              </w:rPr>
            </w:pPr>
          </w:p>
        </w:tc>
        <w:tc>
          <w:tcPr>
            <w:tcW w:w="5386" w:type="dxa"/>
            <w:tcBorders>
              <w:top w:val="nil"/>
              <w:bottom w:val="nil"/>
            </w:tcBorders>
          </w:tcPr>
          <w:p w14:paraId="2F6B150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4.客戶違反內部人歸入權有關規定，而申報錯帳或更正帳號者。</w:t>
            </w:r>
          </w:p>
        </w:tc>
        <w:tc>
          <w:tcPr>
            <w:tcW w:w="5387" w:type="dxa"/>
            <w:tcBorders>
              <w:top w:val="nil"/>
              <w:bottom w:val="nil"/>
            </w:tcBorders>
          </w:tcPr>
          <w:p w14:paraId="3A1169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4.客戶違反內部人歸入權有關規定，而申報錯帳或更正帳號者。</w:t>
            </w:r>
          </w:p>
        </w:tc>
        <w:tc>
          <w:tcPr>
            <w:tcW w:w="2023" w:type="dxa"/>
            <w:vMerge/>
            <w:tcBorders>
              <w:right w:val="single" w:sz="12" w:space="0" w:color="auto"/>
            </w:tcBorders>
          </w:tcPr>
          <w:p w14:paraId="490499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BF510B" w14:textId="77777777">
        <w:tc>
          <w:tcPr>
            <w:tcW w:w="1384" w:type="dxa"/>
            <w:vMerge/>
            <w:tcBorders>
              <w:left w:val="single" w:sz="12" w:space="0" w:color="auto"/>
            </w:tcBorders>
          </w:tcPr>
          <w:p w14:paraId="733C9A8D" w14:textId="77777777" w:rsidR="003B3105" w:rsidRDefault="003B3105" w:rsidP="001E533B">
            <w:pPr>
              <w:rPr>
                <w:rFonts w:ascii="新細明體" w:eastAsia="新細明體" w:hAnsi="新細明體"/>
              </w:rPr>
            </w:pPr>
          </w:p>
        </w:tc>
        <w:tc>
          <w:tcPr>
            <w:tcW w:w="1276" w:type="dxa"/>
            <w:vMerge/>
          </w:tcPr>
          <w:p w14:paraId="7702143F" w14:textId="77777777" w:rsidR="003B3105" w:rsidRDefault="003B3105" w:rsidP="001E533B">
            <w:pPr>
              <w:rPr>
                <w:rFonts w:ascii="新細明體" w:eastAsia="新細明體" w:hAnsi="新細明體"/>
              </w:rPr>
            </w:pPr>
          </w:p>
        </w:tc>
        <w:tc>
          <w:tcPr>
            <w:tcW w:w="5386" w:type="dxa"/>
            <w:tcBorders>
              <w:top w:val="nil"/>
              <w:bottom w:val="nil"/>
            </w:tcBorders>
          </w:tcPr>
          <w:p w14:paraId="25CFAD0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5.規避應遵守之規範，或因非可歸責於公司之錯誤而協助客戶就其買賣交易為不當、不實之錯帳或更正帳號申報作業者。</w:t>
            </w:r>
          </w:p>
        </w:tc>
        <w:tc>
          <w:tcPr>
            <w:tcW w:w="5387" w:type="dxa"/>
            <w:tcBorders>
              <w:top w:val="nil"/>
              <w:bottom w:val="nil"/>
            </w:tcBorders>
          </w:tcPr>
          <w:p w14:paraId="2B2C93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5.規避應遵守之規範，或因非可歸責於公司之錯誤而協助客戶就其買賣交易為不當、不實之錯帳或更正帳號申報作業者。</w:t>
            </w:r>
          </w:p>
        </w:tc>
        <w:tc>
          <w:tcPr>
            <w:tcW w:w="2023" w:type="dxa"/>
            <w:vMerge/>
            <w:tcBorders>
              <w:right w:val="single" w:sz="12" w:space="0" w:color="auto"/>
            </w:tcBorders>
          </w:tcPr>
          <w:p w14:paraId="6812EA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6.其他以非真實之錯誤申報錯帳或更正帳</w:t>
            </w:r>
            <w:r>
              <w:rPr>
                <w:rFonts w:ascii="新細明體" w:eastAsia="新細明體" w:hAnsi="新細明體" w:cs="新細明體" w:hint="eastAsia"/>
              </w:rPr>
              <w:lastRenderedPageBreak/>
              <w:t>號者。</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6.其他以非真實之錯誤申報錯帳或更正帳</w:t>
            </w:r>
            <w:r>
              <w:rPr>
                <w:rFonts w:ascii="新細明體" w:eastAsia="新細明體" w:hAnsi="新細明體" w:cs="新細明體" w:hint="eastAsia"/>
              </w:rPr>
              <w:lastRenderedPageBreak/>
              <w:t>號者。</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0E37D" w14:textId="77777777" w:rsidR="00840AF8" w:rsidRDefault="00840AF8" w:rsidP="00E87601">
      <w:pPr>
        <w:spacing w:line="240" w:lineRule="auto"/>
      </w:pPr>
      <w:r>
        <w:separator/>
      </w:r>
    </w:p>
  </w:endnote>
  <w:endnote w:type="continuationSeparator" w:id="0">
    <w:p w14:paraId="0413E94E" w14:textId="77777777" w:rsidR="00840AF8" w:rsidRDefault="00840AF8"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1941A" w14:textId="77777777" w:rsidR="00840AF8" w:rsidRDefault="00840AF8" w:rsidP="00E87601">
      <w:pPr>
        <w:spacing w:line="240" w:lineRule="auto"/>
      </w:pPr>
      <w:r>
        <w:separator/>
      </w:r>
    </w:p>
  </w:footnote>
  <w:footnote w:type="continuationSeparator" w:id="0">
    <w:p w14:paraId="563C10B6" w14:textId="77777777" w:rsidR="00840AF8" w:rsidRDefault="00840AF8"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05B31"/>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40AF8"/>
    <w:rsid w:val="00894FE6"/>
    <w:rsid w:val="008F01FF"/>
    <w:rsid w:val="008F7C66"/>
    <w:rsid w:val="009017D2"/>
    <w:rsid w:val="00910034"/>
    <w:rsid w:val="009149AD"/>
    <w:rsid w:val="009210DF"/>
    <w:rsid w:val="00927933"/>
    <w:rsid w:val="00944FC1"/>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8615B"/>
    <w:rsid w:val="00A943E4"/>
    <w:rsid w:val="00AD1920"/>
    <w:rsid w:val="00AD7183"/>
    <w:rsid w:val="00B24B03"/>
    <w:rsid w:val="00B80849"/>
    <w:rsid w:val="00B85495"/>
    <w:rsid w:val="00BA3B85"/>
    <w:rsid w:val="00BD0555"/>
    <w:rsid w:val="00BD0E46"/>
    <w:rsid w:val="00BE1F83"/>
    <w:rsid w:val="00BF247F"/>
    <w:rsid w:val="00BF3D4B"/>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E7312"/>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560</Words>
  <Characters>3195</Characters>
  <Application>Microsoft Office Word</Application>
  <DocSecurity>0</DocSecurity>
  <Lines>26</Lines>
  <Paragraphs>7</Paragraphs>
  <ScaleCrop>false</ScaleCrop>
  <Company>Hewlett-Packard Company</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4</cp:revision>
  <cp:lastPrinted>2004-03-09T19:20:00Z</cp:lastPrinted>
  <dcterms:created xsi:type="dcterms:W3CDTF">2026-03-07T06:45:00Z</dcterms:created>
  <dcterms:modified xsi:type="dcterms:W3CDTF">2026-05-19T02:49:00Z</dcterms:modified>
</cp:coreProperties>
</file>