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4AC606CD"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AA-11230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受託買賣錯帳及更正帳號申報處理作業之稽核</w:t>
            </w:r>
          </w:p>
          <w:p w14:paraId="630929F1"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719AE827"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配合內部控制制度CA-11230修正。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(一)錯帳處理應依證交所「證券經紀商受託買賣錯帳及更正帳號申報處理作業要點」或櫃檯買賣中心「櫃檯買賣證券經紀商受託買賣錯帳及更正帳號處理作業要點」處理，並應不定期加以查核，作成稽核報告。</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(一)錯帳處理應依證交所「證券經紀商受託買賣錯帳及更正帳號申報處理作業要點」或櫃檯買賣中心「櫃檯買賣證券經紀商受託買賣錯帳及更正帳號處理作業要點」處理，並應不定期加以查核，作成稽核報告。</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527DA1" w14:textId="77777777">
        <w:tc>
          <w:tcPr>
            <w:tcW w:w="1384" w:type="dxa"/>
            <w:vMerge/>
            <w:tcBorders>
              <w:left w:val="single" w:sz="12" w:space="0" w:color="auto"/>
            </w:tcBorders>
          </w:tcPr>
          <w:p w14:paraId="5EC905B2" w14:textId="77777777" w:rsidR="003B3105" w:rsidRDefault="003B3105" w:rsidP="001E533B">
            <w:pPr>
              <w:rPr>
                <w:rFonts w:ascii="新細明體" w:eastAsia="新細明體" w:hAnsi="新細明體"/>
              </w:rPr>
            </w:pPr>
          </w:p>
        </w:tc>
        <w:tc>
          <w:tcPr>
            <w:tcW w:w="1276" w:type="dxa"/>
            <w:vMerge/>
          </w:tcPr>
          <w:p w14:paraId="60EC5C4C" w14:textId="77777777" w:rsidR="003B3105" w:rsidRDefault="003B3105" w:rsidP="001E533B">
            <w:pPr>
              <w:rPr>
                <w:rFonts w:ascii="新細明體" w:eastAsia="新細明體" w:hAnsi="新細明體"/>
              </w:rPr>
            </w:pPr>
          </w:p>
        </w:tc>
        <w:tc>
          <w:tcPr>
            <w:tcW w:w="5386" w:type="dxa"/>
            <w:tcBorders>
              <w:top w:val="nil"/>
              <w:bottom w:val="nil"/>
            </w:tcBorders>
          </w:tcPr>
          <w:p w14:paraId="669DB94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(二)受託買賣錯帳及更正帳號申報是否依規定時限輸入證交所或櫃檯買賣中心指定之電腦。</w:t>
            </w:r>
          </w:p>
        </w:tc>
        <w:tc>
          <w:tcPr>
            <w:tcW w:w="5387" w:type="dxa"/>
            <w:tcBorders>
              <w:top w:val="nil"/>
              <w:bottom w:val="nil"/>
            </w:tcBorders>
          </w:tcPr>
          <w:p w14:paraId="4BD8F72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(二)受託買賣錯帳及更正帳號申報是否依規定時限輸入證交所或櫃檯買賣中心指定之電腦。</w:t>
            </w:r>
          </w:p>
        </w:tc>
        <w:tc>
          <w:tcPr>
            <w:tcW w:w="2023" w:type="dxa"/>
            <w:vMerge/>
            <w:tcBorders>
              <w:right w:val="single" w:sz="12" w:space="0" w:color="auto"/>
            </w:tcBorders>
          </w:tcPr>
          <w:p w14:paraId="5D8EC61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5D326A" w14:textId="77777777">
        <w:tc>
          <w:tcPr>
            <w:tcW w:w="1384" w:type="dxa"/>
            <w:vMerge/>
            <w:tcBorders>
              <w:left w:val="single" w:sz="12" w:space="0" w:color="auto"/>
            </w:tcBorders>
          </w:tcPr>
          <w:p w14:paraId="7CAA6D70" w14:textId="77777777" w:rsidR="003B3105" w:rsidRDefault="003B3105" w:rsidP="001E533B">
            <w:pPr>
              <w:rPr>
                <w:rFonts w:ascii="新細明體" w:eastAsia="新細明體" w:hAnsi="新細明體"/>
              </w:rPr>
            </w:pPr>
          </w:p>
        </w:tc>
        <w:tc>
          <w:tcPr>
            <w:tcW w:w="1276" w:type="dxa"/>
            <w:vMerge/>
          </w:tcPr>
          <w:p w14:paraId="31356DBB" w14:textId="77777777" w:rsidR="003B3105" w:rsidRDefault="003B3105" w:rsidP="001E533B">
            <w:pPr>
              <w:rPr>
                <w:rFonts w:ascii="新細明體" w:eastAsia="新細明體" w:hAnsi="新細明體"/>
              </w:rPr>
            </w:pPr>
          </w:p>
        </w:tc>
        <w:tc>
          <w:tcPr>
            <w:tcW w:w="5386" w:type="dxa"/>
            <w:tcBorders>
              <w:top w:val="nil"/>
              <w:bottom w:val="nil"/>
            </w:tcBorders>
          </w:tcPr>
          <w:p w14:paraId="69BF6524" w14:textId="176AD7F2"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(三)同一成交日同一客戶電腦傳輸申報錯帳或更正帳號成交金額或股數(受益權單位)</w:t>
            </w:r>
            <w:r>
              <w:rPr>
                <w:rFonts w:ascii="新細明體" w:eastAsia="新細明體" w:hAnsi="新細明體" w:cs="新細明體" w:hint="eastAsia"/>
                <w:b/>
                <w:color w:val="FF0000"/>
                <w:u w:val="single"/>
              </w:rPr>
              <w:t>或債券(含受益證券)單位</w:t>
            </w:r>
            <w:r>
              <w:rPr>
                <w:rFonts w:ascii="新細明體" w:eastAsia="新細明體" w:hAnsi="新細明體" w:cs="新細明體" w:hint="eastAsia"/>
              </w:rPr>
              <w:t>達書面申報規定(目前金額為新</w:t>
            </w:r>
            <w:r>
              <w:rPr>
                <w:rFonts w:ascii="新細明體" w:eastAsia="新細明體" w:hAnsi="新細明體" w:cs="新細明體" w:hint="eastAsia"/>
                <w:b/>
                <w:color w:val="FF0000"/>
                <w:u w:val="single"/>
              </w:rPr>
              <w:t>臺</w:t>
            </w:r>
            <w:r>
              <w:rPr>
                <w:rFonts w:ascii="新細明體" w:eastAsia="新細明體" w:hAnsi="新細明體" w:cs="新細明體" w:hint="eastAsia"/>
              </w:rPr>
              <w:t>幣</w:t>
            </w:r>
            <w:r>
              <w:rPr>
                <w:rFonts w:ascii="新細明體" w:eastAsia="新細明體" w:hAnsi="新細明體" w:cs="新細明體" w:hint="eastAsia"/>
                <w:b/>
                <w:color w:val="FF0000"/>
                <w:u w:val="single"/>
              </w:rPr>
              <w:t>壹億</w:t>
            </w:r>
            <w:r>
              <w:rPr>
                <w:rFonts w:ascii="新細明體" w:eastAsia="新細明體" w:hAnsi="新細明體" w:cs="新細明體" w:hint="eastAsia"/>
              </w:rPr>
              <w:t>元或股數(受益權單位)為壹佰萬股(受益權單位)</w:t>
            </w:r>
            <w:r>
              <w:rPr>
                <w:rFonts w:ascii="新細明體" w:eastAsia="新細明體" w:hAnsi="新細明體" w:cs="新細明體" w:hint="eastAsia"/>
                <w:b/>
                <w:color w:val="FF0000"/>
                <w:u w:val="single"/>
              </w:rPr>
              <w:t>或債券(含受益證券)單位為壹仟個交易單位</w:t>
            </w:r>
            <w:r>
              <w:rPr>
                <w:rFonts w:ascii="新細明體" w:eastAsia="新細明體" w:hAnsi="新細明體" w:cs="新細明體" w:hint="eastAsia"/>
              </w:rPr>
              <w:t>以上</w:t>
            </w:r>
            <w:r w:rsidR="00B87B52">
              <w:rPr>
                <w:rFonts w:ascii="新細明體" w:eastAsia="新細明體" w:hAnsi="新細明體" w:cs="新細明體" w:hint="eastAsia"/>
                <w:b/>
                <w:color w:val="FF0000"/>
                <w:u w:val="single"/>
              </w:rPr>
              <w:t>)</w:t>
            </w:r>
            <w:r>
              <w:rPr>
                <w:rFonts w:ascii="新細明體" w:eastAsia="新細明體" w:hAnsi="新細明體" w:cs="新細明體" w:hint="eastAsia"/>
              </w:rPr>
              <w:t>者，公司是否依證交所或櫃檯買賣中心要求於期限內提供相關書面資料。</w:t>
            </w:r>
          </w:p>
        </w:tc>
        <w:tc>
          <w:tcPr>
            <w:tcW w:w="5387" w:type="dxa"/>
            <w:tcBorders>
              <w:top w:val="nil"/>
              <w:bottom w:val="nil"/>
            </w:tcBorders>
          </w:tcPr>
          <w:p w14:paraId="6E97F77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(三)同一成交日同一客戶電腦傳輸申報錯帳或更正帳號成交金額或股數(受益權單位)達書面申報規定(目前金額為新</w:t>
            </w:r>
            <w:r>
              <w:rPr>
                <w:rFonts w:ascii="新細明體" w:eastAsia="新細明體" w:hAnsi="新細明體" w:cs="新細明體" w:hint="eastAsia"/>
                <w:b/>
                <w:color w:val="FF0000"/>
              </w:rPr>
              <w:t>台</w:t>
            </w:r>
            <w:r>
              <w:rPr>
                <w:rFonts w:ascii="新細明體" w:eastAsia="新細明體" w:hAnsi="新細明體" w:cs="新細明體" w:hint="eastAsia"/>
              </w:rPr>
              <w:t>幣</w:t>
            </w:r>
            <w:r>
              <w:rPr>
                <w:rFonts w:ascii="新細明體" w:eastAsia="新細明體" w:hAnsi="新細明體" w:cs="新細明體" w:hint="eastAsia"/>
                <w:b/>
                <w:color w:val="FF0000"/>
              </w:rPr>
              <w:t>伍仟萬</w:t>
            </w:r>
            <w:r>
              <w:rPr>
                <w:rFonts w:ascii="新細明體" w:eastAsia="新細明體" w:hAnsi="新細明體" w:cs="新細明體" w:hint="eastAsia"/>
              </w:rPr>
              <w:t>元或股數(受益權單位)為壹佰萬股(受益權單位)以上者，公司是否依證交所或櫃檯買賣中心要求於期限內提供相關書面資料。</w:t>
            </w:r>
          </w:p>
        </w:tc>
        <w:tc>
          <w:tcPr>
            <w:tcW w:w="2023" w:type="dxa"/>
            <w:vMerge/>
            <w:tcBorders>
              <w:right w:val="single" w:sz="12" w:space="0" w:color="auto"/>
            </w:tcBorders>
          </w:tcPr>
          <w:p w14:paraId="56FE2E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B707B1" w14:textId="77777777">
        <w:tc>
          <w:tcPr>
            <w:tcW w:w="1384" w:type="dxa"/>
            <w:vMerge/>
            <w:tcBorders>
              <w:left w:val="single" w:sz="12" w:space="0" w:color="auto"/>
            </w:tcBorders>
          </w:tcPr>
          <w:p w14:paraId="4264078A" w14:textId="77777777" w:rsidR="003B3105" w:rsidRDefault="003B3105" w:rsidP="001E533B">
            <w:pPr>
              <w:rPr>
                <w:rFonts w:ascii="新細明體" w:eastAsia="新細明體" w:hAnsi="新細明體"/>
              </w:rPr>
            </w:pPr>
          </w:p>
        </w:tc>
        <w:tc>
          <w:tcPr>
            <w:tcW w:w="1276" w:type="dxa"/>
            <w:vMerge/>
          </w:tcPr>
          <w:p w14:paraId="12821CDE" w14:textId="77777777" w:rsidR="003B3105" w:rsidRDefault="003B3105" w:rsidP="001E533B">
            <w:pPr>
              <w:rPr>
                <w:rFonts w:ascii="新細明體" w:eastAsia="新細明體" w:hAnsi="新細明體"/>
              </w:rPr>
            </w:pPr>
          </w:p>
        </w:tc>
        <w:tc>
          <w:tcPr>
            <w:tcW w:w="5386" w:type="dxa"/>
            <w:tcBorders>
              <w:top w:val="nil"/>
              <w:bottom w:val="nil"/>
            </w:tcBorders>
          </w:tcPr>
          <w:p w14:paraId="249A1B0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(四)錯帳處理是否依規定時限，以錯帳專戶就其原數為買回或轉賣處理，並將處理結果輸入證交所或櫃檯買賣中心指定之電腦。</w:t>
            </w:r>
          </w:p>
        </w:tc>
        <w:tc>
          <w:tcPr>
            <w:tcW w:w="5387" w:type="dxa"/>
            <w:tcBorders>
              <w:top w:val="nil"/>
              <w:bottom w:val="nil"/>
            </w:tcBorders>
          </w:tcPr>
          <w:p w14:paraId="470CE0F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(四)錯帳處理是否依規定時限，以錯帳專戶就其原數為買回或轉賣處理，並將處理結果輸入證交所或櫃檯買賣中心指定之電腦。</w:t>
            </w:r>
          </w:p>
        </w:tc>
        <w:tc>
          <w:tcPr>
            <w:tcW w:w="2023" w:type="dxa"/>
            <w:vMerge/>
            <w:tcBorders>
              <w:right w:val="single" w:sz="12" w:space="0" w:color="auto"/>
            </w:tcBorders>
          </w:tcPr>
          <w:p w14:paraId="541E7D3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9DA2FA" w14:textId="77777777">
        <w:tc>
          <w:tcPr>
            <w:tcW w:w="1384" w:type="dxa"/>
            <w:vMerge/>
            <w:tcBorders>
              <w:left w:val="single" w:sz="12" w:space="0" w:color="auto"/>
            </w:tcBorders>
          </w:tcPr>
          <w:p w14:paraId="78AEE12C" w14:textId="77777777" w:rsidR="003B3105" w:rsidRDefault="003B3105" w:rsidP="001E533B">
            <w:pPr>
              <w:rPr>
                <w:rFonts w:ascii="新細明體" w:eastAsia="新細明體" w:hAnsi="新細明體"/>
              </w:rPr>
            </w:pPr>
          </w:p>
        </w:tc>
        <w:tc>
          <w:tcPr>
            <w:tcW w:w="1276" w:type="dxa"/>
            <w:vMerge/>
          </w:tcPr>
          <w:p w14:paraId="680146F3" w14:textId="77777777" w:rsidR="003B3105" w:rsidRDefault="003B3105" w:rsidP="001E533B">
            <w:pPr>
              <w:rPr>
                <w:rFonts w:ascii="新細明體" w:eastAsia="新細明體" w:hAnsi="新細明體"/>
              </w:rPr>
            </w:pPr>
          </w:p>
        </w:tc>
        <w:tc>
          <w:tcPr>
            <w:tcW w:w="5386" w:type="dxa"/>
            <w:tcBorders>
              <w:top w:val="nil"/>
              <w:bottom w:val="nil"/>
            </w:tcBorders>
          </w:tcPr>
          <w:p w14:paraId="140BBCC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屬可歸責於客戶之更正帳號，客戶是否出具更正帳號申請書；專業機構投資人依證交所營業細則第七十五條之委託買賣交易方式申請者，得免出具「更正帳號申請書」，惟公司是否留存相關資料；另更正前後帳號，客戶分別委由不同代理人，或不</w:t>
            </w:r>
            <w:r>
              <w:rPr>
                <w:rFonts w:ascii="新細明體" w:eastAsia="新細明體" w:hAnsi="新細明體" w:cs="新細明體" w:hint="eastAsia"/>
              </w:rPr>
              <w:lastRenderedPageBreak/>
              <w:t>同專業機構投資人且未委由相同代理人，是否留存更正前後帳號雙方上開證明其意思表示之同意資料。</w:t>
            </w:r>
          </w:p>
        </w:tc>
        <w:tc>
          <w:tcPr>
            <w:tcW w:w="5387" w:type="dxa"/>
            <w:tcBorders>
              <w:top w:val="nil"/>
              <w:bottom w:val="nil"/>
            </w:tcBorders>
          </w:tcPr>
          <w:p w14:paraId="2155283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五)屬可歸責於客戶之更正帳號，客戶是否出具更正帳號申請書；專業機構投資人依證交所營業細則第七十五條之委託買賣交易方式申請者，得免出具「更正帳號申請書」，惟公司是否留存相關資料；另更正前後帳號，客戶分別委由不同代理人，或不</w:t>
            </w:r>
            <w:r>
              <w:rPr>
                <w:rFonts w:ascii="新細明體" w:eastAsia="新細明體" w:hAnsi="新細明體" w:cs="新細明體" w:hint="eastAsia"/>
              </w:rPr>
              <w:lastRenderedPageBreak/>
              <w:t>同專業機構投資人且未委由相同代理人，是否留存更正前後帳號雙方上開證明其意思表示之同意資料。</w:t>
            </w:r>
          </w:p>
        </w:tc>
        <w:tc>
          <w:tcPr>
            <w:tcW w:w="2023" w:type="dxa"/>
            <w:vMerge/>
            <w:tcBorders>
              <w:right w:val="single" w:sz="12" w:space="0" w:color="auto"/>
            </w:tcBorders>
          </w:tcPr>
          <w:p w14:paraId="5AF448E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BC8543" w14:textId="77777777">
        <w:tc>
          <w:tcPr>
            <w:tcW w:w="1384" w:type="dxa"/>
            <w:vMerge/>
            <w:tcBorders>
              <w:left w:val="single" w:sz="12" w:space="0" w:color="auto"/>
            </w:tcBorders>
          </w:tcPr>
          <w:p w14:paraId="02824197" w14:textId="77777777" w:rsidR="003B3105" w:rsidRDefault="003B3105" w:rsidP="001E533B">
            <w:pPr>
              <w:rPr>
                <w:rFonts w:ascii="新細明體" w:eastAsia="新細明體" w:hAnsi="新細明體"/>
              </w:rPr>
            </w:pPr>
          </w:p>
        </w:tc>
        <w:tc>
          <w:tcPr>
            <w:tcW w:w="1276" w:type="dxa"/>
            <w:vMerge/>
          </w:tcPr>
          <w:p w14:paraId="5A1AFF7E" w14:textId="77777777" w:rsidR="003B3105" w:rsidRDefault="003B3105" w:rsidP="001E533B">
            <w:pPr>
              <w:rPr>
                <w:rFonts w:ascii="新細明體" w:eastAsia="新細明體" w:hAnsi="新細明體"/>
              </w:rPr>
            </w:pPr>
          </w:p>
        </w:tc>
        <w:tc>
          <w:tcPr>
            <w:tcW w:w="5386" w:type="dxa"/>
            <w:tcBorders>
              <w:top w:val="nil"/>
              <w:bottom w:val="nil"/>
            </w:tcBorders>
          </w:tcPr>
          <w:p w14:paraId="58C8631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(六)錯帳確實發生原因是否予以查明。</w:t>
            </w:r>
          </w:p>
        </w:tc>
        <w:tc>
          <w:tcPr>
            <w:tcW w:w="5387" w:type="dxa"/>
            <w:tcBorders>
              <w:top w:val="nil"/>
              <w:bottom w:val="nil"/>
            </w:tcBorders>
          </w:tcPr>
          <w:p w14:paraId="1A8F0DF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(六)錯帳確實發生原因是否予以查明。</w:t>
            </w:r>
          </w:p>
        </w:tc>
        <w:tc>
          <w:tcPr>
            <w:tcW w:w="2023" w:type="dxa"/>
            <w:vMerge/>
            <w:tcBorders>
              <w:right w:val="single" w:sz="12" w:space="0" w:color="auto"/>
            </w:tcBorders>
          </w:tcPr>
          <w:p w14:paraId="7D1708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936592" w14:textId="77777777">
        <w:tc>
          <w:tcPr>
            <w:tcW w:w="1384" w:type="dxa"/>
            <w:vMerge/>
            <w:tcBorders>
              <w:left w:val="single" w:sz="12" w:space="0" w:color="auto"/>
            </w:tcBorders>
          </w:tcPr>
          <w:p w14:paraId="16516057" w14:textId="77777777" w:rsidR="003B3105" w:rsidRDefault="003B3105" w:rsidP="001E533B">
            <w:pPr>
              <w:rPr>
                <w:rFonts w:ascii="新細明體" w:eastAsia="新細明體" w:hAnsi="新細明體"/>
              </w:rPr>
            </w:pPr>
          </w:p>
        </w:tc>
        <w:tc>
          <w:tcPr>
            <w:tcW w:w="1276" w:type="dxa"/>
            <w:vMerge/>
          </w:tcPr>
          <w:p w14:paraId="4AE9ACF7" w14:textId="77777777" w:rsidR="003B3105" w:rsidRDefault="003B3105" w:rsidP="001E533B">
            <w:pPr>
              <w:rPr>
                <w:rFonts w:ascii="新細明體" w:eastAsia="新細明體" w:hAnsi="新細明體"/>
              </w:rPr>
            </w:pPr>
          </w:p>
        </w:tc>
        <w:tc>
          <w:tcPr>
            <w:tcW w:w="5386" w:type="dxa"/>
            <w:tcBorders>
              <w:top w:val="nil"/>
              <w:bottom w:val="nil"/>
            </w:tcBorders>
          </w:tcPr>
          <w:p w14:paraId="019D64E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(七)受理客戶申請更正帳號是否未逾越規定之時限。(目前至遲不得逾成交日後第二營業日上午十時)</w:t>
            </w:r>
          </w:p>
        </w:tc>
        <w:tc>
          <w:tcPr>
            <w:tcW w:w="5387" w:type="dxa"/>
            <w:tcBorders>
              <w:top w:val="nil"/>
              <w:bottom w:val="nil"/>
            </w:tcBorders>
          </w:tcPr>
          <w:p w14:paraId="0E34143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(七)受理客戶申請更正帳號是否未逾越規定之時限。(目前至遲不得逾成交日後第二營業日上午十時)</w:t>
            </w:r>
          </w:p>
        </w:tc>
        <w:tc>
          <w:tcPr>
            <w:tcW w:w="2023" w:type="dxa"/>
            <w:vMerge/>
            <w:tcBorders>
              <w:right w:val="single" w:sz="12" w:space="0" w:color="auto"/>
            </w:tcBorders>
          </w:tcPr>
          <w:p w14:paraId="7EF71F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17F8D2" w14:textId="77777777">
        <w:tc>
          <w:tcPr>
            <w:tcW w:w="1384" w:type="dxa"/>
            <w:vMerge/>
            <w:tcBorders>
              <w:left w:val="single" w:sz="12" w:space="0" w:color="auto"/>
            </w:tcBorders>
          </w:tcPr>
          <w:p w14:paraId="56AC71DF" w14:textId="77777777" w:rsidR="003B3105" w:rsidRDefault="003B3105" w:rsidP="001E533B">
            <w:pPr>
              <w:rPr>
                <w:rFonts w:ascii="新細明體" w:eastAsia="新細明體" w:hAnsi="新細明體"/>
              </w:rPr>
            </w:pPr>
          </w:p>
        </w:tc>
        <w:tc>
          <w:tcPr>
            <w:tcW w:w="1276" w:type="dxa"/>
            <w:vMerge/>
          </w:tcPr>
          <w:p w14:paraId="30995E11" w14:textId="77777777" w:rsidR="003B3105" w:rsidRDefault="003B3105" w:rsidP="001E533B">
            <w:pPr>
              <w:rPr>
                <w:rFonts w:ascii="新細明體" w:eastAsia="新細明體" w:hAnsi="新細明體"/>
              </w:rPr>
            </w:pPr>
          </w:p>
        </w:tc>
        <w:tc>
          <w:tcPr>
            <w:tcW w:w="5386" w:type="dxa"/>
            <w:tcBorders>
              <w:top w:val="nil"/>
              <w:bottom w:val="nil"/>
            </w:tcBorders>
          </w:tcPr>
          <w:p w14:paraId="06BA74C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(八)錯帳處理專戶之交易是否未變更為客戶帳戶之交易，客戶帳戶之交易亦未變更為錯帳處理專戶之交易。</w:t>
            </w:r>
          </w:p>
        </w:tc>
        <w:tc>
          <w:tcPr>
            <w:tcW w:w="5387" w:type="dxa"/>
            <w:tcBorders>
              <w:top w:val="nil"/>
              <w:bottom w:val="nil"/>
            </w:tcBorders>
          </w:tcPr>
          <w:p w14:paraId="3A1F2F3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(八)錯帳處理專戶之交易是否未變更為客戶帳戶之交易，客戶帳戶之交易亦未變更為錯帳處理專戶之交易。</w:t>
            </w:r>
          </w:p>
        </w:tc>
        <w:tc>
          <w:tcPr>
            <w:tcW w:w="2023" w:type="dxa"/>
            <w:vMerge/>
            <w:tcBorders>
              <w:right w:val="single" w:sz="12" w:space="0" w:color="auto"/>
            </w:tcBorders>
          </w:tcPr>
          <w:p w14:paraId="596335E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597741" w14:textId="77777777">
        <w:tc>
          <w:tcPr>
            <w:tcW w:w="1384" w:type="dxa"/>
            <w:vMerge/>
            <w:tcBorders>
              <w:left w:val="single" w:sz="12" w:space="0" w:color="auto"/>
            </w:tcBorders>
          </w:tcPr>
          <w:p w14:paraId="08B16D94" w14:textId="77777777" w:rsidR="003B3105" w:rsidRDefault="003B3105" w:rsidP="001E533B">
            <w:pPr>
              <w:rPr>
                <w:rFonts w:ascii="新細明體" w:eastAsia="新細明體" w:hAnsi="新細明體"/>
              </w:rPr>
            </w:pPr>
          </w:p>
        </w:tc>
        <w:tc>
          <w:tcPr>
            <w:tcW w:w="1276" w:type="dxa"/>
            <w:vMerge/>
          </w:tcPr>
          <w:p w14:paraId="19C57FB7" w14:textId="77777777" w:rsidR="003B3105" w:rsidRDefault="003B3105" w:rsidP="001E533B">
            <w:pPr>
              <w:rPr>
                <w:rFonts w:ascii="新細明體" w:eastAsia="新細明體" w:hAnsi="新細明體"/>
              </w:rPr>
            </w:pPr>
          </w:p>
        </w:tc>
        <w:tc>
          <w:tcPr>
            <w:tcW w:w="5386" w:type="dxa"/>
            <w:tcBorders>
              <w:top w:val="nil"/>
              <w:bottom w:val="nil"/>
            </w:tcBorders>
          </w:tcPr>
          <w:p w14:paraId="48C144C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(九)因拍賣或標購交易方式而發生錯帳及更正帳號，是否依「證券經紀商受託買賣錯帳及更正帳號申報處理作業要點」辦理。</w:t>
            </w:r>
          </w:p>
        </w:tc>
        <w:tc>
          <w:tcPr>
            <w:tcW w:w="5387" w:type="dxa"/>
            <w:tcBorders>
              <w:top w:val="nil"/>
              <w:bottom w:val="nil"/>
            </w:tcBorders>
          </w:tcPr>
          <w:p w14:paraId="39777F9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(九)因拍賣或標購交易方式而發生錯帳及更正帳號，是否依「證券經紀商受託買賣錯帳及更正帳號申報處理作業要點」辦理。</w:t>
            </w:r>
          </w:p>
        </w:tc>
        <w:tc>
          <w:tcPr>
            <w:tcW w:w="2023" w:type="dxa"/>
            <w:vMerge/>
            <w:tcBorders>
              <w:right w:val="single" w:sz="12" w:space="0" w:color="auto"/>
            </w:tcBorders>
          </w:tcPr>
          <w:p w14:paraId="3865ED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61FA9B6" w14:textId="77777777">
        <w:tc>
          <w:tcPr>
            <w:tcW w:w="1384" w:type="dxa"/>
            <w:vMerge/>
            <w:tcBorders>
              <w:left w:val="single" w:sz="12" w:space="0" w:color="auto"/>
            </w:tcBorders>
          </w:tcPr>
          <w:p w14:paraId="3840BC93" w14:textId="77777777" w:rsidR="003B3105" w:rsidRDefault="003B3105" w:rsidP="001E533B">
            <w:pPr>
              <w:rPr>
                <w:rFonts w:ascii="新細明體" w:eastAsia="新細明體" w:hAnsi="新細明體"/>
              </w:rPr>
            </w:pPr>
          </w:p>
        </w:tc>
        <w:tc>
          <w:tcPr>
            <w:tcW w:w="1276" w:type="dxa"/>
            <w:vMerge/>
          </w:tcPr>
          <w:p w14:paraId="268F2394" w14:textId="77777777" w:rsidR="003B3105" w:rsidRDefault="003B3105" w:rsidP="001E533B">
            <w:pPr>
              <w:rPr>
                <w:rFonts w:ascii="新細明體" w:eastAsia="新細明體" w:hAnsi="新細明體"/>
              </w:rPr>
            </w:pPr>
          </w:p>
        </w:tc>
        <w:tc>
          <w:tcPr>
            <w:tcW w:w="5386" w:type="dxa"/>
            <w:tcBorders>
              <w:top w:val="nil"/>
              <w:bottom w:val="nil"/>
            </w:tcBorders>
          </w:tcPr>
          <w:p w14:paraId="5C54A5E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(十)公司依客戶之申請，就受託買賣價格執行錯誤所產生之價差申報錯帳，是否依規定辦理。</w:t>
            </w:r>
          </w:p>
        </w:tc>
        <w:tc>
          <w:tcPr>
            <w:tcW w:w="5387" w:type="dxa"/>
            <w:tcBorders>
              <w:top w:val="nil"/>
              <w:bottom w:val="nil"/>
            </w:tcBorders>
          </w:tcPr>
          <w:p w14:paraId="366C7CA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(十)公司依客戶之申請，就受託買賣價格執行錯誤所產生之價差申報錯帳，是否依規定辦理。</w:t>
            </w:r>
          </w:p>
        </w:tc>
        <w:tc>
          <w:tcPr>
            <w:tcW w:w="2023" w:type="dxa"/>
            <w:vMerge/>
            <w:tcBorders>
              <w:right w:val="single" w:sz="12" w:space="0" w:color="auto"/>
            </w:tcBorders>
          </w:tcPr>
          <w:p w14:paraId="7AF723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AC36A9" w14:textId="77777777">
        <w:tc>
          <w:tcPr>
            <w:tcW w:w="1384" w:type="dxa"/>
            <w:vMerge/>
            <w:tcBorders>
              <w:left w:val="single" w:sz="12" w:space="0" w:color="auto"/>
            </w:tcBorders>
          </w:tcPr>
          <w:p w14:paraId="37BEA89F" w14:textId="77777777" w:rsidR="003B3105" w:rsidRDefault="003B3105" w:rsidP="001E533B">
            <w:pPr>
              <w:rPr>
                <w:rFonts w:ascii="新細明體" w:eastAsia="新細明體" w:hAnsi="新細明體"/>
              </w:rPr>
            </w:pPr>
          </w:p>
        </w:tc>
        <w:tc>
          <w:tcPr>
            <w:tcW w:w="1276" w:type="dxa"/>
            <w:vMerge/>
          </w:tcPr>
          <w:p w14:paraId="2857BF31" w14:textId="77777777" w:rsidR="003B3105" w:rsidRDefault="003B3105" w:rsidP="001E533B">
            <w:pPr>
              <w:rPr>
                <w:rFonts w:ascii="新細明體" w:eastAsia="新細明體" w:hAnsi="新細明體"/>
              </w:rPr>
            </w:pPr>
          </w:p>
        </w:tc>
        <w:tc>
          <w:tcPr>
            <w:tcW w:w="5386" w:type="dxa"/>
            <w:tcBorders>
              <w:top w:val="nil"/>
              <w:bottom w:val="nil"/>
            </w:tcBorders>
          </w:tcPr>
          <w:p w14:paraId="494E961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(十一)公司因有價證券當日沖銷交易發生錯誤，是否依規定辦理。</w:t>
            </w:r>
          </w:p>
        </w:tc>
        <w:tc>
          <w:tcPr>
            <w:tcW w:w="5387" w:type="dxa"/>
            <w:tcBorders>
              <w:top w:val="nil"/>
              <w:bottom w:val="nil"/>
            </w:tcBorders>
          </w:tcPr>
          <w:p w14:paraId="66DFC6C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(十一)公司因有價證券當日沖銷交易發生錯誤，是否依規定辦理。</w:t>
            </w:r>
          </w:p>
        </w:tc>
        <w:tc>
          <w:tcPr>
            <w:tcW w:w="2023" w:type="dxa"/>
            <w:vMerge/>
            <w:tcBorders>
              <w:right w:val="single" w:sz="12" w:space="0" w:color="auto"/>
            </w:tcBorders>
          </w:tcPr>
          <w:p w14:paraId="31DA319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(十二)公司申報錯帳及更正帳號，是否依證交所「證券經紀商受託買買錯帳及更正帳號申報處理作業要點」規定，係基於真實之錯誤而申報。</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(十二)公司申報錯帳及更正帳號，是否依證交所「證券經紀商受託買買錯帳及更正帳號申報處理作業要點」規定，係基於真實之錯誤而申報。</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7ABBC" w14:textId="77777777" w:rsidR="00B3446B" w:rsidRDefault="00B3446B" w:rsidP="00E87601">
      <w:pPr>
        <w:spacing w:line="240" w:lineRule="auto"/>
      </w:pPr>
      <w:r>
        <w:separator/>
      </w:r>
    </w:p>
  </w:endnote>
  <w:endnote w:type="continuationSeparator" w:id="0">
    <w:p w14:paraId="1CAD87CE" w14:textId="77777777" w:rsidR="00B3446B" w:rsidRDefault="00B3446B"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5E2D8" w14:textId="77777777" w:rsidR="00B3446B" w:rsidRDefault="00B3446B" w:rsidP="00E87601">
      <w:pPr>
        <w:spacing w:line="240" w:lineRule="auto"/>
      </w:pPr>
      <w:r>
        <w:separator/>
      </w:r>
    </w:p>
  </w:footnote>
  <w:footnote w:type="continuationSeparator" w:id="0">
    <w:p w14:paraId="719A219D" w14:textId="77777777" w:rsidR="00B3446B" w:rsidRDefault="00B3446B"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207A6"/>
    <w:rsid w:val="0052204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71280"/>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87C8B"/>
    <w:rsid w:val="00A943E4"/>
    <w:rsid w:val="00AD1920"/>
    <w:rsid w:val="00AD7183"/>
    <w:rsid w:val="00B24B03"/>
    <w:rsid w:val="00B3446B"/>
    <w:rsid w:val="00B80849"/>
    <w:rsid w:val="00B85495"/>
    <w:rsid w:val="00B87B52"/>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266</Words>
  <Characters>1521</Characters>
  <Application>Microsoft Office Word</Application>
  <DocSecurity>0</DocSecurity>
  <Lines>12</Lines>
  <Paragraphs>3</Paragraphs>
  <ScaleCrop>false</ScaleCrop>
  <Company>Hewlett-Packard Company</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16</cp:revision>
  <cp:lastPrinted>2004-03-09T19:20:00Z</cp:lastPrinted>
  <dcterms:created xsi:type="dcterms:W3CDTF">2025-04-18T10:47:00Z</dcterms:created>
  <dcterms:modified xsi:type="dcterms:W3CDTF">2026-05-19T02:49:00Z</dcterms:modified>
</cp:coreProperties>
</file>