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46880CD1"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AA-11500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交割款項收付作業之稽核</w:t>
            </w:r>
          </w:p>
          <w:p w14:paraId="2CF5FE8D"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74333EA9"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配合內部控制制度CA-11500修正。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(一)交割款項收付彙總表之金額加總是否正確，收入及支出各欄之數字是否與相關報表及交割專戶存摺收付之金額相符。</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(一)交割款項收付彙總表之金額加總是否正確，收入及支出各欄之數字是否與相關報表及交割專戶存摺收付之金額相符。</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3DC6B2" w14:textId="77777777">
        <w:tc>
          <w:tcPr>
            <w:tcW w:w="1384" w:type="dxa"/>
            <w:vMerge/>
            <w:tcBorders>
              <w:left w:val="single" w:sz="12" w:space="0" w:color="auto"/>
            </w:tcBorders>
          </w:tcPr>
          <w:p w14:paraId="6CF7D89F" w14:textId="77777777" w:rsidR="003B3105" w:rsidRDefault="003B3105" w:rsidP="001E533B">
            <w:pPr>
              <w:rPr>
                <w:rFonts w:ascii="新細明體" w:eastAsia="新細明體" w:hAnsi="新細明體"/>
              </w:rPr>
            </w:pPr>
          </w:p>
        </w:tc>
        <w:tc>
          <w:tcPr>
            <w:tcW w:w="1276" w:type="dxa"/>
            <w:vMerge/>
          </w:tcPr>
          <w:p w14:paraId="7B3E3615" w14:textId="77777777" w:rsidR="003B3105" w:rsidRDefault="003B3105" w:rsidP="001E533B">
            <w:pPr>
              <w:rPr>
                <w:rFonts w:ascii="新細明體" w:eastAsia="新細明體" w:hAnsi="新細明體"/>
              </w:rPr>
            </w:pPr>
          </w:p>
        </w:tc>
        <w:tc>
          <w:tcPr>
            <w:tcW w:w="5386" w:type="dxa"/>
            <w:tcBorders>
              <w:top w:val="nil"/>
              <w:bottom w:val="nil"/>
            </w:tcBorders>
          </w:tcPr>
          <w:p w14:paraId="1CADBA3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(二)客戶交割款項之收付除下列情事(符合證交所「營業細則」第八十三條第三項各款規定之客戶)得以匯撥(匯款)方式完成交割外，是否透過其開設之指定銀行存款帳戶，以帳簿劃撥方式為之：</w:t>
            </w:r>
          </w:p>
        </w:tc>
        <w:tc>
          <w:tcPr>
            <w:tcW w:w="5387" w:type="dxa"/>
            <w:tcBorders>
              <w:top w:val="nil"/>
              <w:bottom w:val="nil"/>
            </w:tcBorders>
          </w:tcPr>
          <w:p w14:paraId="4FCEA4A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(二)客戶交割款項之收付除下列情事(符合證交所「營業細則」第八十三條第三項各款規定之客戶)得以匯撥(匯款)方式完成交割外，是否透過其開設之指定銀行存款帳戶，以帳簿劃撥方式為之：</w:t>
            </w:r>
          </w:p>
        </w:tc>
        <w:tc>
          <w:tcPr>
            <w:tcW w:w="2023" w:type="dxa"/>
            <w:vMerge/>
            <w:tcBorders>
              <w:right w:val="single" w:sz="12" w:space="0" w:color="auto"/>
            </w:tcBorders>
          </w:tcPr>
          <w:p w14:paraId="45907D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9B14A0" w14:textId="77777777">
        <w:tc>
          <w:tcPr>
            <w:tcW w:w="1384" w:type="dxa"/>
            <w:vMerge/>
            <w:tcBorders>
              <w:left w:val="single" w:sz="12" w:space="0" w:color="auto"/>
            </w:tcBorders>
          </w:tcPr>
          <w:p w14:paraId="03FC8391" w14:textId="77777777" w:rsidR="003B3105" w:rsidRDefault="003B3105" w:rsidP="001E533B">
            <w:pPr>
              <w:rPr>
                <w:rFonts w:ascii="新細明體" w:eastAsia="新細明體" w:hAnsi="新細明體"/>
              </w:rPr>
            </w:pPr>
          </w:p>
        </w:tc>
        <w:tc>
          <w:tcPr>
            <w:tcW w:w="1276" w:type="dxa"/>
            <w:vMerge/>
          </w:tcPr>
          <w:p w14:paraId="0950108B" w14:textId="77777777" w:rsidR="003B3105" w:rsidRDefault="003B3105" w:rsidP="001E533B">
            <w:pPr>
              <w:rPr>
                <w:rFonts w:ascii="新細明體" w:eastAsia="新細明體" w:hAnsi="新細明體"/>
              </w:rPr>
            </w:pPr>
          </w:p>
        </w:tc>
        <w:tc>
          <w:tcPr>
            <w:tcW w:w="5386" w:type="dxa"/>
            <w:tcBorders>
              <w:top w:val="nil"/>
              <w:bottom w:val="nil"/>
            </w:tcBorders>
          </w:tcPr>
          <w:p w14:paraId="5F97672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證券投資信託基金、行政院國家發展基金投資之創業投資事業、保險業、境外華僑及外國人與大陸地區投資人及將所持有海外公司債轉換成股票或海外存託憑證兌回原有價證券之華僑及外國人，由保管機構代理開立存款帳戶者。</w:t>
            </w:r>
          </w:p>
        </w:tc>
        <w:tc>
          <w:tcPr>
            <w:tcW w:w="5387" w:type="dxa"/>
            <w:tcBorders>
              <w:top w:val="nil"/>
              <w:bottom w:val="nil"/>
            </w:tcBorders>
          </w:tcPr>
          <w:p w14:paraId="4E5E42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證券投資信託基金、行政院國家發展基金投資之創業投資事業、保險業、境外華僑及外國人與大陸地區投資人及將所持有海外公司債轉換成股票或海外存託憑證兌回原有價證券之華僑及外國人，由保管機構代理開立存款帳戶者。</w:t>
            </w:r>
          </w:p>
        </w:tc>
        <w:tc>
          <w:tcPr>
            <w:tcW w:w="2023" w:type="dxa"/>
            <w:vMerge/>
            <w:tcBorders>
              <w:right w:val="single" w:sz="12" w:space="0" w:color="auto"/>
            </w:tcBorders>
          </w:tcPr>
          <w:p w14:paraId="11386C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FE45C4" w14:textId="77777777">
        <w:tc>
          <w:tcPr>
            <w:tcW w:w="1384" w:type="dxa"/>
            <w:vMerge/>
            <w:tcBorders>
              <w:left w:val="single" w:sz="12" w:space="0" w:color="auto"/>
            </w:tcBorders>
          </w:tcPr>
          <w:p w14:paraId="247317E4" w14:textId="77777777" w:rsidR="003B3105" w:rsidRDefault="003B3105" w:rsidP="001E533B">
            <w:pPr>
              <w:rPr>
                <w:rFonts w:ascii="新細明體" w:eastAsia="新細明體" w:hAnsi="新細明體"/>
              </w:rPr>
            </w:pPr>
          </w:p>
        </w:tc>
        <w:tc>
          <w:tcPr>
            <w:tcW w:w="1276" w:type="dxa"/>
            <w:vMerge/>
          </w:tcPr>
          <w:p w14:paraId="6E685087" w14:textId="77777777" w:rsidR="003B3105" w:rsidRDefault="003B3105" w:rsidP="001E533B">
            <w:pPr>
              <w:rPr>
                <w:rFonts w:ascii="新細明體" w:eastAsia="新細明體" w:hAnsi="新細明體"/>
              </w:rPr>
            </w:pPr>
          </w:p>
        </w:tc>
        <w:tc>
          <w:tcPr>
            <w:tcW w:w="5386" w:type="dxa"/>
            <w:tcBorders>
              <w:top w:val="nil"/>
              <w:bottom w:val="nil"/>
            </w:tcBorders>
          </w:tcPr>
          <w:p w14:paraId="32E64EE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2.信託業具有集保參加人身分者，其所管理之集合性質信託資金專戶證券投資信託基金於保管機構(保管銀行)設有存款帳戶者。</w:t>
            </w:r>
          </w:p>
        </w:tc>
        <w:tc>
          <w:tcPr>
            <w:tcW w:w="5387" w:type="dxa"/>
            <w:tcBorders>
              <w:top w:val="nil"/>
              <w:bottom w:val="nil"/>
            </w:tcBorders>
          </w:tcPr>
          <w:p w14:paraId="486E5B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2.信託業具有集保參加人身分者，其所管理之集合性質信託資金專戶證券投資信託基金於保管機構(保管銀行)設有存款帳戶者。</w:t>
            </w:r>
          </w:p>
        </w:tc>
        <w:tc>
          <w:tcPr>
            <w:tcW w:w="2023" w:type="dxa"/>
            <w:vMerge/>
            <w:tcBorders>
              <w:right w:val="single" w:sz="12" w:space="0" w:color="auto"/>
            </w:tcBorders>
          </w:tcPr>
          <w:p w14:paraId="4CAE68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459DBB" w14:textId="77777777">
        <w:tc>
          <w:tcPr>
            <w:tcW w:w="1384" w:type="dxa"/>
            <w:vMerge/>
            <w:tcBorders>
              <w:left w:val="single" w:sz="12" w:space="0" w:color="auto"/>
            </w:tcBorders>
          </w:tcPr>
          <w:p w14:paraId="0AC74F37" w14:textId="77777777" w:rsidR="003B3105" w:rsidRDefault="003B3105" w:rsidP="001E533B">
            <w:pPr>
              <w:rPr>
                <w:rFonts w:ascii="新細明體" w:eastAsia="新細明體" w:hAnsi="新細明體"/>
              </w:rPr>
            </w:pPr>
          </w:p>
        </w:tc>
        <w:tc>
          <w:tcPr>
            <w:tcW w:w="1276" w:type="dxa"/>
            <w:vMerge/>
          </w:tcPr>
          <w:p w14:paraId="1B36B0BF" w14:textId="77777777" w:rsidR="003B3105" w:rsidRDefault="003B3105" w:rsidP="001E533B">
            <w:pPr>
              <w:rPr>
                <w:rFonts w:ascii="新細明體" w:eastAsia="新細明體" w:hAnsi="新細明體"/>
              </w:rPr>
            </w:pPr>
          </w:p>
        </w:tc>
        <w:tc>
          <w:tcPr>
            <w:tcW w:w="5386" w:type="dxa"/>
            <w:tcBorders>
              <w:top w:val="nil"/>
              <w:bottom w:val="nil"/>
            </w:tcBorders>
          </w:tcPr>
          <w:p w14:paraId="1C2758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3.海外存託憑證存託機構於受託兌回賣出持股時，透過其保管機構之存款帳戶者。</w:t>
            </w:r>
          </w:p>
        </w:tc>
        <w:tc>
          <w:tcPr>
            <w:tcW w:w="5387" w:type="dxa"/>
            <w:tcBorders>
              <w:top w:val="nil"/>
              <w:bottom w:val="nil"/>
            </w:tcBorders>
          </w:tcPr>
          <w:p w14:paraId="2C8CE3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3.海外存託憑證存託機構於受託兌回賣出持股時，透過其保管機構之存款帳戶者。</w:t>
            </w:r>
          </w:p>
        </w:tc>
        <w:tc>
          <w:tcPr>
            <w:tcW w:w="2023" w:type="dxa"/>
            <w:vMerge/>
            <w:tcBorders>
              <w:right w:val="single" w:sz="12" w:space="0" w:color="auto"/>
            </w:tcBorders>
          </w:tcPr>
          <w:p w14:paraId="340C3B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87B2B4" w14:textId="77777777">
        <w:tc>
          <w:tcPr>
            <w:tcW w:w="1384" w:type="dxa"/>
            <w:vMerge/>
            <w:tcBorders>
              <w:left w:val="single" w:sz="12" w:space="0" w:color="auto"/>
            </w:tcBorders>
          </w:tcPr>
          <w:p w14:paraId="0DC0FDFB" w14:textId="77777777" w:rsidR="003B3105" w:rsidRDefault="003B3105" w:rsidP="001E533B">
            <w:pPr>
              <w:rPr>
                <w:rFonts w:ascii="新細明體" w:eastAsia="新細明體" w:hAnsi="新細明體"/>
              </w:rPr>
            </w:pPr>
          </w:p>
        </w:tc>
        <w:tc>
          <w:tcPr>
            <w:tcW w:w="1276" w:type="dxa"/>
            <w:vMerge/>
          </w:tcPr>
          <w:p w14:paraId="3FDC4101" w14:textId="77777777" w:rsidR="003B3105" w:rsidRDefault="003B3105" w:rsidP="001E533B">
            <w:pPr>
              <w:rPr>
                <w:rFonts w:ascii="新細明體" w:eastAsia="新細明體" w:hAnsi="新細明體"/>
              </w:rPr>
            </w:pPr>
          </w:p>
        </w:tc>
        <w:tc>
          <w:tcPr>
            <w:tcW w:w="5386" w:type="dxa"/>
            <w:tcBorders>
              <w:top w:val="nil"/>
              <w:bottom w:val="nil"/>
            </w:tcBorders>
          </w:tcPr>
          <w:p w14:paraId="7FB68D6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4.委任人全權委託證券投資顧問事業或證券投資信託事業買賣有價證券者，於保管機構開設存款帳戶者。同一委任人之不同全權委託投資帳戶，於辦理買賣交割時，不得相互辦理款券撥轉。</w:t>
            </w:r>
          </w:p>
        </w:tc>
        <w:tc>
          <w:tcPr>
            <w:tcW w:w="5387" w:type="dxa"/>
            <w:tcBorders>
              <w:top w:val="nil"/>
              <w:bottom w:val="nil"/>
            </w:tcBorders>
          </w:tcPr>
          <w:p w14:paraId="195B20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4.委任人全權委託證券投資顧問事業或證券投資信託事業買賣有價證券者，於保管機構開設存款帳戶者。同一委任人之不同全權委託投資帳戶，於辦理買賣交割時，不得相互辦理款券撥轉。</w:t>
            </w:r>
          </w:p>
        </w:tc>
        <w:tc>
          <w:tcPr>
            <w:tcW w:w="2023" w:type="dxa"/>
            <w:vMerge/>
            <w:tcBorders>
              <w:right w:val="single" w:sz="12" w:space="0" w:color="auto"/>
            </w:tcBorders>
          </w:tcPr>
          <w:p w14:paraId="580817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C21BAD" w14:textId="77777777">
        <w:tc>
          <w:tcPr>
            <w:tcW w:w="1384" w:type="dxa"/>
            <w:vMerge/>
            <w:tcBorders>
              <w:left w:val="single" w:sz="12" w:space="0" w:color="auto"/>
            </w:tcBorders>
          </w:tcPr>
          <w:p w14:paraId="75DF792E" w14:textId="77777777" w:rsidR="003B3105" w:rsidRDefault="003B3105" w:rsidP="001E533B">
            <w:pPr>
              <w:rPr>
                <w:rFonts w:ascii="新細明體" w:eastAsia="新細明體" w:hAnsi="新細明體"/>
              </w:rPr>
            </w:pPr>
          </w:p>
        </w:tc>
        <w:tc>
          <w:tcPr>
            <w:tcW w:w="1276" w:type="dxa"/>
            <w:vMerge/>
          </w:tcPr>
          <w:p w14:paraId="1938D917" w14:textId="77777777" w:rsidR="003B3105" w:rsidRDefault="003B3105" w:rsidP="001E533B">
            <w:pPr>
              <w:rPr>
                <w:rFonts w:ascii="新細明體" w:eastAsia="新細明體" w:hAnsi="新細明體"/>
              </w:rPr>
            </w:pPr>
          </w:p>
        </w:tc>
        <w:tc>
          <w:tcPr>
            <w:tcW w:w="5386" w:type="dxa"/>
            <w:tcBorders>
              <w:top w:val="nil"/>
              <w:bottom w:val="nil"/>
            </w:tcBorders>
          </w:tcPr>
          <w:p w14:paraId="34ED191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5.國內銀行及保險公司，如其取得中華信用評等公司評級twA-等級以上，或經主管機關核准或認可之信用評等機構評級與中華信用評等公司之twA-同等級以上之資格條件者。</w:t>
            </w:r>
          </w:p>
        </w:tc>
        <w:tc>
          <w:tcPr>
            <w:tcW w:w="5387" w:type="dxa"/>
            <w:tcBorders>
              <w:top w:val="nil"/>
              <w:bottom w:val="nil"/>
            </w:tcBorders>
          </w:tcPr>
          <w:p w14:paraId="06E8DA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5.國內銀行及保險公司，如其取得中華信用評等公司評級twA-等級以上，或經主管機關核准或認可之信用評等機構評級與中華信用評等公司之twA-同等級以上之資格條件者。</w:t>
            </w:r>
          </w:p>
        </w:tc>
        <w:tc>
          <w:tcPr>
            <w:tcW w:w="2023" w:type="dxa"/>
            <w:vMerge/>
            <w:tcBorders>
              <w:right w:val="single" w:sz="12" w:space="0" w:color="auto"/>
            </w:tcBorders>
          </w:tcPr>
          <w:p w14:paraId="2E1EDA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29CE1E" w14:textId="77777777">
        <w:tc>
          <w:tcPr>
            <w:tcW w:w="1384" w:type="dxa"/>
            <w:vMerge/>
            <w:tcBorders>
              <w:left w:val="single" w:sz="12" w:space="0" w:color="auto"/>
            </w:tcBorders>
          </w:tcPr>
          <w:p w14:paraId="61ACAAAA" w14:textId="77777777" w:rsidR="003B3105" w:rsidRDefault="003B3105" w:rsidP="001E533B">
            <w:pPr>
              <w:rPr>
                <w:rFonts w:ascii="新細明體" w:eastAsia="新細明體" w:hAnsi="新細明體"/>
              </w:rPr>
            </w:pPr>
          </w:p>
        </w:tc>
        <w:tc>
          <w:tcPr>
            <w:tcW w:w="1276" w:type="dxa"/>
            <w:vMerge/>
          </w:tcPr>
          <w:p w14:paraId="381C2E79" w14:textId="77777777" w:rsidR="003B3105" w:rsidRDefault="003B3105" w:rsidP="001E533B">
            <w:pPr>
              <w:rPr>
                <w:rFonts w:ascii="新細明體" w:eastAsia="新細明體" w:hAnsi="新細明體"/>
              </w:rPr>
            </w:pPr>
          </w:p>
        </w:tc>
        <w:tc>
          <w:tcPr>
            <w:tcW w:w="5386" w:type="dxa"/>
            <w:tcBorders>
              <w:top w:val="nil"/>
              <w:bottom w:val="nil"/>
            </w:tcBorders>
          </w:tcPr>
          <w:p w14:paraId="2C2FB55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6.政府機關依法令規定透過各該機關之存款帳戶辦理證券買賣款項交割作業者。</w:t>
            </w:r>
          </w:p>
        </w:tc>
        <w:tc>
          <w:tcPr>
            <w:tcW w:w="5387" w:type="dxa"/>
            <w:tcBorders>
              <w:top w:val="nil"/>
              <w:bottom w:val="nil"/>
            </w:tcBorders>
          </w:tcPr>
          <w:p w14:paraId="3D4BCAB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6.政府機關依法令規定透過各該機關之存款帳戶辦理證券買賣款項交割作業者。</w:t>
            </w:r>
          </w:p>
        </w:tc>
        <w:tc>
          <w:tcPr>
            <w:tcW w:w="2023" w:type="dxa"/>
            <w:vMerge/>
            <w:tcBorders>
              <w:right w:val="single" w:sz="12" w:space="0" w:color="auto"/>
            </w:tcBorders>
          </w:tcPr>
          <w:p w14:paraId="1FAC32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17CFA2" w14:textId="77777777">
        <w:tc>
          <w:tcPr>
            <w:tcW w:w="1384" w:type="dxa"/>
            <w:vMerge/>
            <w:tcBorders>
              <w:left w:val="single" w:sz="12" w:space="0" w:color="auto"/>
            </w:tcBorders>
          </w:tcPr>
          <w:p w14:paraId="5AD51496" w14:textId="77777777" w:rsidR="003B3105" w:rsidRDefault="003B3105" w:rsidP="001E533B">
            <w:pPr>
              <w:rPr>
                <w:rFonts w:ascii="新細明體" w:eastAsia="新細明體" w:hAnsi="新細明體"/>
              </w:rPr>
            </w:pPr>
          </w:p>
        </w:tc>
        <w:tc>
          <w:tcPr>
            <w:tcW w:w="1276" w:type="dxa"/>
            <w:vMerge/>
          </w:tcPr>
          <w:p w14:paraId="3B83A778" w14:textId="77777777" w:rsidR="003B3105" w:rsidRDefault="003B3105" w:rsidP="001E533B">
            <w:pPr>
              <w:rPr>
                <w:rFonts w:ascii="新細明體" w:eastAsia="新細明體" w:hAnsi="新細明體"/>
              </w:rPr>
            </w:pPr>
          </w:p>
        </w:tc>
        <w:tc>
          <w:tcPr>
            <w:tcW w:w="5386" w:type="dxa"/>
            <w:tcBorders>
              <w:top w:val="nil"/>
              <w:bottom w:val="nil"/>
            </w:tcBorders>
          </w:tcPr>
          <w:p w14:paraId="44BC6C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7.委託人同意留存交割款項於證券商交割專戶者。</w:t>
            </w:r>
          </w:p>
        </w:tc>
        <w:tc>
          <w:tcPr>
            <w:tcW w:w="5387" w:type="dxa"/>
            <w:tcBorders>
              <w:top w:val="nil"/>
              <w:bottom w:val="nil"/>
            </w:tcBorders>
          </w:tcPr>
          <w:p w14:paraId="0B98768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7.委託人同意留存交割款項於證券商交割專戶者。</w:t>
            </w:r>
          </w:p>
        </w:tc>
        <w:tc>
          <w:tcPr>
            <w:tcW w:w="2023" w:type="dxa"/>
            <w:vMerge/>
            <w:tcBorders>
              <w:right w:val="single" w:sz="12" w:space="0" w:color="auto"/>
            </w:tcBorders>
          </w:tcPr>
          <w:p w14:paraId="7307E6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97F2D9" w14:textId="77777777">
        <w:tc>
          <w:tcPr>
            <w:tcW w:w="1384" w:type="dxa"/>
            <w:vMerge/>
            <w:tcBorders>
              <w:left w:val="single" w:sz="12" w:space="0" w:color="auto"/>
            </w:tcBorders>
          </w:tcPr>
          <w:p w14:paraId="598532DF" w14:textId="77777777" w:rsidR="003B3105" w:rsidRDefault="003B3105" w:rsidP="001E533B">
            <w:pPr>
              <w:rPr>
                <w:rFonts w:ascii="新細明體" w:eastAsia="新細明體" w:hAnsi="新細明體"/>
              </w:rPr>
            </w:pPr>
          </w:p>
        </w:tc>
        <w:tc>
          <w:tcPr>
            <w:tcW w:w="1276" w:type="dxa"/>
            <w:vMerge/>
          </w:tcPr>
          <w:p w14:paraId="65FD779E" w14:textId="77777777" w:rsidR="003B3105" w:rsidRDefault="003B3105" w:rsidP="001E533B">
            <w:pPr>
              <w:rPr>
                <w:rFonts w:ascii="新細明體" w:eastAsia="新細明體" w:hAnsi="新細明體"/>
              </w:rPr>
            </w:pPr>
          </w:p>
        </w:tc>
        <w:tc>
          <w:tcPr>
            <w:tcW w:w="5386" w:type="dxa"/>
            <w:tcBorders>
              <w:top w:val="nil"/>
              <w:bottom w:val="nil"/>
            </w:tcBorders>
          </w:tcPr>
          <w:p w14:paraId="47E2C3B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(三)交割款項(含信用交易非交易系統部分)是否均透過交割專戶進行收付。</w:t>
            </w:r>
          </w:p>
        </w:tc>
        <w:tc>
          <w:tcPr>
            <w:tcW w:w="5387" w:type="dxa"/>
            <w:tcBorders>
              <w:top w:val="nil"/>
              <w:bottom w:val="nil"/>
            </w:tcBorders>
          </w:tcPr>
          <w:p w14:paraId="617BED3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(三)交割款項(含信用交易非交易系統部分)是否均透過交割專戶進行收付。</w:t>
            </w:r>
          </w:p>
        </w:tc>
        <w:tc>
          <w:tcPr>
            <w:tcW w:w="2023" w:type="dxa"/>
            <w:vMerge/>
            <w:tcBorders>
              <w:right w:val="single" w:sz="12" w:space="0" w:color="auto"/>
            </w:tcBorders>
          </w:tcPr>
          <w:p w14:paraId="6A495D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B65E0B" w14:textId="77777777">
        <w:tc>
          <w:tcPr>
            <w:tcW w:w="1384" w:type="dxa"/>
            <w:vMerge/>
            <w:tcBorders>
              <w:left w:val="single" w:sz="12" w:space="0" w:color="auto"/>
            </w:tcBorders>
          </w:tcPr>
          <w:p w14:paraId="2F4C40E1" w14:textId="77777777" w:rsidR="003B3105" w:rsidRDefault="003B3105" w:rsidP="001E533B">
            <w:pPr>
              <w:rPr>
                <w:rFonts w:ascii="新細明體" w:eastAsia="新細明體" w:hAnsi="新細明體"/>
              </w:rPr>
            </w:pPr>
          </w:p>
        </w:tc>
        <w:tc>
          <w:tcPr>
            <w:tcW w:w="1276" w:type="dxa"/>
            <w:vMerge/>
          </w:tcPr>
          <w:p w14:paraId="1B61CD9C" w14:textId="77777777" w:rsidR="003B3105" w:rsidRDefault="003B3105" w:rsidP="001E533B">
            <w:pPr>
              <w:rPr>
                <w:rFonts w:ascii="新細明體" w:eastAsia="新細明體" w:hAnsi="新細明體"/>
              </w:rPr>
            </w:pPr>
          </w:p>
        </w:tc>
        <w:tc>
          <w:tcPr>
            <w:tcW w:w="5386" w:type="dxa"/>
            <w:tcBorders>
              <w:top w:val="nil"/>
              <w:bottom w:val="nil"/>
            </w:tcBorders>
          </w:tcPr>
          <w:p w14:paraId="1219934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(四)公司交割專戶(總、分公司分別計算)之開立：</w:t>
            </w:r>
          </w:p>
        </w:tc>
        <w:tc>
          <w:tcPr>
            <w:tcW w:w="5387" w:type="dxa"/>
            <w:tcBorders>
              <w:top w:val="nil"/>
              <w:bottom w:val="nil"/>
            </w:tcBorders>
          </w:tcPr>
          <w:p w14:paraId="7A3471D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(四)公司交割專戶(總、分公司分別計算)之開立：</w:t>
            </w:r>
          </w:p>
        </w:tc>
        <w:tc>
          <w:tcPr>
            <w:tcW w:w="2023" w:type="dxa"/>
            <w:vMerge/>
            <w:tcBorders>
              <w:right w:val="single" w:sz="12" w:space="0" w:color="auto"/>
            </w:tcBorders>
          </w:tcPr>
          <w:p w14:paraId="490158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050F86" w14:textId="77777777">
        <w:tc>
          <w:tcPr>
            <w:tcW w:w="1384" w:type="dxa"/>
            <w:vMerge/>
            <w:tcBorders>
              <w:left w:val="single" w:sz="12" w:space="0" w:color="auto"/>
            </w:tcBorders>
          </w:tcPr>
          <w:p w14:paraId="1642B0DA" w14:textId="77777777" w:rsidR="003B3105" w:rsidRDefault="003B3105" w:rsidP="001E533B">
            <w:pPr>
              <w:rPr>
                <w:rFonts w:ascii="新細明體" w:eastAsia="新細明體" w:hAnsi="新細明體"/>
              </w:rPr>
            </w:pPr>
          </w:p>
        </w:tc>
        <w:tc>
          <w:tcPr>
            <w:tcW w:w="1276" w:type="dxa"/>
            <w:vMerge/>
          </w:tcPr>
          <w:p w14:paraId="17876168" w14:textId="77777777" w:rsidR="003B3105" w:rsidRDefault="003B3105" w:rsidP="001E533B">
            <w:pPr>
              <w:rPr>
                <w:rFonts w:ascii="新細明體" w:eastAsia="新細明體" w:hAnsi="新細明體"/>
              </w:rPr>
            </w:pPr>
          </w:p>
        </w:tc>
        <w:tc>
          <w:tcPr>
            <w:tcW w:w="5386" w:type="dxa"/>
            <w:tcBorders>
              <w:top w:val="nil"/>
              <w:bottom w:val="nil"/>
            </w:tcBorders>
          </w:tcPr>
          <w:p w14:paraId="3FB08D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1.是否函報（過渡性交割專戶為申報）證交所備查。</w:t>
            </w:r>
          </w:p>
        </w:tc>
        <w:tc>
          <w:tcPr>
            <w:tcW w:w="5387" w:type="dxa"/>
            <w:tcBorders>
              <w:top w:val="nil"/>
              <w:bottom w:val="nil"/>
            </w:tcBorders>
          </w:tcPr>
          <w:p w14:paraId="733DB6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1.是否函報（過渡性交割專戶為申報）證交所備查。</w:t>
            </w:r>
          </w:p>
        </w:tc>
        <w:tc>
          <w:tcPr>
            <w:tcW w:w="2023" w:type="dxa"/>
            <w:vMerge/>
            <w:tcBorders>
              <w:right w:val="single" w:sz="12" w:space="0" w:color="auto"/>
            </w:tcBorders>
          </w:tcPr>
          <w:p w14:paraId="219277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3E3F3A" w14:textId="77777777">
        <w:tc>
          <w:tcPr>
            <w:tcW w:w="1384" w:type="dxa"/>
            <w:vMerge/>
            <w:tcBorders>
              <w:left w:val="single" w:sz="12" w:space="0" w:color="auto"/>
            </w:tcBorders>
          </w:tcPr>
          <w:p w14:paraId="5C313097" w14:textId="77777777" w:rsidR="003B3105" w:rsidRDefault="003B3105" w:rsidP="001E533B">
            <w:pPr>
              <w:rPr>
                <w:rFonts w:ascii="新細明體" w:eastAsia="新細明體" w:hAnsi="新細明體"/>
              </w:rPr>
            </w:pPr>
          </w:p>
        </w:tc>
        <w:tc>
          <w:tcPr>
            <w:tcW w:w="1276" w:type="dxa"/>
            <w:vMerge/>
          </w:tcPr>
          <w:p w14:paraId="6621F170" w14:textId="77777777" w:rsidR="003B3105" w:rsidRDefault="003B3105" w:rsidP="001E533B">
            <w:pPr>
              <w:rPr>
                <w:rFonts w:ascii="新細明體" w:eastAsia="新細明體" w:hAnsi="新細明體"/>
              </w:rPr>
            </w:pPr>
          </w:p>
        </w:tc>
        <w:tc>
          <w:tcPr>
            <w:tcW w:w="5386" w:type="dxa"/>
            <w:tcBorders>
              <w:top w:val="nil"/>
              <w:bottom w:val="nil"/>
            </w:tcBorders>
          </w:tcPr>
          <w:p w14:paraId="3F3834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2.是否以其中一戶為主要交割專戶，其餘帳戶僅屬過渡性質。</w:t>
            </w:r>
          </w:p>
        </w:tc>
        <w:tc>
          <w:tcPr>
            <w:tcW w:w="5387" w:type="dxa"/>
            <w:tcBorders>
              <w:top w:val="nil"/>
              <w:bottom w:val="nil"/>
            </w:tcBorders>
          </w:tcPr>
          <w:p w14:paraId="6A4A76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2.是否以其中一戶為主要交割專戶，其餘帳戶僅屬過渡性質。</w:t>
            </w:r>
          </w:p>
        </w:tc>
        <w:tc>
          <w:tcPr>
            <w:tcW w:w="2023" w:type="dxa"/>
            <w:vMerge/>
            <w:tcBorders>
              <w:right w:val="single" w:sz="12" w:space="0" w:color="auto"/>
            </w:tcBorders>
          </w:tcPr>
          <w:p w14:paraId="45BC135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62DE6A" w14:textId="77777777">
        <w:tc>
          <w:tcPr>
            <w:tcW w:w="1384" w:type="dxa"/>
            <w:vMerge/>
            <w:tcBorders>
              <w:left w:val="single" w:sz="12" w:space="0" w:color="auto"/>
            </w:tcBorders>
          </w:tcPr>
          <w:p w14:paraId="7E0C795F" w14:textId="77777777" w:rsidR="003B3105" w:rsidRDefault="003B3105" w:rsidP="001E533B">
            <w:pPr>
              <w:rPr>
                <w:rFonts w:ascii="新細明體" w:eastAsia="新細明體" w:hAnsi="新細明體"/>
              </w:rPr>
            </w:pPr>
          </w:p>
        </w:tc>
        <w:tc>
          <w:tcPr>
            <w:tcW w:w="1276" w:type="dxa"/>
            <w:vMerge/>
          </w:tcPr>
          <w:p w14:paraId="3F992188" w14:textId="77777777" w:rsidR="003B3105" w:rsidRDefault="003B3105" w:rsidP="001E533B">
            <w:pPr>
              <w:rPr>
                <w:rFonts w:ascii="新細明體" w:eastAsia="新細明體" w:hAnsi="新細明體"/>
              </w:rPr>
            </w:pPr>
          </w:p>
        </w:tc>
        <w:tc>
          <w:tcPr>
            <w:tcW w:w="5386" w:type="dxa"/>
            <w:tcBorders>
              <w:top w:val="nil"/>
              <w:bottom w:val="nil"/>
            </w:tcBorders>
          </w:tcPr>
          <w:p w14:paraId="70A827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3.增加、減少、更換時，是否於異動後五日內函報（過渡性交割專戶為申報）證交所備查。</w:t>
            </w:r>
          </w:p>
        </w:tc>
        <w:tc>
          <w:tcPr>
            <w:tcW w:w="5387" w:type="dxa"/>
            <w:tcBorders>
              <w:top w:val="nil"/>
              <w:bottom w:val="nil"/>
            </w:tcBorders>
          </w:tcPr>
          <w:p w14:paraId="7DF338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3.增加、減少、更換時，是否於異動後五日內函報（過渡性交割專戶為申報）證交所備查。</w:t>
            </w:r>
          </w:p>
        </w:tc>
        <w:tc>
          <w:tcPr>
            <w:tcW w:w="2023" w:type="dxa"/>
            <w:vMerge/>
            <w:tcBorders>
              <w:right w:val="single" w:sz="12" w:space="0" w:color="auto"/>
            </w:tcBorders>
          </w:tcPr>
          <w:p w14:paraId="76B9EA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747407" w14:textId="77777777">
        <w:tc>
          <w:tcPr>
            <w:tcW w:w="1384" w:type="dxa"/>
            <w:vMerge/>
            <w:tcBorders>
              <w:left w:val="single" w:sz="12" w:space="0" w:color="auto"/>
            </w:tcBorders>
          </w:tcPr>
          <w:p w14:paraId="4CFB76BA" w14:textId="77777777" w:rsidR="003B3105" w:rsidRDefault="003B3105" w:rsidP="001E533B">
            <w:pPr>
              <w:rPr>
                <w:rFonts w:ascii="新細明體" w:eastAsia="新細明體" w:hAnsi="新細明體"/>
              </w:rPr>
            </w:pPr>
          </w:p>
        </w:tc>
        <w:tc>
          <w:tcPr>
            <w:tcW w:w="1276" w:type="dxa"/>
            <w:vMerge/>
          </w:tcPr>
          <w:p w14:paraId="66069ED3" w14:textId="77777777" w:rsidR="003B3105" w:rsidRDefault="003B3105" w:rsidP="001E533B">
            <w:pPr>
              <w:rPr>
                <w:rFonts w:ascii="新細明體" w:eastAsia="新細明體" w:hAnsi="新細明體"/>
              </w:rPr>
            </w:pPr>
          </w:p>
        </w:tc>
        <w:tc>
          <w:tcPr>
            <w:tcW w:w="5386" w:type="dxa"/>
            <w:tcBorders>
              <w:top w:val="nil"/>
              <w:bottom w:val="nil"/>
            </w:tcBorders>
          </w:tcPr>
          <w:p w14:paraId="2707FC0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(五)過渡性交割專戶中之客戶交割款項是否每日結清匯撥至主要交割專戶或劃撥至客戶存款帳戶，未留有餘額。</w:t>
            </w:r>
          </w:p>
        </w:tc>
        <w:tc>
          <w:tcPr>
            <w:tcW w:w="5387" w:type="dxa"/>
            <w:tcBorders>
              <w:top w:val="nil"/>
              <w:bottom w:val="nil"/>
            </w:tcBorders>
          </w:tcPr>
          <w:p w14:paraId="785BE67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(五)過渡性交割專戶中之客戶交割款項是否每日結清匯撥至主要交割專戶或劃撥至客戶存款帳戶，未留有餘額。</w:t>
            </w:r>
          </w:p>
        </w:tc>
        <w:tc>
          <w:tcPr>
            <w:tcW w:w="2023" w:type="dxa"/>
            <w:vMerge/>
            <w:tcBorders>
              <w:right w:val="single" w:sz="12" w:space="0" w:color="auto"/>
            </w:tcBorders>
          </w:tcPr>
          <w:p w14:paraId="78A63C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BE7EA5" w14:textId="77777777">
        <w:tc>
          <w:tcPr>
            <w:tcW w:w="1384" w:type="dxa"/>
            <w:vMerge/>
            <w:tcBorders>
              <w:left w:val="single" w:sz="12" w:space="0" w:color="auto"/>
            </w:tcBorders>
          </w:tcPr>
          <w:p w14:paraId="3A93FCE5" w14:textId="77777777" w:rsidR="003B3105" w:rsidRDefault="003B3105" w:rsidP="001E533B">
            <w:pPr>
              <w:rPr>
                <w:rFonts w:ascii="新細明體" w:eastAsia="新細明體" w:hAnsi="新細明體"/>
              </w:rPr>
            </w:pPr>
          </w:p>
        </w:tc>
        <w:tc>
          <w:tcPr>
            <w:tcW w:w="1276" w:type="dxa"/>
            <w:vMerge/>
          </w:tcPr>
          <w:p w14:paraId="5A59BA8D" w14:textId="77777777" w:rsidR="003B3105" w:rsidRDefault="003B3105" w:rsidP="001E533B">
            <w:pPr>
              <w:rPr>
                <w:rFonts w:ascii="新細明體" w:eastAsia="新細明體" w:hAnsi="新細明體"/>
              </w:rPr>
            </w:pPr>
          </w:p>
        </w:tc>
        <w:tc>
          <w:tcPr>
            <w:tcW w:w="5386" w:type="dxa"/>
            <w:tcBorders>
              <w:top w:val="nil"/>
              <w:bottom w:val="nil"/>
            </w:tcBorders>
          </w:tcPr>
          <w:p w14:paraId="3F56998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(六)對客戶交割專戶之款項是否無流用之情事。</w:t>
            </w:r>
          </w:p>
        </w:tc>
        <w:tc>
          <w:tcPr>
            <w:tcW w:w="5387" w:type="dxa"/>
            <w:tcBorders>
              <w:top w:val="nil"/>
              <w:bottom w:val="nil"/>
            </w:tcBorders>
          </w:tcPr>
          <w:p w14:paraId="784B9B0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(六)對客戶交割專戶之款項是否無流用之情事。</w:t>
            </w:r>
          </w:p>
        </w:tc>
        <w:tc>
          <w:tcPr>
            <w:tcW w:w="2023" w:type="dxa"/>
            <w:vMerge/>
            <w:tcBorders>
              <w:right w:val="single" w:sz="12" w:space="0" w:color="auto"/>
            </w:tcBorders>
          </w:tcPr>
          <w:p w14:paraId="0786C8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6E0C90" w14:textId="77777777">
        <w:tc>
          <w:tcPr>
            <w:tcW w:w="1384" w:type="dxa"/>
            <w:vMerge/>
            <w:tcBorders>
              <w:left w:val="single" w:sz="12" w:space="0" w:color="auto"/>
            </w:tcBorders>
          </w:tcPr>
          <w:p w14:paraId="1F0D6FE3" w14:textId="77777777" w:rsidR="003B3105" w:rsidRDefault="003B3105" w:rsidP="001E533B">
            <w:pPr>
              <w:rPr>
                <w:rFonts w:ascii="新細明體" w:eastAsia="新細明體" w:hAnsi="新細明體"/>
              </w:rPr>
            </w:pPr>
          </w:p>
        </w:tc>
        <w:tc>
          <w:tcPr>
            <w:tcW w:w="1276" w:type="dxa"/>
            <w:vMerge/>
          </w:tcPr>
          <w:p w14:paraId="618A192D" w14:textId="77777777" w:rsidR="003B3105" w:rsidRDefault="003B3105" w:rsidP="001E533B">
            <w:pPr>
              <w:rPr>
                <w:rFonts w:ascii="新細明體" w:eastAsia="新細明體" w:hAnsi="新細明體"/>
              </w:rPr>
            </w:pPr>
          </w:p>
        </w:tc>
        <w:tc>
          <w:tcPr>
            <w:tcW w:w="5386" w:type="dxa"/>
            <w:tcBorders>
              <w:top w:val="nil"/>
              <w:bottom w:val="nil"/>
            </w:tcBorders>
          </w:tcPr>
          <w:p w14:paraId="09F4B8A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(七)公司受託買賣變更交易方法有價證券或依其他規定應預收款券之有價證券時，公司</w:t>
            </w:r>
            <w:r>
              <w:rPr>
                <w:rFonts w:ascii="新細明體" w:eastAsia="新細明體" w:hAnsi="新細明體" w:cs="新細明體" w:hint="eastAsia"/>
              </w:rPr>
              <w:lastRenderedPageBreak/>
              <w:t>是否將預收款券之收受及支付情形，每日編列明細表（受託買進有價證券預收款項明細表、受託賣出預繳有價證券明細表）。未成交者除交易時間結束已逾銀行營業時間者得於次一營業日退還預收款項外，是否立即退還預收之款券及將退還情形記載於前述之明細表。對於受託前一營業日預收或未成交次一營業日退還之款項，是否與客戶議定其利息之歸屬，並留存紀錄。</w:t>
            </w:r>
          </w:p>
        </w:tc>
        <w:tc>
          <w:tcPr>
            <w:tcW w:w="5387" w:type="dxa"/>
            <w:tcBorders>
              <w:top w:val="nil"/>
              <w:bottom w:val="nil"/>
            </w:tcBorders>
          </w:tcPr>
          <w:p w14:paraId="0C5CA85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(七)公司受託買賣變更交易方法有價證券或依其他規定應預收款券之有價證券時，公司</w:t>
            </w:r>
            <w:r>
              <w:rPr>
                <w:rFonts w:ascii="新細明體" w:eastAsia="新細明體" w:hAnsi="新細明體" w:cs="新細明體" w:hint="eastAsia"/>
              </w:rPr>
              <w:lastRenderedPageBreak/>
              <w:t>是否將預收款券之收受及支付情形，每日編列明細表（受託買進有價證券預收款項明細表、受託賣出預繳有價證券明細表）。未成交者除交易時間結束已逾銀行營業時間者得於次一營業日退還預收款項外，是否立即退還預收之款券及將退還情形記載於前述之明細表。對於受託前一營業日預收或未成交次一營業日退還之款項，是否與客戶議定其利息之歸屬，並留存紀錄。</w:t>
            </w:r>
          </w:p>
        </w:tc>
        <w:tc>
          <w:tcPr>
            <w:tcW w:w="2023" w:type="dxa"/>
            <w:vMerge/>
            <w:tcBorders>
              <w:right w:val="single" w:sz="12" w:space="0" w:color="auto"/>
            </w:tcBorders>
          </w:tcPr>
          <w:p w14:paraId="59B240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(八)交割專戶設置客戶分戶帳作業是否符合證券商管理規則第38條、11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7</w:t>
            </w:r>
            <w:r>
              <w:rPr>
                <w:rFonts w:ascii="新細明體" w:eastAsia="新細明體" w:hAnsi="新細明體" w:cs="新細明體" w:hint="eastAsia"/>
              </w:rPr>
              <w:t>月</w:t>
            </w:r>
            <w:r>
              <w:rPr>
                <w:rFonts w:ascii="新細明體" w:eastAsia="新細明體" w:hAnsi="新細明體" w:cs="新細明體" w:hint="eastAsia"/>
                <w:b/>
                <w:color w:val="FF0000"/>
                <w:u w:val="single"/>
              </w:rPr>
              <w:t>24</w:t>
            </w:r>
            <w:r>
              <w:rPr>
                <w:rFonts w:ascii="新細明體" w:eastAsia="新細明體" w:hAnsi="新細明體" w:cs="新細明體" w:hint="eastAsia"/>
              </w:rPr>
              <w:t>日金管證券字第11</w:t>
            </w:r>
            <w:r>
              <w:rPr>
                <w:rFonts w:ascii="新細明體" w:eastAsia="新細明體" w:hAnsi="新細明體" w:cs="新細明體" w:hint="eastAsia"/>
                <w:b/>
                <w:color w:val="FF0000"/>
                <w:u w:val="single"/>
              </w:rPr>
              <w:t>40</w:t>
            </w:r>
            <w:r>
              <w:rPr>
                <w:rFonts w:ascii="新細明體" w:eastAsia="新細明體" w:hAnsi="新細明體" w:cs="新細明體" w:hint="eastAsia"/>
              </w:rPr>
              <w:t>1</w:t>
            </w:r>
            <w:r>
              <w:rPr>
                <w:rFonts w:ascii="新細明體" w:eastAsia="新細明體" w:hAnsi="新細明體" w:cs="新細明體" w:hint="eastAsia"/>
                <w:b/>
                <w:color w:val="FF0000"/>
                <w:u w:val="single"/>
              </w:rPr>
              <w:t>4</w:t>
            </w:r>
            <w:r>
              <w:rPr>
                <w:rFonts w:ascii="新細明體" w:eastAsia="新細明體" w:hAnsi="新細明體" w:cs="新細明體" w:hint="eastAsia"/>
              </w:rPr>
              <w:t>0</w:t>
            </w:r>
            <w:r>
              <w:rPr>
                <w:rFonts w:ascii="新細明體" w:eastAsia="新細明體" w:hAnsi="新細明體" w:cs="新細明體" w:hint="eastAsia"/>
                <w:b/>
                <w:color w:val="FF0000"/>
                <w:u w:val="single"/>
              </w:rPr>
              <w:t>2</w:t>
            </w:r>
            <w:r>
              <w:rPr>
                <w:rFonts w:ascii="新細明體" w:eastAsia="新細明體" w:hAnsi="新細明體" w:cs="新細明體" w:hint="eastAsia"/>
              </w:rPr>
              <w:t>4</w:t>
            </w:r>
            <w:r>
              <w:rPr>
                <w:rFonts w:ascii="新細明體" w:eastAsia="新細明體" w:hAnsi="新細明體" w:cs="新細明體" w:hint="eastAsia"/>
                <w:b/>
                <w:color w:val="FF0000"/>
                <w:u w:val="single"/>
              </w:rPr>
              <w:t>0</w:t>
            </w:r>
            <w:r>
              <w:rPr>
                <w:rFonts w:ascii="新細明體" w:eastAsia="新細明體" w:hAnsi="新細明體" w:cs="新細明體" w:hint="eastAsia"/>
              </w:rPr>
              <w:t>號令、證券商交割專戶設置客戶分戶帳作業要點及公司內部控制制度等規定。</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(八)交割專戶設置客戶分戶帳作業是否符合證券商管理規則第38條、11</w:t>
            </w:r>
            <w:r>
              <w:rPr>
                <w:rFonts w:ascii="新細明體" w:eastAsia="新細明體" w:hAnsi="新細明體" w:cs="新細明體" w:hint="eastAsia"/>
                <w:b/>
                <w:color w:val="FF0000"/>
              </w:rPr>
              <w:t>1</w:t>
            </w:r>
            <w:r>
              <w:rPr>
                <w:rFonts w:ascii="新細明體" w:eastAsia="新細明體" w:hAnsi="新細明體" w:cs="新細明體" w:hint="eastAsia"/>
              </w:rPr>
              <w:t>年</w:t>
            </w:r>
            <w:r>
              <w:rPr>
                <w:rFonts w:ascii="新細明體" w:eastAsia="新細明體" w:hAnsi="新細明體" w:cs="新細明體" w:hint="eastAsia"/>
                <w:b/>
                <w:color w:val="FF0000"/>
              </w:rPr>
              <w:t>9</w:t>
            </w:r>
            <w:r>
              <w:rPr>
                <w:rFonts w:ascii="新細明體" w:eastAsia="新細明體" w:hAnsi="新細明體" w:cs="新細明體" w:hint="eastAsia"/>
              </w:rPr>
              <w:t>月</w:t>
            </w:r>
            <w:r>
              <w:rPr>
                <w:rFonts w:ascii="新細明體" w:eastAsia="新細明體" w:hAnsi="新細明體" w:cs="新細明體" w:hint="eastAsia"/>
                <w:b/>
                <w:color w:val="FF0000"/>
              </w:rPr>
              <w:t>5</w:t>
            </w:r>
            <w:r>
              <w:rPr>
                <w:rFonts w:ascii="新細明體" w:eastAsia="新細明體" w:hAnsi="新細明體" w:cs="新細明體" w:hint="eastAsia"/>
              </w:rPr>
              <w:t>日金管證券字第1110</w:t>
            </w:r>
            <w:r>
              <w:rPr>
                <w:rFonts w:ascii="新細明體" w:eastAsia="新細明體" w:hAnsi="新細明體" w:cs="新細明體" w:hint="eastAsia"/>
                <w:b/>
                <w:color w:val="FF0000"/>
              </w:rPr>
              <w:t>3836</w:t>
            </w:r>
            <w:r>
              <w:rPr>
                <w:rFonts w:ascii="新細明體" w:eastAsia="新細明體" w:hAnsi="新細明體" w:cs="新細明體" w:hint="eastAsia"/>
              </w:rPr>
              <w:t>4</w:t>
            </w:r>
            <w:r>
              <w:rPr>
                <w:rFonts w:ascii="新細明體" w:eastAsia="新細明體" w:hAnsi="新細明體" w:cs="新細明體" w:hint="eastAsia"/>
                <w:b/>
                <w:color w:val="FF0000"/>
              </w:rPr>
              <w:t>64</w:t>
            </w:r>
            <w:r>
              <w:rPr>
                <w:rFonts w:ascii="新細明體" w:eastAsia="新細明體" w:hAnsi="新細明體" w:cs="新細明體" w:hint="eastAsia"/>
              </w:rPr>
              <w:t>號令、證券商交割專戶設置客戶分戶帳作業要點及公司內部控制制度等規定。</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A5D75" w14:textId="77777777" w:rsidR="005A562B" w:rsidRDefault="005A562B" w:rsidP="00E87601">
      <w:pPr>
        <w:spacing w:line="240" w:lineRule="auto"/>
      </w:pPr>
      <w:r>
        <w:separator/>
      </w:r>
    </w:p>
  </w:endnote>
  <w:endnote w:type="continuationSeparator" w:id="0">
    <w:p w14:paraId="230BB759" w14:textId="77777777" w:rsidR="005A562B" w:rsidRDefault="005A562B"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7B974" w14:textId="77777777" w:rsidR="005A562B" w:rsidRDefault="005A562B" w:rsidP="00E87601">
      <w:pPr>
        <w:spacing w:line="240" w:lineRule="auto"/>
      </w:pPr>
      <w:r>
        <w:separator/>
      </w:r>
    </w:p>
  </w:footnote>
  <w:footnote w:type="continuationSeparator" w:id="0">
    <w:p w14:paraId="26F2DAA6" w14:textId="77777777" w:rsidR="005A562B" w:rsidRDefault="005A562B"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562B"/>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C6E5A"/>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3210E"/>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360</Words>
  <Characters>2052</Characters>
  <Application>Microsoft Office Word</Application>
  <DocSecurity>0</DocSecurity>
  <Lines>17</Lines>
  <Paragraphs>4</Paragraphs>
  <ScaleCrop>false</ScaleCrop>
  <Company>Hewlett-Packard Company</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2026-05-19T02:50:00Z</dcterms:modified>
</cp:coreProperties>
</file>