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6C8EDD06" w14:textId="77777777" w:rsidTr="00206453">
        <w:tc>
          <w:tcPr>
            <w:tcW w:w="4853" w:type="dxa"/>
          </w:tcPr>
          <w:p w14:paraId="504EFA0D"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00DBB51F"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07C00510" w14:textId="77777777" w:rsidR="00206453" w:rsidRDefault="00206453" w:rsidP="00A3347B">
            <w:pPr>
              <w:spacing w:line="300" w:lineRule="auto"/>
              <w:jc w:val="center"/>
              <w:rPr>
                <w:rFonts w:ascii="新細明體" w:hAnsi="新細明體"/>
                <w:color w:val="000000" w:themeColor="text1"/>
                <w:spacing w:val="24"/>
              </w:rPr>
            </w:pPr>
          </w:p>
        </w:tc>
      </w:tr>
      <w:tr w:rsidR="00206453" w14:paraId="69FC28C2" w14:textId="77777777" w:rsidTr="00206453">
        <w:tc>
          <w:tcPr>
            <w:tcW w:w="4853" w:type="dxa"/>
          </w:tcPr>
          <w:p w14:paraId="3FC22CF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17432897"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業務及收入循環：經紀－集中、櫃檯 </w:t>
            </w:r>
          </w:p>
        </w:tc>
        <w:tc>
          <w:tcPr>
            <w:tcW w:w="4854" w:type="dxa"/>
          </w:tcPr>
          <w:p w14:paraId="0678F92F" w14:textId="77777777" w:rsidR="00206453" w:rsidRDefault="00206453" w:rsidP="00A3347B">
            <w:pPr>
              <w:spacing w:line="300" w:lineRule="auto"/>
              <w:jc w:val="center"/>
              <w:rPr>
                <w:rFonts w:ascii="新細明體" w:hAnsi="新細明體"/>
                <w:color w:val="000000" w:themeColor="text1"/>
                <w:spacing w:val="24"/>
              </w:rPr>
            </w:pPr>
          </w:p>
        </w:tc>
      </w:tr>
      <w:tr w:rsidR="00206453" w14:paraId="559EFAAD" w14:textId="77777777" w:rsidTr="00206453">
        <w:tc>
          <w:tcPr>
            <w:tcW w:w="4853" w:type="dxa"/>
          </w:tcPr>
          <w:p w14:paraId="09B48C85"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6E7F8F53"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交割款項收付作業查核明細表</w:t>
            </w:r>
          </w:p>
        </w:tc>
        <w:tc>
          <w:tcPr>
            <w:tcW w:w="4854" w:type="dxa"/>
          </w:tcPr>
          <w:p w14:paraId="2EAA4828"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13D94CCA"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4F03980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57EB8AC6"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0237A60D"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2BE9E537"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470B3411"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07DE79E4" w14:textId="77777777" w:rsidTr="00B77A59">
        <w:trPr>
          <w:cantSplit/>
          <w:trHeight w:hRule="exact" w:val="402"/>
          <w:tblHeader/>
        </w:trPr>
        <w:tc>
          <w:tcPr>
            <w:tcW w:w="1985" w:type="dxa"/>
            <w:vMerge/>
            <w:tcBorders>
              <w:left w:val="single" w:sz="12" w:space="0" w:color="auto"/>
            </w:tcBorders>
          </w:tcPr>
          <w:p w14:paraId="1263A858" w14:textId="77777777" w:rsidR="00A1667A" w:rsidRPr="00367148" w:rsidRDefault="00A1667A" w:rsidP="00647C22">
            <w:pPr>
              <w:rPr>
                <w:rFonts w:ascii="新細明體" w:hAnsi="新細明體"/>
                <w:color w:val="000000" w:themeColor="text1"/>
              </w:rPr>
            </w:pPr>
          </w:p>
        </w:tc>
        <w:tc>
          <w:tcPr>
            <w:tcW w:w="9383" w:type="dxa"/>
            <w:vMerge/>
          </w:tcPr>
          <w:p w14:paraId="143DEBF9" w14:textId="77777777" w:rsidR="00A1667A" w:rsidRPr="00367148" w:rsidRDefault="00A1667A" w:rsidP="00647C22">
            <w:pPr>
              <w:rPr>
                <w:rFonts w:ascii="新細明體" w:hAnsi="新細明體"/>
                <w:color w:val="000000" w:themeColor="text1"/>
              </w:rPr>
            </w:pPr>
          </w:p>
        </w:tc>
        <w:tc>
          <w:tcPr>
            <w:tcW w:w="851" w:type="dxa"/>
          </w:tcPr>
          <w:p w14:paraId="2692652F"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5940789D"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19601640"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1642485B" w14:textId="77777777" w:rsidR="00A1667A" w:rsidRPr="00367148" w:rsidRDefault="00A1667A" w:rsidP="00647C22">
            <w:pPr>
              <w:rPr>
                <w:rFonts w:ascii="新細明體" w:hAnsi="新細明體"/>
                <w:color w:val="000000" w:themeColor="text1"/>
              </w:rPr>
            </w:pPr>
          </w:p>
        </w:tc>
      </w:tr>
      <w:tr w:rsidR="00367148" w:rsidRPr="00367148" w14:paraId="7035D2A1" w14:textId="77777777" w:rsidTr="00260A68">
        <w:trPr>
          <w:trHeight w:val="489"/>
        </w:trPr>
        <w:tc>
          <w:tcPr>
            <w:tcW w:w="1985" w:type="dxa"/>
            <w:tcBorders>
              <w:left w:val="single" w:sz="12" w:space="0" w:color="auto"/>
            </w:tcBorders>
          </w:tcPr>
          <w:p w14:paraId="7CF6E775"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(FA-11500-M)</w:t>
            </w:r>
          </w:p>
          <w:p w14:paraId="271A663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交割款項收付作業</w:t>
            </w:r>
          </w:p>
        </w:tc>
        <w:tc>
          <w:tcPr>
            <w:tcW w:w="9383" w:type="dxa"/>
          </w:tcPr>
          <w:p w14:paraId="3AD04FC8" w14:textId="77777777" w:rsidR="008B3B40" w:rsidRDefault="00000000">
            <w:pPr>
              <w:ind w:left="449" w:hangingChars="187" w:hanging="449"/>
            </w:pPr>
            <w:r>
              <w:t>一、交割款項收付彙總表收入及支出各欄之數字是否與相關報表及交割</w:t>
            </w:r>
            <w:r>
              <w:t>(</w:t>
            </w:r>
            <w:r>
              <w:t>結算</w:t>
            </w:r>
            <w:r>
              <w:t>)</w:t>
            </w:r>
            <w:r>
              <w:t>專戶存摺收付之金額相符。</w:t>
            </w:r>
          </w:p>
          <w:p w14:paraId="64917289" w14:textId="77777777" w:rsidR="008B3B40" w:rsidRDefault="00000000">
            <w:pPr>
              <w:ind w:left="449" w:hangingChars="187" w:hanging="449"/>
            </w:pPr>
            <w:r>
              <w:t>二、客戶交割</w:t>
            </w:r>
            <w:r>
              <w:t>(</w:t>
            </w:r>
            <w:r>
              <w:t>結算</w:t>
            </w:r>
            <w:r>
              <w:t>)</w:t>
            </w:r>
            <w:r>
              <w:t>款項之收付除下列各款得以匯撥</w:t>
            </w:r>
            <w:r>
              <w:t>(</w:t>
            </w:r>
            <w:r>
              <w:t>匯款</w:t>
            </w:r>
            <w:r>
              <w:t>)</w:t>
            </w:r>
            <w:r>
              <w:t>方式完成交割外，是否透過其開設之指定銀行存款帳戶，以帳簿劃撥方式為之：</w:t>
            </w:r>
          </w:p>
          <w:p w14:paraId="3AE3EB87" w14:textId="77777777" w:rsidR="008B3B40" w:rsidRDefault="00000000">
            <w:pPr>
              <w:ind w:leftChars="99" w:left="639" w:hangingChars="167" w:hanging="401"/>
            </w:pPr>
            <w:r>
              <w:t>(</w:t>
            </w:r>
            <w:r>
              <w:t>一</w:t>
            </w:r>
            <w:r>
              <w:t>)</w:t>
            </w:r>
            <w:r>
              <w:t>證券投資信託基金、行政院國家發展基金投資之創業投資事業、保險業、境外華僑及外國人與大陸地區投資人及將所持有海外公司債轉換成股票或海外存託憑證兌回原有價證券之華僑及外國人，由保管機構代理開立存款帳戶者。</w:t>
            </w:r>
          </w:p>
          <w:p w14:paraId="54CF7A40" w14:textId="77777777" w:rsidR="008B3B40" w:rsidRDefault="00000000">
            <w:pPr>
              <w:ind w:leftChars="99" w:left="639" w:hangingChars="167" w:hanging="401"/>
            </w:pPr>
            <w:r>
              <w:t>(</w:t>
            </w:r>
            <w:r>
              <w:t>二</w:t>
            </w:r>
            <w:r>
              <w:t>)</w:t>
            </w:r>
            <w:r>
              <w:t>信託業具有集保參加人身分者，其所管理之集合性質信託資金專戶證券投資信託基金於保管機構</w:t>
            </w:r>
            <w:r>
              <w:t>(</w:t>
            </w:r>
            <w:r>
              <w:t>保管銀行</w:t>
            </w:r>
            <w:r>
              <w:t>)</w:t>
            </w:r>
            <w:r>
              <w:t>設有存款帳戶者。</w:t>
            </w:r>
          </w:p>
          <w:p w14:paraId="3691CBC8" w14:textId="77777777" w:rsidR="008B3B40" w:rsidRDefault="00000000">
            <w:pPr>
              <w:ind w:leftChars="99" w:left="639" w:hangingChars="167" w:hanging="401"/>
            </w:pPr>
            <w:r>
              <w:t>(</w:t>
            </w:r>
            <w:r>
              <w:t>三</w:t>
            </w:r>
            <w:r>
              <w:t>)</w:t>
            </w:r>
            <w:r>
              <w:t>海外存託憑證存託機構於受託兌回賣出持股時，透過其保管機構之存款帳戶者。</w:t>
            </w:r>
          </w:p>
          <w:p w14:paraId="12438C07" w14:textId="77777777" w:rsidR="008B3B40" w:rsidRDefault="00000000">
            <w:pPr>
              <w:ind w:leftChars="99" w:left="639" w:hangingChars="167" w:hanging="401"/>
            </w:pPr>
            <w:r>
              <w:t>(</w:t>
            </w:r>
            <w:r>
              <w:t>四</w:t>
            </w:r>
            <w:r>
              <w:t>)</w:t>
            </w:r>
            <w:r>
              <w:t>委任人全權委託證券投資顧問事業或證券投資信託事業買賣有價證券者，於保管機構開設存款帳戶者。同一委任人之不同全權委託投資帳戶，於辦理買賣交割時，不得相互辦理款券撥轉。</w:t>
            </w:r>
          </w:p>
          <w:p w14:paraId="445FB040" w14:textId="77777777" w:rsidR="008B3B40" w:rsidRDefault="00000000">
            <w:pPr>
              <w:ind w:leftChars="99" w:left="639" w:hangingChars="167" w:hanging="401"/>
            </w:pPr>
            <w:r>
              <w:t>(</w:t>
            </w:r>
            <w:r>
              <w:t>五</w:t>
            </w:r>
            <w:r>
              <w:t>)</w:t>
            </w:r>
            <w:r>
              <w:t>國內銀行及保險公司，如其取得中華信用評等公司評級</w:t>
            </w:r>
            <w:r>
              <w:t>twA-</w:t>
            </w:r>
            <w:r>
              <w:t>等級以上，或經主管機關核准或認可之信用評等機構評級與中華信用評等公司之</w:t>
            </w:r>
            <w:r>
              <w:t>twA-</w:t>
            </w:r>
            <w:r>
              <w:t>同等級以上之資格條件者。</w:t>
            </w:r>
          </w:p>
          <w:p w14:paraId="25F95A92" w14:textId="77777777" w:rsidR="008B3B40" w:rsidRDefault="00000000">
            <w:pPr>
              <w:ind w:leftChars="99" w:left="639" w:hangingChars="167" w:hanging="401"/>
            </w:pPr>
            <w:r>
              <w:t>(</w:t>
            </w:r>
            <w:r>
              <w:t>六</w:t>
            </w:r>
            <w:r>
              <w:t>)</w:t>
            </w:r>
            <w:r>
              <w:t>政府機關依法令規定透過各該機關之存款帳戶辦理證券買賣款項交割作業者。</w:t>
            </w:r>
          </w:p>
          <w:p w14:paraId="6A146C47" w14:textId="77777777" w:rsidR="008B3B40" w:rsidRDefault="00000000">
            <w:pPr>
              <w:ind w:leftChars="99" w:left="639" w:hangingChars="167" w:hanging="401"/>
            </w:pPr>
            <w:r>
              <w:t>(</w:t>
            </w:r>
            <w:r>
              <w:t>七</w:t>
            </w:r>
            <w:r>
              <w:t>)</w:t>
            </w:r>
            <w:r>
              <w:t>委託人同意留存交割款項於證券商交割專戶者。</w:t>
            </w:r>
          </w:p>
          <w:p w14:paraId="2C8AC672" w14:textId="77777777" w:rsidR="008B3B40" w:rsidRDefault="00000000">
            <w:pPr>
              <w:ind w:left="449" w:hangingChars="187" w:hanging="449"/>
            </w:pPr>
            <w:r>
              <w:t>三、交割</w:t>
            </w:r>
            <w:r>
              <w:t>(</w:t>
            </w:r>
            <w:r>
              <w:t>結算</w:t>
            </w:r>
            <w:r>
              <w:t>)</w:t>
            </w:r>
            <w:r>
              <w:t>款項</w:t>
            </w:r>
            <w:r>
              <w:t>(</w:t>
            </w:r>
            <w:r>
              <w:t>包含信用交易非交易系統部分</w:t>
            </w:r>
            <w:r>
              <w:t>)</w:t>
            </w:r>
            <w:r>
              <w:t>是否均透過交割</w:t>
            </w:r>
            <w:r>
              <w:t>(</w:t>
            </w:r>
            <w:r>
              <w:t>結算</w:t>
            </w:r>
            <w:r>
              <w:t>)</w:t>
            </w:r>
            <w:r>
              <w:t>專戶進行收付。</w:t>
            </w:r>
          </w:p>
          <w:p w14:paraId="62EBD768" w14:textId="77777777" w:rsidR="008B3B40" w:rsidRDefault="00000000">
            <w:pPr>
              <w:ind w:left="449" w:hangingChars="187" w:hanging="449"/>
            </w:pPr>
            <w:r>
              <w:t>四、交割專戶之開立：</w:t>
            </w:r>
            <w:r>
              <w:t>(</w:t>
            </w:r>
            <w:r>
              <w:t>集中</w:t>
            </w:r>
            <w:r>
              <w:t>)</w:t>
            </w:r>
          </w:p>
          <w:p w14:paraId="0CB3A260" w14:textId="77777777" w:rsidR="008B3B40" w:rsidRDefault="00000000">
            <w:pPr>
              <w:ind w:leftChars="99" w:left="639" w:hangingChars="167" w:hanging="401"/>
            </w:pPr>
            <w:r>
              <w:lastRenderedPageBreak/>
              <w:t>(</w:t>
            </w:r>
            <w:r>
              <w:t>一</w:t>
            </w:r>
            <w:r>
              <w:t>)</w:t>
            </w:r>
            <w:r>
              <w:t>是否函報</w:t>
            </w:r>
            <w:r>
              <w:t>(</w:t>
            </w:r>
            <w:r>
              <w:t>過渡性交割專戶為申報</w:t>
            </w:r>
            <w:r>
              <w:t>)</w:t>
            </w:r>
            <w:r>
              <w:t>證交所備查。</w:t>
            </w:r>
          </w:p>
          <w:p w14:paraId="6268FE6F" w14:textId="77777777" w:rsidR="008B3B40" w:rsidRDefault="00000000">
            <w:pPr>
              <w:ind w:leftChars="99" w:left="639" w:hangingChars="167" w:hanging="401"/>
            </w:pPr>
            <w:r>
              <w:t>(</w:t>
            </w:r>
            <w:r>
              <w:t>二</w:t>
            </w:r>
            <w:r>
              <w:t>)</w:t>
            </w:r>
            <w:r>
              <w:t>是否以其中一戶為主要交割專戶，其餘帳戶僅屬過渡性質。</w:t>
            </w:r>
          </w:p>
          <w:p w14:paraId="70F5E60D" w14:textId="77777777" w:rsidR="008B3B40" w:rsidRDefault="00000000">
            <w:pPr>
              <w:ind w:leftChars="99" w:left="639" w:hangingChars="167" w:hanging="401"/>
            </w:pPr>
            <w:r>
              <w:t>(</w:t>
            </w:r>
            <w:r>
              <w:t>三</w:t>
            </w:r>
            <w:r>
              <w:t>)</w:t>
            </w:r>
            <w:r>
              <w:t>增加、減少、更換時，是否於異動後五日內函報</w:t>
            </w:r>
            <w:r>
              <w:t>(</w:t>
            </w:r>
            <w:r>
              <w:t>過渡性交割專戶為申報</w:t>
            </w:r>
            <w:r>
              <w:t>)</w:t>
            </w:r>
            <w:r>
              <w:t>證交所備查。</w:t>
            </w:r>
          </w:p>
          <w:p w14:paraId="248778FC" w14:textId="77777777" w:rsidR="008B3B40" w:rsidRDefault="00000000">
            <w:pPr>
              <w:ind w:left="449" w:hangingChars="187" w:hanging="449"/>
            </w:pPr>
            <w:r>
              <w:t>五、結算專戶之開立：</w:t>
            </w:r>
            <w:r>
              <w:t>(</w:t>
            </w:r>
            <w:r>
              <w:t>櫃檯</w:t>
            </w:r>
            <w:r>
              <w:t>)</w:t>
            </w:r>
          </w:p>
          <w:p w14:paraId="7C39238D" w14:textId="77777777" w:rsidR="008B3B40" w:rsidRDefault="00000000">
            <w:pPr>
              <w:ind w:leftChars="99" w:left="639" w:hangingChars="167" w:hanging="401"/>
            </w:pPr>
            <w:r>
              <w:t>(</w:t>
            </w:r>
            <w:r>
              <w:t>一</w:t>
            </w:r>
            <w:r>
              <w:t>)</w:t>
            </w:r>
            <w:r>
              <w:t>是否為活期存款帳戶。</w:t>
            </w:r>
          </w:p>
          <w:p w14:paraId="3715C76B" w14:textId="77777777" w:rsidR="008B3B40" w:rsidRDefault="00000000">
            <w:pPr>
              <w:ind w:leftChars="99" w:left="639" w:hangingChars="167" w:hanging="401"/>
            </w:pPr>
            <w:r>
              <w:t>(</w:t>
            </w:r>
            <w:r>
              <w:t>二</w:t>
            </w:r>
            <w:r>
              <w:t>)</w:t>
            </w:r>
            <w:r>
              <w:t>是否以其中一戶為櫃檯買賣結算專戶，其餘帳戶均屬過渡性質。</w:t>
            </w:r>
          </w:p>
          <w:p w14:paraId="59901CA0" w14:textId="77777777" w:rsidR="008B3B40" w:rsidRDefault="00000000">
            <w:pPr>
              <w:ind w:leftChars="99" w:left="639" w:hangingChars="167" w:hanging="401"/>
            </w:pPr>
            <w:r>
              <w:t>(</w:t>
            </w:r>
            <w:r>
              <w:t>三</w:t>
            </w:r>
            <w:r>
              <w:t>)</w:t>
            </w:r>
            <w:r>
              <w:t>更換櫃檯買賣結算專戶時，是否事先函知櫃檯買賣中心。</w:t>
            </w:r>
          </w:p>
          <w:p w14:paraId="08A70E47" w14:textId="77777777" w:rsidR="008B3B40" w:rsidRDefault="00000000">
            <w:pPr>
              <w:ind w:left="449" w:hangingChars="187" w:hanging="449"/>
            </w:pPr>
            <w:r>
              <w:t>六、過渡性交割</w:t>
            </w:r>
            <w:r>
              <w:t>(</w:t>
            </w:r>
            <w:r>
              <w:t>結算</w:t>
            </w:r>
            <w:r>
              <w:t>)</w:t>
            </w:r>
            <w:r>
              <w:t>專戶中之客戶交割</w:t>
            </w:r>
            <w:r>
              <w:t>(</w:t>
            </w:r>
            <w:r>
              <w:t>結算</w:t>
            </w:r>
            <w:r>
              <w:t>)</w:t>
            </w:r>
            <w:r>
              <w:t>款項是否每日結清匯撥至主要交割</w:t>
            </w:r>
            <w:r>
              <w:t>(</w:t>
            </w:r>
            <w:r>
              <w:t>結算</w:t>
            </w:r>
            <w:r>
              <w:t>)</w:t>
            </w:r>
            <w:r>
              <w:t>專戶或劃撥至客戶存款帳戶，未留有餘額。</w:t>
            </w:r>
          </w:p>
          <w:p w14:paraId="0BDB7FB4" w14:textId="77777777" w:rsidR="008B3B40" w:rsidRDefault="00000000">
            <w:pPr>
              <w:ind w:left="449" w:hangingChars="187" w:hanging="449"/>
            </w:pPr>
            <w:r>
              <w:t>七、對客戶交割</w:t>
            </w:r>
            <w:r>
              <w:t>(</w:t>
            </w:r>
            <w:r>
              <w:t>結算</w:t>
            </w:r>
            <w:r>
              <w:t>)</w:t>
            </w:r>
            <w:r>
              <w:t>專戶之款項是否無流用之情事。</w:t>
            </w:r>
          </w:p>
          <w:p w14:paraId="7EBEE1EC" w14:textId="77777777" w:rsidR="008B3B40" w:rsidRDefault="00000000">
            <w:pPr>
              <w:ind w:left="449" w:hangingChars="187" w:hanging="449"/>
            </w:pPr>
            <w:r>
              <w:t>八、受託買進依規定應先收取款項之股票：</w:t>
            </w:r>
          </w:p>
          <w:p w14:paraId="7BEE0A26" w14:textId="77777777" w:rsidR="008B3B40" w:rsidRDefault="00000000">
            <w:pPr>
              <w:ind w:leftChars="99" w:left="639" w:hangingChars="167" w:hanging="401"/>
            </w:pPr>
            <w:r>
              <w:t>(</w:t>
            </w:r>
            <w:r>
              <w:t>一</w:t>
            </w:r>
            <w:r>
              <w:t>)</w:t>
            </w:r>
            <w:r>
              <w:t>預收之款項是否填寫預收款項明細表並即存入對客戶交割</w:t>
            </w:r>
            <w:r>
              <w:t>(</w:t>
            </w:r>
            <w:r>
              <w:t>結算</w:t>
            </w:r>
            <w:r>
              <w:t>)</w:t>
            </w:r>
            <w:r>
              <w:t>專戶。</w:t>
            </w:r>
          </w:p>
          <w:p w14:paraId="760857E6" w14:textId="77777777" w:rsidR="008B3B40" w:rsidRDefault="00000000">
            <w:pPr>
              <w:ind w:leftChars="99" w:left="639" w:hangingChars="167" w:hanging="401"/>
            </w:pPr>
            <w:r>
              <w:t>(</w:t>
            </w:r>
            <w:r>
              <w:t>二</w:t>
            </w:r>
            <w:r>
              <w:t>)</w:t>
            </w:r>
            <w:r>
              <w:t>未成交者除交易時間結束已逾銀行營業時間者得於次一營業日退還預收款項外，是否當日退還客戶。</w:t>
            </w:r>
          </w:p>
          <w:p w14:paraId="39211BC0" w14:textId="77777777" w:rsidR="008B3B40" w:rsidRDefault="00000000">
            <w:pPr>
              <w:ind w:leftChars="99" w:left="639" w:hangingChars="167" w:hanging="401"/>
            </w:pPr>
            <w:r>
              <w:t>(</w:t>
            </w:r>
            <w:r>
              <w:t>三</w:t>
            </w:r>
            <w:r>
              <w:t>)</w:t>
            </w:r>
            <w:r>
              <w:t>對於受託前一營業日預收或未成交次一營業日退還之款項，是否與客戶議定其利息之歸屬，並留存紀錄。</w:t>
            </w:r>
          </w:p>
          <w:p w14:paraId="46325EB4" w14:textId="77777777" w:rsidR="008B3B40" w:rsidRDefault="00000000">
            <w:pPr>
              <w:ind w:left="449" w:hangingChars="187" w:hanging="449"/>
            </w:pPr>
            <w:r>
              <w:t>九、交割專戶設置客戶分戶帳作業是否符合證券商管理規則第</w:t>
            </w:r>
            <w:r>
              <w:t>38</w:t>
            </w:r>
            <w:r>
              <w:t>條、</w:t>
            </w:r>
            <w:r w:rsidRPr="00F43AC8">
              <w:rPr>
                <w:color w:val="FF0000"/>
              </w:rPr>
              <w:t>11</w:t>
            </w:r>
            <w:r w:rsidRPr="00F43AC8">
              <w:rPr>
                <w:strike/>
                <w:color w:val="FF0000"/>
              </w:rPr>
              <w:t>1</w:t>
            </w:r>
            <w:r w:rsidRPr="00F43AC8">
              <w:rPr>
                <w:color w:val="FF0000"/>
                <w:u w:val="single"/>
              </w:rPr>
              <w:t>4</w:t>
            </w:r>
            <w:r>
              <w:t>年</w:t>
            </w:r>
            <w:r w:rsidRPr="00F43AC8">
              <w:rPr>
                <w:strike/>
                <w:color w:val="FF0000"/>
              </w:rPr>
              <w:t>9</w:t>
            </w:r>
            <w:r w:rsidRPr="00F43AC8">
              <w:rPr>
                <w:color w:val="FF0000"/>
                <w:u w:val="single"/>
              </w:rPr>
              <w:t>7</w:t>
            </w:r>
            <w:r>
              <w:t>月</w:t>
            </w:r>
            <w:r w:rsidRPr="00F43AC8">
              <w:rPr>
                <w:strike/>
                <w:color w:val="FF0000"/>
              </w:rPr>
              <w:t>5</w:t>
            </w:r>
            <w:r w:rsidRPr="00F43AC8">
              <w:rPr>
                <w:color w:val="FF0000"/>
                <w:u w:val="single"/>
              </w:rPr>
              <w:t>24</w:t>
            </w:r>
            <w:r>
              <w:t>日金管證券字第</w:t>
            </w:r>
            <w:r w:rsidRPr="00F43AC8">
              <w:rPr>
                <w:color w:val="FF0000"/>
              </w:rPr>
              <w:t>11</w:t>
            </w:r>
            <w:r w:rsidRPr="00F43AC8">
              <w:rPr>
                <w:color w:val="FF0000"/>
                <w:u w:val="single"/>
              </w:rPr>
              <w:t>40</w:t>
            </w:r>
            <w:r w:rsidRPr="00F43AC8">
              <w:rPr>
                <w:color w:val="FF0000"/>
              </w:rPr>
              <w:t>1</w:t>
            </w:r>
            <w:r w:rsidRPr="00F43AC8">
              <w:rPr>
                <w:color w:val="FF0000"/>
                <w:u w:val="single"/>
              </w:rPr>
              <w:t>4</w:t>
            </w:r>
            <w:r w:rsidRPr="00F43AC8">
              <w:rPr>
                <w:color w:val="FF0000"/>
              </w:rPr>
              <w:t>0</w:t>
            </w:r>
            <w:r w:rsidRPr="00F43AC8">
              <w:rPr>
                <w:strike/>
                <w:color w:val="FF0000"/>
              </w:rPr>
              <w:t>3836</w:t>
            </w:r>
            <w:r w:rsidRPr="00F43AC8">
              <w:rPr>
                <w:color w:val="FF0000"/>
                <w:u w:val="single"/>
              </w:rPr>
              <w:t>2</w:t>
            </w:r>
            <w:r w:rsidRPr="00F43AC8">
              <w:rPr>
                <w:color w:val="FF0000"/>
              </w:rPr>
              <w:t>4</w:t>
            </w:r>
            <w:r w:rsidRPr="00F43AC8">
              <w:rPr>
                <w:strike/>
                <w:color w:val="FF0000"/>
              </w:rPr>
              <w:t>64</w:t>
            </w:r>
            <w:r w:rsidRPr="00F43AC8">
              <w:rPr>
                <w:color w:val="FF0000"/>
                <w:u w:val="single"/>
              </w:rPr>
              <w:t>0</w:t>
            </w:r>
            <w:r>
              <w:t>號令、證券商交割專戶設置客戶分戶帳作業要點及公司內部控制制度等規定。</w:t>
            </w:r>
          </w:p>
        </w:tc>
        <w:tc>
          <w:tcPr>
            <w:tcW w:w="851" w:type="dxa"/>
          </w:tcPr>
          <w:p w14:paraId="156803F3"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526C2B9C"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1AD1F19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032CFEC1" w14:textId="77777777" w:rsidR="00A1667A" w:rsidRPr="00367148" w:rsidRDefault="00A1667A" w:rsidP="00647C22">
            <w:pPr>
              <w:spacing w:line="260" w:lineRule="exact"/>
              <w:rPr>
                <w:rFonts w:ascii="新細明體" w:hAnsi="新細明體"/>
                <w:color w:val="000000" w:themeColor="text1"/>
              </w:rPr>
            </w:pPr>
          </w:p>
        </w:tc>
      </w:tr>
      <w:tr w:rsidR="00367148" w:rsidRPr="00367148" w14:paraId="7DB8BC18" w14:textId="77777777" w:rsidTr="00455A5F">
        <w:trPr>
          <w:cantSplit/>
        </w:trPr>
        <w:tc>
          <w:tcPr>
            <w:tcW w:w="15054" w:type="dxa"/>
            <w:gridSpan w:val="6"/>
            <w:tcBorders>
              <w:left w:val="single" w:sz="12" w:space="0" w:color="auto"/>
              <w:bottom w:val="single" w:sz="12" w:space="0" w:color="auto"/>
              <w:right w:val="single" w:sz="12" w:space="0" w:color="auto"/>
            </w:tcBorders>
          </w:tcPr>
          <w:p w14:paraId="5BDE643F"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：符號說明－集中／櫃檯</w:t>
            </w:r>
          </w:p>
        </w:tc>
      </w:tr>
    </w:tbl>
    <w:p w14:paraId="3314E48C"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8F75A" w14:textId="77777777" w:rsidR="001337FE" w:rsidRDefault="001337FE" w:rsidP="00D253DA">
      <w:r>
        <w:separator/>
      </w:r>
    </w:p>
  </w:endnote>
  <w:endnote w:type="continuationSeparator" w:id="0">
    <w:p w14:paraId="7EEB96FE" w14:textId="77777777" w:rsidR="001337FE" w:rsidRDefault="001337FE"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FD80" w14:textId="77777777" w:rsidR="001337FE" w:rsidRDefault="001337FE" w:rsidP="00D253DA">
      <w:r>
        <w:separator/>
      </w:r>
    </w:p>
  </w:footnote>
  <w:footnote w:type="continuationSeparator" w:id="0">
    <w:p w14:paraId="3B52B722" w14:textId="77777777" w:rsidR="001337FE" w:rsidRDefault="001337FE"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7FE"/>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44978"/>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B40"/>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3AC8"/>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BA914"/>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郭忻瑩</cp:lastModifiedBy>
  <cp:revision>26</cp:revision>
  <cp:lastPrinted>2018-07-17T03:11:00Z</cp:lastPrinted>
  <dcterms:created xsi:type="dcterms:W3CDTF">2025-05-04T09:28:00Z</dcterms:created>
  <dcterms:modified xsi:type="dcterms:W3CDTF">2026-03-08T03:17:00Z</dcterms:modified>
</cp:coreProperties>
</file>