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4987B5F2" w14:textId="77777777" w:rsidTr="00206453">
        <w:tc>
          <w:tcPr>
            <w:tcW w:w="4853" w:type="dxa"/>
          </w:tcPr>
          <w:p w14:paraId="5F7CAAE0"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4CB44497"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3AB8404E" w14:textId="77777777" w:rsidR="00206453" w:rsidRDefault="00206453" w:rsidP="00A3347B">
            <w:pPr>
              <w:spacing w:line="300" w:lineRule="auto"/>
              <w:jc w:val="center"/>
              <w:rPr>
                <w:rFonts w:ascii="新細明體" w:hAnsi="新細明體"/>
                <w:color w:val="000000" w:themeColor="text1"/>
                <w:spacing w:val="24"/>
              </w:rPr>
            </w:pPr>
          </w:p>
        </w:tc>
      </w:tr>
      <w:tr w:rsidR="00206453" w14:paraId="610832AD" w14:textId="77777777" w:rsidTr="00206453">
        <w:tc>
          <w:tcPr>
            <w:tcW w:w="4853" w:type="dxa"/>
          </w:tcPr>
          <w:p w14:paraId="765BD4EF"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3C04D4BA"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薪工循環：人員聘雇作業 </w:t>
            </w:r>
          </w:p>
        </w:tc>
        <w:tc>
          <w:tcPr>
            <w:tcW w:w="4854" w:type="dxa"/>
          </w:tcPr>
          <w:p w14:paraId="2061BFCF" w14:textId="77777777" w:rsidR="00206453" w:rsidRDefault="00206453" w:rsidP="00A3347B">
            <w:pPr>
              <w:spacing w:line="300" w:lineRule="auto"/>
              <w:jc w:val="center"/>
              <w:rPr>
                <w:rFonts w:ascii="新細明體" w:hAnsi="新細明體"/>
                <w:color w:val="000000" w:themeColor="text1"/>
                <w:spacing w:val="24"/>
              </w:rPr>
            </w:pPr>
          </w:p>
        </w:tc>
      </w:tr>
      <w:tr w:rsidR="00206453" w14:paraId="1217C839" w14:textId="77777777" w:rsidTr="00206453">
        <w:tc>
          <w:tcPr>
            <w:tcW w:w="4853" w:type="dxa"/>
          </w:tcPr>
          <w:p w14:paraId="128D05D2"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作業週期：（每半年至少查核乙次）</w:t>
            </w:r>
          </w:p>
        </w:tc>
        <w:tc>
          <w:tcPr>
            <w:tcW w:w="4853" w:type="dxa"/>
          </w:tcPr>
          <w:p w14:paraId="4724FD24"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14:paraId="71101C3A"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08541E7F"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3568DC98"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12E37B4E"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3BFE08C6"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1BA35891"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648974D6"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7A53DB53" w14:textId="77777777" w:rsidTr="00B77A59">
        <w:trPr>
          <w:cantSplit/>
          <w:trHeight w:hRule="exact" w:val="402"/>
          <w:tblHeader/>
        </w:trPr>
        <w:tc>
          <w:tcPr>
            <w:tcW w:w="1985" w:type="dxa"/>
            <w:vMerge/>
            <w:tcBorders>
              <w:left w:val="single" w:sz="12" w:space="0" w:color="auto"/>
            </w:tcBorders>
          </w:tcPr>
          <w:p w14:paraId="1E229F11" w14:textId="77777777" w:rsidR="00A1667A" w:rsidRPr="00367148" w:rsidRDefault="00A1667A" w:rsidP="00647C22">
            <w:pPr>
              <w:rPr>
                <w:rFonts w:ascii="新細明體" w:hAnsi="新細明體"/>
                <w:color w:val="000000" w:themeColor="text1"/>
              </w:rPr>
            </w:pPr>
          </w:p>
        </w:tc>
        <w:tc>
          <w:tcPr>
            <w:tcW w:w="9383" w:type="dxa"/>
            <w:vMerge/>
          </w:tcPr>
          <w:p w14:paraId="313D1A1B" w14:textId="77777777" w:rsidR="00A1667A" w:rsidRPr="00367148" w:rsidRDefault="00A1667A" w:rsidP="00647C22">
            <w:pPr>
              <w:rPr>
                <w:rFonts w:ascii="新細明體" w:hAnsi="新細明體"/>
                <w:color w:val="000000" w:themeColor="text1"/>
              </w:rPr>
            </w:pPr>
          </w:p>
        </w:tc>
        <w:tc>
          <w:tcPr>
            <w:tcW w:w="851" w:type="dxa"/>
          </w:tcPr>
          <w:p w14:paraId="101F49DD"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1B6164C6"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0263D055"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4A3BFC88" w14:textId="77777777" w:rsidR="00A1667A" w:rsidRPr="00367148" w:rsidRDefault="00A1667A" w:rsidP="00647C22">
            <w:pPr>
              <w:rPr>
                <w:rFonts w:ascii="新細明體" w:hAnsi="新細明體"/>
                <w:color w:val="000000" w:themeColor="text1"/>
              </w:rPr>
            </w:pPr>
          </w:p>
        </w:tc>
      </w:tr>
      <w:tr w:rsidR="00367148" w:rsidRPr="00367148" w14:paraId="69CAA867" w14:textId="77777777" w:rsidTr="00260A68">
        <w:trPr>
          <w:trHeight w:val="489"/>
        </w:trPr>
        <w:tc>
          <w:tcPr>
            <w:tcW w:w="1985" w:type="dxa"/>
            <w:tcBorders>
              <w:left w:val="single" w:sz="12" w:space="0" w:color="auto"/>
            </w:tcBorders>
          </w:tcPr>
          <w:p w14:paraId="7E1201E6"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(FW-11000-S)</w:t>
            </w:r>
          </w:p>
          <w:p w14:paraId="13DFD369"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人員聘雇作業</w:t>
            </w:r>
          </w:p>
        </w:tc>
        <w:tc>
          <w:tcPr>
            <w:tcW w:w="9383" w:type="dxa"/>
          </w:tcPr>
          <w:p w14:paraId="0CBE2A8E" w14:textId="77777777" w:rsidR="002108F5" w:rsidRDefault="00DF6AA4">
            <w:pPr>
              <w:ind w:left="449" w:hangingChars="187" w:hanging="449"/>
            </w:pPr>
            <w:r>
              <w:t>一、新進人員若從事「證券商負責人與業務人員管理規則」第二條規定之業務時是否依規定辦妥登記。</w:t>
            </w:r>
          </w:p>
          <w:p w14:paraId="76734108" w14:textId="77777777" w:rsidR="002108F5" w:rsidRDefault="00DF6AA4">
            <w:pPr>
              <w:ind w:left="449" w:hangingChars="187" w:hanging="449"/>
            </w:pPr>
            <w:r>
              <w:t>二、經理人、會計主管與主辦會計人員之任免是否經董事過半數之出席，及出席董事過半數同意</w:t>
            </w:r>
            <w:r>
              <w:t>(</w:t>
            </w:r>
            <w:r>
              <w:t>外國證券商在臺分</w:t>
            </w:r>
            <w:r>
              <w:rPr>
                <w:strike/>
                <w:color w:val="FF0000"/>
              </w:rPr>
              <w:t>公司</w:t>
            </w:r>
            <w:r w:rsidRPr="00DF6AA4">
              <w:rPr>
                <w:color w:val="FF0000"/>
                <w:u w:val="single"/>
              </w:rPr>
              <w:t>支機構</w:t>
            </w:r>
            <w:r>
              <w:t>除外及兼營證券商得另依主管機關規定</w:t>
            </w:r>
            <w:r>
              <w:t>)</w:t>
            </w:r>
            <w:r>
              <w:t>。</w:t>
            </w:r>
          </w:p>
          <w:p w14:paraId="3E92B9A1" w14:textId="77777777" w:rsidR="002108F5" w:rsidRDefault="00DF6AA4">
            <w:pPr>
              <w:ind w:left="449" w:hangingChars="187" w:hanging="449"/>
            </w:pPr>
            <w:r>
              <w:t>三、業務人員兼任兼職之管理：</w:t>
            </w:r>
          </w:p>
          <w:p w14:paraId="1DE83AB8" w14:textId="77777777" w:rsidR="002108F5" w:rsidRDefault="00DF6AA4">
            <w:pPr>
              <w:ind w:leftChars="99" w:left="639" w:hangingChars="167" w:hanging="401"/>
            </w:pPr>
            <w:r>
              <w:t>(</w:t>
            </w:r>
            <w:r>
              <w:t>一</w:t>
            </w:r>
            <w:r>
              <w:t>)</w:t>
            </w:r>
            <w:r>
              <w:t>公司內部稽核人員及風險管理人員兼任國外證券關係企業同性質職務時，是否定期</w:t>
            </w:r>
            <w:r>
              <w:t>(</w:t>
            </w:r>
            <w:r>
              <w:t>每年至少一次</w:t>
            </w:r>
            <w:r>
              <w:t>)</w:t>
            </w:r>
            <w:r>
              <w:t>對該等公司執行稽核及風險管理作業。</w:t>
            </w:r>
          </w:p>
          <w:p w14:paraId="71216787" w14:textId="77777777" w:rsidR="002108F5" w:rsidRDefault="00DF6AA4">
            <w:pPr>
              <w:ind w:leftChars="99" w:left="639" w:hangingChars="167" w:hanging="401"/>
            </w:pPr>
            <w:r>
              <w:t>(</w:t>
            </w:r>
            <w:r>
              <w:t>二</w:t>
            </w:r>
            <w:r>
              <w:t>)</w:t>
            </w:r>
            <w:r>
              <w:t>除其他法令另有規定外，公司下列人員是否未辦理登記範圍以外之業務或由其他人員兼辦。</w:t>
            </w:r>
          </w:p>
          <w:p w14:paraId="298D9936" w14:textId="77777777" w:rsidR="002108F5" w:rsidRDefault="00DF6AA4">
            <w:pPr>
              <w:ind w:leftChars="280" w:left="948" w:hangingChars="115" w:hanging="276"/>
            </w:pPr>
            <w:r>
              <w:t>1.</w:t>
            </w:r>
            <w:r>
              <w:t>辦理有價證券自行買賣業務之人員。</w:t>
            </w:r>
          </w:p>
          <w:p w14:paraId="383B6723" w14:textId="77777777" w:rsidR="002108F5" w:rsidRDefault="00DF6AA4">
            <w:pPr>
              <w:ind w:leftChars="280" w:left="948" w:hangingChars="115" w:hanging="276"/>
            </w:pPr>
            <w:r>
              <w:t>2.</w:t>
            </w:r>
            <w:r>
              <w:t>內部稽核人員。</w:t>
            </w:r>
          </w:p>
          <w:p w14:paraId="59F07E3C" w14:textId="77777777" w:rsidR="002108F5" w:rsidRDefault="00DF6AA4">
            <w:pPr>
              <w:ind w:leftChars="280" w:left="948" w:hangingChars="115" w:hanging="276"/>
            </w:pPr>
            <w:r>
              <w:t>3.</w:t>
            </w:r>
            <w:r>
              <w:t>風險管理人員。</w:t>
            </w:r>
          </w:p>
          <w:p w14:paraId="7A279970" w14:textId="77777777" w:rsidR="002108F5" w:rsidRDefault="00DF6AA4">
            <w:pPr>
              <w:ind w:leftChars="280" w:left="948" w:hangingChars="115" w:hanging="276"/>
            </w:pPr>
            <w:r>
              <w:t>4.</w:t>
            </w:r>
            <w:r>
              <w:t>辦理受託管理私募股權基金業務之人員。</w:t>
            </w:r>
          </w:p>
          <w:p w14:paraId="5C364F21" w14:textId="77777777" w:rsidR="002108F5" w:rsidRDefault="00DF6AA4">
            <w:pPr>
              <w:ind w:leftChars="99" w:left="639" w:hangingChars="167" w:hanging="401"/>
            </w:pPr>
            <w:r>
              <w:t>(</w:t>
            </w:r>
            <w:r>
              <w:t>三</w:t>
            </w:r>
            <w:r>
              <w:t>)</w:t>
            </w:r>
            <w:r>
              <w:t>公司辦理受託買賣有價證券業務之人員，及負責資產配置或財務規劃等顧問諮詢或金融商品銷售服務之人員，是否未兼辦有價證券開戶、結算交割、款券收付、保管、融資融券、承銷、主辦會計、代辦股務等職務。</w:t>
            </w:r>
          </w:p>
          <w:p w14:paraId="2A867F21" w14:textId="77777777" w:rsidR="002108F5" w:rsidRDefault="00DF6AA4">
            <w:pPr>
              <w:ind w:leftChars="99" w:left="639" w:hangingChars="167" w:hanging="401"/>
            </w:pPr>
            <w:r>
              <w:t>(</w:t>
            </w:r>
            <w:r>
              <w:t>四</w:t>
            </w:r>
            <w:r>
              <w:t>)</w:t>
            </w:r>
            <w:r>
              <w:t>公司是否明訂業務人員得兼任及兼辦職務之業務範圍、兼任及兼辦職務制度之管理程序，並規範兼任及兼辦職務行為不得涉有利益衝突、造成客戶混淆或損及客戶權益情事。</w:t>
            </w:r>
          </w:p>
          <w:p w14:paraId="04C7DC2D" w14:textId="77777777" w:rsidR="002108F5" w:rsidRDefault="00DF6AA4">
            <w:pPr>
              <w:ind w:leftChars="99" w:left="639" w:hangingChars="167" w:hanging="401"/>
            </w:pPr>
            <w:r>
              <w:t>(</w:t>
            </w:r>
            <w:r>
              <w:t>五</w:t>
            </w:r>
            <w:r>
              <w:t>)</w:t>
            </w:r>
            <w:r>
              <w:t>公司是否評估業務人員兼任與兼辦職務行為，不得影響現行業務之執行，是否提報人員兼任與兼辦職務之時間分配解決方案。公司是否留存評估及審核紀錄。</w:t>
            </w:r>
          </w:p>
          <w:p w14:paraId="02564CE5" w14:textId="77777777" w:rsidR="002108F5" w:rsidRDefault="00DF6AA4">
            <w:pPr>
              <w:ind w:leftChars="99" w:left="639" w:hangingChars="167" w:hanging="401"/>
            </w:pPr>
            <w:r>
              <w:t>(</w:t>
            </w:r>
            <w:r>
              <w:t>六</w:t>
            </w:r>
            <w:r>
              <w:t>)</w:t>
            </w:r>
            <w:r>
              <w:t>公司是否建立投資決策與業務訊息區隔等利益衝突防範措施與利益衝突迴避相關作</w:t>
            </w:r>
            <w:r>
              <w:lastRenderedPageBreak/>
              <w:t>法，並經董事會通過。</w:t>
            </w:r>
          </w:p>
          <w:p w14:paraId="43D0968D" w14:textId="77777777" w:rsidR="002108F5" w:rsidRDefault="00DF6AA4">
            <w:pPr>
              <w:ind w:leftChars="99" w:left="639" w:hangingChars="167" w:hanging="401"/>
            </w:pPr>
            <w:r>
              <w:t>(</w:t>
            </w:r>
            <w:r>
              <w:t>七</w:t>
            </w:r>
            <w:r>
              <w:t>)</w:t>
            </w:r>
            <w:r>
              <w:t>業務人員從事公司本身以外任何僱傭工作，是否事先書面通知公司。</w:t>
            </w:r>
          </w:p>
          <w:p w14:paraId="342C8341" w14:textId="77777777" w:rsidR="002108F5" w:rsidRDefault="00DF6AA4">
            <w:pPr>
              <w:ind w:leftChars="99" w:left="639" w:hangingChars="167" w:hanging="401"/>
            </w:pPr>
            <w:r>
              <w:t>(</w:t>
            </w:r>
            <w:r>
              <w:t>八</w:t>
            </w:r>
            <w:r>
              <w:t>)</w:t>
            </w:r>
            <w:r>
              <w:t>公司收到業務人員從事公司本身以外任何僱傭工作之書面通知時，是否評估及審核該兼任行為是否符合證券商負責人與業務人員管理規則第四條第九項規定，並留存紀錄。</w:t>
            </w:r>
          </w:p>
          <w:p w14:paraId="2AB431E7" w14:textId="77777777" w:rsidR="002108F5" w:rsidRDefault="00DF6AA4">
            <w:pPr>
              <w:ind w:leftChars="99" w:left="639" w:hangingChars="167" w:hanging="401"/>
            </w:pPr>
            <w:r>
              <w:t>(</w:t>
            </w:r>
            <w:r>
              <w:t>九</w:t>
            </w:r>
            <w:r>
              <w:t>)</w:t>
            </w:r>
            <w:r>
              <w:t>公司業務人員兼任國外公司職務時，是否符合當地主管機關規範，公司是否定期</w:t>
            </w:r>
            <w:r>
              <w:t>(</w:t>
            </w:r>
            <w:r>
              <w:t>每年至少一次</w:t>
            </w:r>
            <w:r>
              <w:t>)</w:t>
            </w:r>
            <w:r>
              <w:t>查核以確保該業務人員之一切活動（包括海外行為）符合我國及海外當地國之法律規定。</w:t>
            </w:r>
          </w:p>
          <w:p w14:paraId="5DEB23DD" w14:textId="77777777" w:rsidR="002108F5" w:rsidRDefault="00DF6AA4">
            <w:pPr>
              <w:ind w:left="449" w:hangingChars="187" w:hanging="449"/>
            </w:pPr>
            <w:r>
              <w:t>四、公司辦理有價證券買賣融資融券，是否指派經主管機關認可機構訓練及測驗合格之業務人員承辦業務。</w:t>
            </w:r>
          </w:p>
          <w:p w14:paraId="20CBB0ED" w14:textId="77777777" w:rsidR="002108F5" w:rsidRDefault="00DF6AA4">
            <w:pPr>
              <w:ind w:left="449" w:hangingChars="187" w:hanging="449"/>
            </w:pPr>
            <w:r>
              <w:t>五、公司下列人員是否具備高級業務員之資格：</w:t>
            </w:r>
          </w:p>
          <w:p w14:paraId="414F2D31" w14:textId="77777777" w:rsidR="002108F5" w:rsidRDefault="00DF6AA4">
            <w:pPr>
              <w:ind w:leftChars="99" w:left="639" w:hangingChars="167" w:hanging="401"/>
            </w:pPr>
            <w:r>
              <w:t>(</w:t>
            </w:r>
            <w:r>
              <w:t>一</w:t>
            </w:r>
            <w:r>
              <w:t>)</w:t>
            </w:r>
            <w:r>
              <w:t>從事「證券商負責人與業務人員管理規則」第八條第一項規定之部門主管</w:t>
            </w:r>
            <w:r>
              <w:t>(</w:t>
            </w:r>
            <w:r>
              <w:t>外國證券商在中華民國境內分支機構之財務及股務部門主管除外</w:t>
            </w:r>
            <w:r>
              <w:t>)</w:t>
            </w:r>
            <w:r>
              <w:t>。</w:t>
            </w:r>
          </w:p>
          <w:p w14:paraId="15859A61" w14:textId="77777777" w:rsidR="002108F5" w:rsidRDefault="00DF6AA4">
            <w:pPr>
              <w:ind w:leftChars="99" w:left="639" w:hangingChars="167" w:hanging="401"/>
            </w:pPr>
            <w:r>
              <w:t>(</w:t>
            </w:r>
            <w:r>
              <w:t>二</w:t>
            </w:r>
            <w:r>
              <w:t>)</w:t>
            </w:r>
            <w:r>
              <w:t>投資分析人員或向客戶推介買賣有價證券之研究報告撰寫或複核者。</w:t>
            </w:r>
          </w:p>
          <w:p w14:paraId="41802C17" w14:textId="77777777" w:rsidR="002108F5" w:rsidRDefault="00DF6AA4">
            <w:pPr>
              <w:ind w:leftChars="99" w:left="639" w:hangingChars="167" w:hanging="401"/>
            </w:pPr>
            <w:r>
              <w:t>(</w:t>
            </w:r>
            <w:r>
              <w:t>三</w:t>
            </w:r>
            <w:r>
              <w:t>)</w:t>
            </w:r>
            <w:r>
              <w:t>內部稽核人員</w:t>
            </w:r>
            <w:r>
              <w:t xml:space="preserve"> (</w:t>
            </w:r>
            <w:r>
              <w:t>具有業務員資格並經參加主管機關所認可機構舉辦之內部稽核人員訓練及格結業擔任總公司非稽核主管職務</w:t>
            </w:r>
            <w:r>
              <w:rPr>
                <w:color w:val="FF0000"/>
                <w:u w:val="single"/>
              </w:rPr>
              <w:t>、分支機構</w:t>
            </w:r>
            <w:r>
              <w:t>或</w:t>
            </w:r>
            <w:r>
              <w:rPr>
                <w:color w:val="FF0000"/>
                <w:u w:val="single"/>
              </w:rPr>
              <w:t>簡易</w:t>
            </w:r>
            <w:r>
              <w:t>分</w:t>
            </w:r>
            <w:r>
              <w:rPr>
                <w:strike/>
                <w:color w:val="FF0000"/>
              </w:rPr>
              <w:t>公司</w:t>
            </w:r>
            <w:r w:rsidRPr="00DF6AA4">
              <w:rPr>
                <w:color w:val="FF0000"/>
                <w:u w:val="single"/>
              </w:rPr>
              <w:t>支機構</w:t>
            </w:r>
            <w:r>
              <w:t>稽核工作者除外</w:t>
            </w:r>
            <w:r>
              <w:t>)</w:t>
            </w:r>
          </w:p>
          <w:p w14:paraId="6D2858AD" w14:textId="77777777" w:rsidR="002108F5" w:rsidRDefault="00DF6AA4">
            <w:pPr>
              <w:ind w:leftChars="99" w:left="639" w:hangingChars="167" w:hanging="401"/>
            </w:pPr>
            <w:r>
              <w:t>(</w:t>
            </w:r>
            <w:r>
              <w:t>四</w:t>
            </w:r>
            <w:r>
              <w:t>)</w:t>
            </w:r>
            <w:r>
              <w:t>分支機構</w:t>
            </w:r>
            <w:r>
              <w:rPr>
                <w:color w:val="FF0000"/>
                <w:u w:val="single"/>
              </w:rPr>
              <w:t>及簡易分支機構</w:t>
            </w:r>
            <w:r>
              <w:t>負責人</w:t>
            </w:r>
            <w:r>
              <w:t>(</w:t>
            </w:r>
            <w:r>
              <w:t>外國證券商在中華民國境內分支機構之負責人除外</w:t>
            </w:r>
            <w:r>
              <w:t>)</w:t>
            </w:r>
            <w:r>
              <w:t>。</w:t>
            </w:r>
          </w:p>
          <w:p w14:paraId="3FDEDB62" w14:textId="77777777" w:rsidR="002108F5" w:rsidRDefault="00DF6AA4">
            <w:pPr>
              <w:ind w:left="449" w:hangingChars="187" w:hanging="449"/>
            </w:pPr>
            <w:r>
              <w:t>六、登記為事務員者是否未執行或兼為高級業務員及業務員之業務；登記為業務員者是否未執行或兼為高級業務員之業務。</w:t>
            </w:r>
          </w:p>
          <w:p w14:paraId="6393263A" w14:textId="77777777" w:rsidR="002108F5" w:rsidRDefault="00DF6AA4">
            <w:pPr>
              <w:ind w:left="449" w:hangingChars="187" w:hanging="449"/>
            </w:pPr>
            <w:r>
              <w:t>七、負責人、業務人員及事務員有異動時，是否於異動後五日內向證交所、券商公會或櫃檯買賣中心申報登記。惟如係國外分支機構，其申報登記是否於異動後十日內為之。</w:t>
            </w:r>
          </w:p>
        </w:tc>
        <w:tc>
          <w:tcPr>
            <w:tcW w:w="851" w:type="dxa"/>
          </w:tcPr>
          <w:p w14:paraId="1F2E60EE"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5149467A"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0321A31F"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3C7B85D9" w14:textId="77777777" w:rsidR="00A1667A" w:rsidRPr="00367148" w:rsidRDefault="00A1667A" w:rsidP="00647C22">
            <w:pPr>
              <w:spacing w:line="260" w:lineRule="exact"/>
              <w:rPr>
                <w:rFonts w:ascii="新細明體" w:hAnsi="新細明體"/>
                <w:color w:val="000000" w:themeColor="text1"/>
              </w:rPr>
            </w:pPr>
          </w:p>
        </w:tc>
      </w:tr>
      <w:tr w:rsidR="00367148" w:rsidRPr="00367148" w14:paraId="31C2CFD3" w14:textId="77777777" w:rsidTr="00455A5F">
        <w:trPr>
          <w:cantSplit/>
        </w:trPr>
        <w:tc>
          <w:tcPr>
            <w:tcW w:w="15054" w:type="dxa"/>
            <w:gridSpan w:val="6"/>
            <w:tcBorders>
              <w:left w:val="single" w:sz="12" w:space="0" w:color="auto"/>
              <w:bottom w:val="single" w:sz="12" w:space="0" w:color="auto"/>
              <w:right w:val="single" w:sz="12" w:space="0" w:color="auto"/>
            </w:tcBorders>
          </w:tcPr>
          <w:p w14:paraId="1EAB6EB5"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19ABA2BA"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7557A" w14:textId="77777777" w:rsidR="00125530" w:rsidRDefault="00125530" w:rsidP="00D253DA">
      <w:r>
        <w:separator/>
      </w:r>
    </w:p>
  </w:endnote>
  <w:endnote w:type="continuationSeparator" w:id="0">
    <w:p w14:paraId="2A0CE852"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DD399" w14:textId="77777777" w:rsidR="00125530" w:rsidRDefault="00125530" w:rsidP="00D253DA">
      <w:r>
        <w:separator/>
      </w:r>
    </w:p>
  </w:footnote>
  <w:footnote w:type="continuationSeparator" w:id="0">
    <w:p w14:paraId="1EB89465"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108F5"/>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DF6AA4"/>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C711E"/>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54304"/>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26</cp:revision>
  <cp:lastPrinted>2018-07-17T03:11:00Z</cp:lastPrinted>
  <dcterms:created xsi:type="dcterms:W3CDTF">2025-05-04T09:28:00Z</dcterms:created>
  <dcterms:modified xsi:type="dcterms:W3CDTF">2026-03-27T01:17:00Z</dcterms:modified>
</cp:coreProperties>
</file>