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18C54EDA"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AR-13000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借款作業之稽核</w:t>
            </w:r>
          </w:p>
          <w:p w14:paraId="191C19BB"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6613CD6F"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配合內部控制制度CR-13000修正。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(一)借款前是否經權責單位核准。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(一)借款前是否經權責單位核准。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F6BE91" w14:textId="77777777">
        <w:tc>
          <w:tcPr>
            <w:tcW w:w="1384" w:type="dxa"/>
            <w:vMerge/>
            <w:tcBorders>
              <w:left w:val="single" w:sz="12" w:space="0" w:color="auto"/>
            </w:tcBorders>
          </w:tcPr>
          <w:p w14:paraId="20BD0580" w14:textId="77777777" w:rsidR="003B3105" w:rsidRDefault="003B3105" w:rsidP="001E533B">
            <w:pPr>
              <w:rPr>
                <w:rFonts w:ascii="新細明體" w:eastAsia="新細明體" w:hAnsi="新細明體"/>
              </w:rPr>
            </w:pPr>
          </w:p>
        </w:tc>
        <w:tc>
          <w:tcPr>
            <w:tcW w:w="1276" w:type="dxa"/>
            <w:vMerge/>
          </w:tcPr>
          <w:p w14:paraId="0E88C1BD" w14:textId="77777777" w:rsidR="003B3105" w:rsidRDefault="003B3105" w:rsidP="001E533B">
            <w:pPr>
              <w:rPr>
                <w:rFonts w:ascii="新細明體" w:eastAsia="新細明體" w:hAnsi="新細明體"/>
              </w:rPr>
            </w:pPr>
          </w:p>
        </w:tc>
        <w:tc>
          <w:tcPr>
            <w:tcW w:w="5386" w:type="dxa"/>
            <w:tcBorders>
              <w:top w:val="nil"/>
              <w:bottom w:val="nil"/>
            </w:tcBorders>
          </w:tcPr>
          <w:p w14:paraId="2F7D39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(二)借款如係指定用途者，是否依計劃或約定行事，未移作他用。</w:t>
            </w:r>
          </w:p>
        </w:tc>
        <w:tc>
          <w:tcPr>
            <w:tcW w:w="5387" w:type="dxa"/>
            <w:tcBorders>
              <w:top w:val="nil"/>
              <w:bottom w:val="nil"/>
            </w:tcBorders>
          </w:tcPr>
          <w:p w14:paraId="7201219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(二)借款如係指定用途者，是否依計劃或約定行事，未移作他用。</w:t>
            </w:r>
          </w:p>
        </w:tc>
        <w:tc>
          <w:tcPr>
            <w:tcW w:w="2023" w:type="dxa"/>
            <w:vMerge/>
            <w:tcBorders>
              <w:right w:val="single" w:sz="12" w:space="0" w:color="auto"/>
            </w:tcBorders>
          </w:tcPr>
          <w:p w14:paraId="3073C2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125C10" w14:textId="77777777">
        <w:tc>
          <w:tcPr>
            <w:tcW w:w="1384" w:type="dxa"/>
            <w:vMerge/>
            <w:tcBorders>
              <w:left w:val="single" w:sz="12" w:space="0" w:color="auto"/>
            </w:tcBorders>
          </w:tcPr>
          <w:p w14:paraId="0BF99AE5" w14:textId="77777777" w:rsidR="003B3105" w:rsidRDefault="003B3105" w:rsidP="001E533B">
            <w:pPr>
              <w:rPr>
                <w:rFonts w:ascii="新細明體" w:eastAsia="新細明體" w:hAnsi="新細明體"/>
              </w:rPr>
            </w:pPr>
          </w:p>
        </w:tc>
        <w:tc>
          <w:tcPr>
            <w:tcW w:w="1276" w:type="dxa"/>
            <w:vMerge/>
          </w:tcPr>
          <w:p w14:paraId="01B7EAFC" w14:textId="77777777" w:rsidR="003B3105" w:rsidRDefault="003B3105" w:rsidP="001E533B">
            <w:pPr>
              <w:rPr>
                <w:rFonts w:ascii="新細明體" w:eastAsia="新細明體" w:hAnsi="新細明體"/>
              </w:rPr>
            </w:pPr>
          </w:p>
        </w:tc>
        <w:tc>
          <w:tcPr>
            <w:tcW w:w="5386" w:type="dxa"/>
            <w:tcBorders>
              <w:top w:val="nil"/>
              <w:bottom w:val="nil"/>
            </w:tcBorders>
          </w:tcPr>
          <w:p w14:paraId="07BE63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5387" w:type="dxa"/>
            <w:tcBorders>
              <w:top w:val="nil"/>
              <w:bottom w:val="nil"/>
            </w:tcBorders>
          </w:tcPr>
          <w:p w14:paraId="2E0DF13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2023" w:type="dxa"/>
            <w:vMerge/>
            <w:tcBorders>
              <w:right w:val="single" w:sz="12" w:space="0" w:color="auto"/>
            </w:tcBorders>
          </w:tcPr>
          <w:p w14:paraId="67EADC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06820C" w14:textId="77777777">
        <w:tc>
          <w:tcPr>
            <w:tcW w:w="1384" w:type="dxa"/>
            <w:vMerge/>
            <w:tcBorders>
              <w:left w:val="single" w:sz="12" w:space="0" w:color="auto"/>
            </w:tcBorders>
          </w:tcPr>
          <w:p w14:paraId="3362AB21" w14:textId="77777777" w:rsidR="003B3105" w:rsidRDefault="003B3105" w:rsidP="001E533B">
            <w:pPr>
              <w:rPr>
                <w:rFonts w:ascii="新細明體" w:eastAsia="新細明體" w:hAnsi="新細明體"/>
              </w:rPr>
            </w:pPr>
          </w:p>
        </w:tc>
        <w:tc>
          <w:tcPr>
            <w:tcW w:w="1276" w:type="dxa"/>
            <w:vMerge/>
          </w:tcPr>
          <w:p w14:paraId="6B4BD83E" w14:textId="77777777" w:rsidR="003B3105" w:rsidRDefault="003B3105" w:rsidP="001E533B">
            <w:pPr>
              <w:rPr>
                <w:rFonts w:ascii="新細明體" w:eastAsia="新細明體" w:hAnsi="新細明體"/>
              </w:rPr>
            </w:pPr>
          </w:p>
        </w:tc>
        <w:tc>
          <w:tcPr>
            <w:tcW w:w="5386" w:type="dxa"/>
            <w:tcBorders>
              <w:top w:val="nil"/>
              <w:bottom w:val="nil"/>
            </w:tcBorders>
          </w:tcPr>
          <w:p w14:paraId="57B3B8C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(四)融資所取得之擔保品收據或產權提供文件及登記是否確實保管、控制。</w:t>
            </w:r>
          </w:p>
        </w:tc>
        <w:tc>
          <w:tcPr>
            <w:tcW w:w="5387" w:type="dxa"/>
            <w:tcBorders>
              <w:top w:val="nil"/>
              <w:bottom w:val="nil"/>
            </w:tcBorders>
          </w:tcPr>
          <w:p w14:paraId="24C3DC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(四)融資所取得之擔保品收據或產權提供文件及登記是否確實保管、控制。</w:t>
            </w:r>
          </w:p>
        </w:tc>
        <w:tc>
          <w:tcPr>
            <w:tcW w:w="2023" w:type="dxa"/>
            <w:vMerge/>
            <w:tcBorders>
              <w:right w:val="single" w:sz="12" w:space="0" w:color="auto"/>
            </w:tcBorders>
          </w:tcPr>
          <w:p w14:paraId="08F27F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8969DD" w14:textId="77777777">
        <w:tc>
          <w:tcPr>
            <w:tcW w:w="1384" w:type="dxa"/>
            <w:vMerge/>
            <w:tcBorders>
              <w:left w:val="single" w:sz="12" w:space="0" w:color="auto"/>
            </w:tcBorders>
          </w:tcPr>
          <w:p w14:paraId="46B7DAE1" w14:textId="77777777" w:rsidR="003B3105" w:rsidRDefault="003B3105" w:rsidP="001E533B">
            <w:pPr>
              <w:rPr>
                <w:rFonts w:ascii="新細明體" w:eastAsia="新細明體" w:hAnsi="新細明體"/>
              </w:rPr>
            </w:pPr>
          </w:p>
        </w:tc>
        <w:tc>
          <w:tcPr>
            <w:tcW w:w="1276" w:type="dxa"/>
            <w:vMerge/>
          </w:tcPr>
          <w:p w14:paraId="1654BF62" w14:textId="77777777" w:rsidR="003B3105" w:rsidRDefault="003B3105" w:rsidP="001E533B">
            <w:pPr>
              <w:rPr>
                <w:rFonts w:ascii="新細明體" w:eastAsia="新細明體" w:hAnsi="新細明體"/>
              </w:rPr>
            </w:pPr>
          </w:p>
        </w:tc>
        <w:tc>
          <w:tcPr>
            <w:tcW w:w="5386" w:type="dxa"/>
            <w:tcBorders>
              <w:top w:val="nil"/>
              <w:bottom w:val="nil"/>
            </w:tcBorders>
          </w:tcPr>
          <w:p w14:paraId="4C3EDDA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(五)借款償還時，如短期不再使用，是否立即收回質押品或辦理塗銷登記。</w:t>
            </w:r>
          </w:p>
        </w:tc>
        <w:tc>
          <w:tcPr>
            <w:tcW w:w="5387" w:type="dxa"/>
            <w:tcBorders>
              <w:top w:val="nil"/>
              <w:bottom w:val="nil"/>
            </w:tcBorders>
          </w:tcPr>
          <w:p w14:paraId="22CB363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(五)借款償還時，如短期不再使用，是否立即收回質押品或辦理塗銷登記。</w:t>
            </w:r>
          </w:p>
        </w:tc>
        <w:tc>
          <w:tcPr>
            <w:tcW w:w="2023" w:type="dxa"/>
            <w:vMerge/>
            <w:tcBorders>
              <w:right w:val="single" w:sz="12" w:space="0" w:color="auto"/>
            </w:tcBorders>
          </w:tcPr>
          <w:p w14:paraId="68EB22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FDD666" w14:textId="77777777">
        <w:tc>
          <w:tcPr>
            <w:tcW w:w="1384" w:type="dxa"/>
            <w:vMerge/>
            <w:tcBorders>
              <w:left w:val="single" w:sz="12" w:space="0" w:color="auto"/>
            </w:tcBorders>
          </w:tcPr>
          <w:p w14:paraId="75AF1242" w14:textId="77777777" w:rsidR="003B3105" w:rsidRDefault="003B3105" w:rsidP="001E533B">
            <w:pPr>
              <w:rPr>
                <w:rFonts w:ascii="新細明體" w:eastAsia="新細明體" w:hAnsi="新細明體"/>
              </w:rPr>
            </w:pPr>
          </w:p>
        </w:tc>
        <w:tc>
          <w:tcPr>
            <w:tcW w:w="1276" w:type="dxa"/>
            <w:vMerge/>
          </w:tcPr>
          <w:p w14:paraId="585C590C" w14:textId="77777777" w:rsidR="003B3105" w:rsidRDefault="003B3105" w:rsidP="001E533B">
            <w:pPr>
              <w:rPr>
                <w:rFonts w:ascii="新細明體" w:eastAsia="新細明體" w:hAnsi="新細明體"/>
              </w:rPr>
            </w:pPr>
          </w:p>
        </w:tc>
        <w:tc>
          <w:tcPr>
            <w:tcW w:w="5386" w:type="dxa"/>
            <w:tcBorders>
              <w:top w:val="nil"/>
              <w:bottom w:val="nil"/>
            </w:tcBorders>
          </w:tcPr>
          <w:p w14:paraId="69D110E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(六)取得借款當天是否編製傳票，並經權責主管審核後登帳。</w:t>
            </w:r>
          </w:p>
        </w:tc>
        <w:tc>
          <w:tcPr>
            <w:tcW w:w="5387" w:type="dxa"/>
            <w:tcBorders>
              <w:top w:val="nil"/>
              <w:bottom w:val="nil"/>
            </w:tcBorders>
          </w:tcPr>
          <w:p w14:paraId="14833FB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(六)取得借款當天是否編製傳票，並經權責主管審核後登帳。</w:t>
            </w:r>
          </w:p>
        </w:tc>
        <w:tc>
          <w:tcPr>
            <w:tcW w:w="2023" w:type="dxa"/>
            <w:vMerge/>
            <w:tcBorders>
              <w:right w:val="single" w:sz="12" w:space="0" w:color="auto"/>
            </w:tcBorders>
          </w:tcPr>
          <w:p w14:paraId="0A2F63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045057" w14:textId="77777777">
        <w:tc>
          <w:tcPr>
            <w:tcW w:w="1384" w:type="dxa"/>
            <w:vMerge/>
            <w:tcBorders>
              <w:left w:val="single" w:sz="12" w:space="0" w:color="auto"/>
            </w:tcBorders>
          </w:tcPr>
          <w:p w14:paraId="6316E157" w14:textId="77777777" w:rsidR="003B3105" w:rsidRDefault="003B3105" w:rsidP="001E533B">
            <w:pPr>
              <w:rPr>
                <w:rFonts w:ascii="新細明體" w:eastAsia="新細明體" w:hAnsi="新細明體"/>
              </w:rPr>
            </w:pPr>
          </w:p>
        </w:tc>
        <w:tc>
          <w:tcPr>
            <w:tcW w:w="1276" w:type="dxa"/>
            <w:vMerge/>
          </w:tcPr>
          <w:p w14:paraId="7FCFC215" w14:textId="77777777" w:rsidR="003B3105" w:rsidRDefault="003B3105" w:rsidP="001E533B">
            <w:pPr>
              <w:rPr>
                <w:rFonts w:ascii="新細明體" w:eastAsia="新細明體" w:hAnsi="新細明體"/>
              </w:rPr>
            </w:pPr>
          </w:p>
        </w:tc>
        <w:tc>
          <w:tcPr>
            <w:tcW w:w="5386" w:type="dxa"/>
            <w:tcBorders>
              <w:top w:val="nil"/>
              <w:bottom w:val="nil"/>
            </w:tcBorders>
          </w:tcPr>
          <w:p w14:paraId="6055AD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(七)取得之借款是否當天即存入指定之公司銀行帳戶。</w:t>
            </w:r>
          </w:p>
        </w:tc>
        <w:tc>
          <w:tcPr>
            <w:tcW w:w="5387" w:type="dxa"/>
            <w:tcBorders>
              <w:top w:val="nil"/>
              <w:bottom w:val="nil"/>
            </w:tcBorders>
          </w:tcPr>
          <w:p w14:paraId="51DB695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(七)取得之借款是否當天即存入指定之公司銀行帳戶。</w:t>
            </w:r>
          </w:p>
        </w:tc>
        <w:tc>
          <w:tcPr>
            <w:tcW w:w="2023" w:type="dxa"/>
            <w:vMerge/>
            <w:tcBorders>
              <w:right w:val="single" w:sz="12" w:space="0" w:color="auto"/>
            </w:tcBorders>
          </w:tcPr>
          <w:p w14:paraId="6965F8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C124EE" w14:textId="77777777">
        <w:tc>
          <w:tcPr>
            <w:tcW w:w="1384" w:type="dxa"/>
            <w:vMerge/>
            <w:tcBorders>
              <w:left w:val="single" w:sz="12" w:space="0" w:color="auto"/>
            </w:tcBorders>
          </w:tcPr>
          <w:p w14:paraId="288ADFBD" w14:textId="77777777" w:rsidR="003B3105" w:rsidRDefault="003B3105" w:rsidP="001E533B">
            <w:pPr>
              <w:rPr>
                <w:rFonts w:ascii="新細明體" w:eastAsia="新細明體" w:hAnsi="新細明體"/>
              </w:rPr>
            </w:pPr>
          </w:p>
        </w:tc>
        <w:tc>
          <w:tcPr>
            <w:tcW w:w="1276" w:type="dxa"/>
            <w:vMerge/>
          </w:tcPr>
          <w:p w14:paraId="72B63019" w14:textId="77777777" w:rsidR="003B3105" w:rsidRDefault="003B3105" w:rsidP="001E533B">
            <w:pPr>
              <w:rPr>
                <w:rFonts w:ascii="新細明體" w:eastAsia="新細明體" w:hAnsi="新細明體"/>
              </w:rPr>
            </w:pPr>
          </w:p>
        </w:tc>
        <w:tc>
          <w:tcPr>
            <w:tcW w:w="5386" w:type="dxa"/>
            <w:tcBorders>
              <w:top w:val="nil"/>
              <w:bottom w:val="nil"/>
            </w:tcBorders>
          </w:tcPr>
          <w:p w14:paraId="5260122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(八)借款之償還及利息支付等手續是否經適當核准及登帳。</w:t>
            </w:r>
          </w:p>
        </w:tc>
        <w:tc>
          <w:tcPr>
            <w:tcW w:w="5387" w:type="dxa"/>
            <w:tcBorders>
              <w:top w:val="nil"/>
              <w:bottom w:val="nil"/>
            </w:tcBorders>
          </w:tcPr>
          <w:p w14:paraId="4AA4A7A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(八)借款之償還及利息支付等手續是否經適當核准及登帳。</w:t>
            </w:r>
          </w:p>
        </w:tc>
        <w:tc>
          <w:tcPr>
            <w:tcW w:w="2023" w:type="dxa"/>
            <w:vMerge/>
            <w:tcBorders>
              <w:right w:val="single" w:sz="12" w:space="0" w:color="auto"/>
            </w:tcBorders>
          </w:tcPr>
          <w:p w14:paraId="29C06A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5A9413" w14:textId="77777777">
        <w:tc>
          <w:tcPr>
            <w:tcW w:w="1384" w:type="dxa"/>
            <w:vMerge/>
            <w:tcBorders>
              <w:left w:val="single" w:sz="12" w:space="0" w:color="auto"/>
            </w:tcBorders>
          </w:tcPr>
          <w:p w14:paraId="6DB2A629" w14:textId="77777777" w:rsidR="003B3105" w:rsidRDefault="003B3105" w:rsidP="001E533B">
            <w:pPr>
              <w:rPr>
                <w:rFonts w:ascii="新細明體" w:eastAsia="新細明體" w:hAnsi="新細明體"/>
              </w:rPr>
            </w:pPr>
          </w:p>
        </w:tc>
        <w:tc>
          <w:tcPr>
            <w:tcW w:w="1276" w:type="dxa"/>
            <w:vMerge/>
          </w:tcPr>
          <w:p w14:paraId="799D5BB7" w14:textId="77777777" w:rsidR="003B3105" w:rsidRDefault="003B3105" w:rsidP="001E533B">
            <w:pPr>
              <w:rPr>
                <w:rFonts w:ascii="新細明體" w:eastAsia="新細明體" w:hAnsi="新細明體"/>
              </w:rPr>
            </w:pPr>
          </w:p>
        </w:tc>
        <w:tc>
          <w:tcPr>
            <w:tcW w:w="5386" w:type="dxa"/>
            <w:tcBorders>
              <w:top w:val="nil"/>
              <w:bottom w:val="nil"/>
            </w:tcBorders>
          </w:tcPr>
          <w:p w14:paraId="24D4802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(九)中長期借款如有一年內須用流動資產或舉借流動負債償還者，是否轉列流動負債。</w:t>
            </w:r>
          </w:p>
        </w:tc>
        <w:tc>
          <w:tcPr>
            <w:tcW w:w="5387" w:type="dxa"/>
            <w:tcBorders>
              <w:top w:val="nil"/>
              <w:bottom w:val="nil"/>
            </w:tcBorders>
          </w:tcPr>
          <w:p w14:paraId="074632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(九)中長期借款如有一年內須用流動資產或舉借流動負債償還者，是否轉列流動負債。</w:t>
            </w:r>
          </w:p>
        </w:tc>
        <w:tc>
          <w:tcPr>
            <w:tcW w:w="2023" w:type="dxa"/>
            <w:vMerge/>
            <w:tcBorders>
              <w:right w:val="single" w:sz="12" w:space="0" w:color="auto"/>
            </w:tcBorders>
          </w:tcPr>
          <w:p w14:paraId="2B0E8D9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872D8A" w14:textId="77777777">
        <w:tc>
          <w:tcPr>
            <w:tcW w:w="1384" w:type="dxa"/>
            <w:vMerge/>
            <w:tcBorders>
              <w:left w:val="single" w:sz="12" w:space="0" w:color="auto"/>
            </w:tcBorders>
          </w:tcPr>
          <w:p w14:paraId="75EF7BE9" w14:textId="77777777" w:rsidR="003B3105" w:rsidRDefault="003B3105" w:rsidP="001E533B">
            <w:pPr>
              <w:rPr>
                <w:rFonts w:ascii="新細明體" w:eastAsia="新細明體" w:hAnsi="新細明體"/>
              </w:rPr>
            </w:pPr>
          </w:p>
        </w:tc>
        <w:tc>
          <w:tcPr>
            <w:tcW w:w="1276" w:type="dxa"/>
            <w:vMerge/>
          </w:tcPr>
          <w:p w14:paraId="7F717FC5" w14:textId="77777777" w:rsidR="003B3105" w:rsidRDefault="003B3105" w:rsidP="001E533B">
            <w:pPr>
              <w:rPr>
                <w:rFonts w:ascii="新細明體" w:eastAsia="新細明體" w:hAnsi="新細明體"/>
              </w:rPr>
            </w:pPr>
          </w:p>
        </w:tc>
        <w:tc>
          <w:tcPr>
            <w:tcW w:w="5386" w:type="dxa"/>
            <w:tcBorders>
              <w:top w:val="nil"/>
              <w:bottom w:val="nil"/>
            </w:tcBorders>
          </w:tcPr>
          <w:p w14:paraId="403F989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(十)因應公司緊急資金週轉而向非金融保險機構借款者，是否於事實發生之日起二日內向主管機關申報，並將該借款分類至適當之會計科目：「短期借款－非金融保險機構借款」。</w:t>
            </w:r>
          </w:p>
        </w:tc>
        <w:tc>
          <w:tcPr>
            <w:tcW w:w="5387" w:type="dxa"/>
            <w:tcBorders>
              <w:top w:val="nil"/>
              <w:bottom w:val="nil"/>
            </w:tcBorders>
          </w:tcPr>
          <w:p w14:paraId="62CD7B3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(十)因應公司緊急資金週轉而向非金融保險機構借款者，是否於事實發生之日起二日內向主管機關申報，並將該借款分類至適當之會計科目：「短期借款－非金融保險機構借款」。</w:t>
            </w:r>
          </w:p>
        </w:tc>
        <w:tc>
          <w:tcPr>
            <w:tcW w:w="2023" w:type="dxa"/>
            <w:vMerge/>
            <w:tcBorders>
              <w:right w:val="single" w:sz="12" w:space="0" w:color="auto"/>
            </w:tcBorders>
          </w:tcPr>
          <w:p w14:paraId="7FFE08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EE56E2" w14:textId="77777777">
        <w:tc>
          <w:tcPr>
            <w:tcW w:w="1384" w:type="dxa"/>
            <w:vMerge/>
            <w:tcBorders>
              <w:left w:val="single" w:sz="12" w:space="0" w:color="auto"/>
            </w:tcBorders>
          </w:tcPr>
          <w:p w14:paraId="0FEAF31C" w14:textId="77777777" w:rsidR="003B3105" w:rsidRDefault="003B3105" w:rsidP="001E533B">
            <w:pPr>
              <w:rPr>
                <w:rFonts w:ascii="新細明體" w:eastAsia="新細明體" w:hAnsi="新細明體"/>
              </w:rPr>
            </w:pPr>
          </w:p>
        </w:tc>
        <w:tc>
          <w:tcPr>
            <w:tcW w:w="1276" w:type="dxa"/>
            <w:vMerge/>
          </w:tcPr>
          <w:p w14:paraId="437D22D5" w14:textId="77777777" w:rsidR="003B3105" w:rsidRDefault="003B3105" w:rsidP="001E533B">
            <w:pPr>
              <w:rPr>
                <w:rFonts w:ascii="新細明體" w:eastAsia="新細明體" w:hAnsi="新細明體"/>
              </w:rPr>
            </w:pPr>
          </w:p>
        </w:tc>
        <w:tc>
          <w:tcPr>
            <w:tcW w:w="5386" w:type="dxa"/>
            <w:tcBorders>
              <w:top w:val="nil"/>
              <w:bottom w:val="nil"/>
            </w:tcBorders>
          </w:tcPr>
          <w:p w14:paraId="32AE1EE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(十一)每月編製之「金融保險機構借款明細表」是否與月計表金額相符，並經財務主管覆核後存檔。</w:t>
            </w:r>
          </w:p>
        </w:tc>
        <w:tc>
          <w:tcPr>
            <w:tcW w:w="5387" w:type="dxa"/>
            <w:tcBorders>
              <w:top w:val="nil"/>
              <w:bottom w:val="nil"/>
            </w:tcBorders>
          </w:tcPr>
          <w:p w14:paraId="5CE4F98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(十一)每月編製之「金融保險機構借款明細表」是否與月計表金額相符，並經財務主管覆核後存檔。</w:t>
            </w:r>
          </w:p>
        </w:tc>
        <w:tc>
          <w:tcPr>
            <w:tcW w:w="2023" w:type="dxa"/>
            <w:vMerge/>
            <w:tcBorders>
              <w:right w:val="single" w:sz="12" w:space="0" w:color="auto"/>
            </w:tcBorders>
          </w:tcPr>
          <w:p w14:paraId="5745C0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EC0B02" w14:textId="77777777">
        <w:tc>
          <w:tcPr>
            <w:tcW w:w="1384" w:type="dxa"/>
            <w:vMerge/>
            <w:tcBorders>
              <w:left w:val="single" w:sz="12" w:space="0" w:color="auto"/>
            </w:tcBorders>
          </w:tcPr>
          <w:p w14:paraId="3787F5F1" w14:textId="77777777" w:rsidR="003B3105" w:rsidRDefault="003B3105" w:rsidP="001E533B">
            <w:pPr>
              <w:rPr>
                <w:rFonts w:ascii="新細明體" w:eastAsia="新細明體" w:hAnsi="新細明體"/>
              </w:rPr>
            </w:pPr>
          </w:p>
        </w:tc>
        <w:tc>
          <w:tcPr>
            <w:tcW w:w="1276" w:type="dxa"/>
            <w:vMerge/>
          </w:tcPr>
          <w:p w14:paraId="75F2F038" w14:textId="77777777" w:rsidR="003B3105" w:rsidRDefault="003B3105" w:rsidP="001E533B">
            <w:pPr>
              <w:rPr>
                <w:rFonts w:ascii="新細明體" w:eastAsia="新細明體" w:hAnsi="新細明體"/>
              </w:rPr>
            </w:pPr>
          </w:p>
        </w:tc>
        <w:tc>
          <w:tcPr>
            <w:tcW w:w="5386" w:type="dxa"/>
            <w:tcBorders>
              <w:top w:val="nil"/>
              <w:bottom w:val="nil"/>
            </w:tcBorders>
          </w:tcPr>
          <w:p w14:paraId="03F6941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(十二)稽核部門是否依財務部門編製之「金融</w:t>
            </w:r>
            <w:r>
              <w:rPr>
                <w:rFonts w:ascii="新細明體" w:eastAsia="新細明體" w:hAnsi="新細明體" w:cs="新細明體" w:hint="eastAsia"/>
              </w:rPr>
              <w:lastRenderedPageBreak/>
              <w:t>保險機構借款明細表」，直接向金融保險機構發函詢證或取得餘額證明，以驗證明細表及帳載之正確性。</w:t>
            </w:r>
          </w:p>
        </w:tc>
        <w:tc>
          <w:tcPr>
            <w:tcW w:w="5387" w:type="dxa"/>
            <w:tcBorders>
              <w:top w:val="nil"/>
              <w:bottom w:val="nil"/>
            </w:tcBorders>
          </w:tcPr>
          <w:p w14:paraId="259C516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(十二)稽核部門是否依財務部門編製之「金融</w:t>
            </w:r>
            <w:r>
              <w:rPr>
                <w:rFonts w:ascii="新細明體" w:eastAsia="新細明體" w:hAnsi="新細明體" w:cs="新細明體" w:hint="eastAsia"/>
              </w:rPr>
              <w:lastRenderedPageBreak/>
              <w:t>保險機構借款明細表」，直接向金融保險機構發函詢證或取得餘額證明，以驗證明細表及帳載之正確性。</w:t>
            </w:r>
          </w:p>
        </w:tc>
        <w:tc>
          <w:tcPr>
            <w:tcW w:w="2023" w:type="dxa"/>
            <w:vMerge/>
            <w:tcBorders>
              <w:right w:val="single" w:sz="12" w:space="0" w:color="auto"/>
            </w:tcBorders>
          </w:tcPr>
          <w:p w14:paraId="78EAEF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A1A4A5" w14:textId="77777777">
        <w:tc>
          <w:tcPr>
            <w:tcW w:w="1384" w:type="dxa"/>
            <w:vMerge/>
            <w:tcBorders>
              <w:left w:val="single" w:sz="12" w:space="0" w:color="auto"/>
            </w:tcBorders>
          </w:tcPr>
          <w:p w14:paraId="656F2D0E" w14:textId="77777777" w:rsidR="003B3105" w:rsidRDefault="003B3105" w:rsidP="001E533B">
            <w:pPr>
              <w:rPr>
                <w:rFonts w:ascii="新細明體" w:eastAsia="新細明體" w:hAnsi="新細明體"/>
              </w:rPr>
            </w:pPr>
          </w:p>
        </w:tc>
        <w:tc>
          <w:tcPr>
            <w:tcW w:w="1276" w:type="dxa"/>
            <w:vMerge/>
          </w:tcPr>
          <w:p w14:paraId="7520706A" w14:textId="77777777" w:rsidR="003B3105" w:rsidRDefault="003B3105" w:rsidP="001E533B">
            <w:pPr>
              <w:rPr>
                <w:rFonts w:ascii="新細明體" w:eastAsia="新細明體" w:hAnsi="新細明體"/>
              </w:rPr>
            </w:pPr>
          </w:p>
        </w:tc>
        <w:tc>
          <w:tcPr>
            <w:tcW w:w="5386" w:type="dxa"/>
            <w:tcBorders>
              <w:top w:val="nil"/>
              <w:bottom w:val="nil"/>
            </w:tcBorders>
          </w:tcPr>
          <w:p w14:paraId="788575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(十三)每月期末是否估列應付利息。</w:t>
            </w:r>
          </w:p>
        </w:tc>
        <w:tc>
          <w:tcPr>
            <w:tcW w:w="5387" w:type="dxa"/>
            <w:tcBorders>
              <w:top w:val="nil"/>
              <w:bottom w:val="nil"/>
            </w:tcBorders>
          </w:tcPr>
          <w:p w14:paraId="330493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(十三)每月期末是否估列應付利息。</w:t>
            </w:r>
          </w:p>
        </w:tc>
        <w:tc>
          <w:tcPr>
            <w:tcW w:w="2023" w:type="dxa"/>
            <w:vMerge/>
            <w:tcBorders>
              <w:right w:val="single" w:sz="12" w:space="0" w:color="auto"/>
            </w:tcBorders>
          </w:tcPr>
          <w:p w14:paraId="51A651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BA3226" w14:textId="77777777">
        <w:tc>
          <w:tcPr>
            <w:tcW w:w="1384" w:type="dxa"/>
            <w:vMerge/>
            <w:tcBorders>
              <w:left w:val="single" w:sz="12" w:space="0" w:color="auto"/>
            </w:tcBorders>
          </w:tcPr>
          <w:p w14:paraId="78364CF1" w14:textId="77777777" w:rsidR="003B3105" w:rsidRDefault="003B3105" w:rsidP="001E533B">
            <w:pPr>
              <w:rPr>
                <w:rFonts w:ascii="新細明體" w:eastAsia="新細明體" w:hAnsi="新細明體"/>
              </w:rPr>
            </w:pPr>
          </w:p>
        </w:tc>
        <w:tc>
          <w:tcPr>
            <w:tcW w:w="1276" w:type="dxa"/>
            <w:vMerge/>
          </w:tcPr>
          <w:p w14:paraId="5632B542" w14:textId="77777777" w:rsidR="003B3105" w:rsidRDefault="003B3105" w:rsidP="001E533B">
            <w:pPr>
              <w:rPr>
                <w:rFonts w:ascii="新細明體" w:eastAsia="新細明體" w:hAnsi="新細明體"/>
              </w:rPr>
            </w:pPr>
          </w:p>
        </w:tc>
        <w:tc>
          <w:tcPr>
            <w:tcW w:w="5386" w:type="dxa"/>
            <w:tcBorders>
              <w:top w:val="nil"/>
              <w:bottom w:val="nil"/>
            </w:tcBorders>
          </w:tcPr>
          <w:p w14:paraId="72607A9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w:t>
            </w:r>
            <w:r>
              <w:rPr>
                <w:rFonts w:ascii="新細明體" w:eastAsia="新細明體" w:hAnsi="新細明體" w:cs="新細明體" w:hint="eastAsia"/>
                <w:b/>
                <w:color w:val="FF0000"/>
                <w:u w:val="single"/>
              </w:rPr>
              <w:t>、承銷有價證券或股務代理業務</w:t>
            </w:r>
            <w:r>
              <w:rPr>
                <w:rFonts w:ascii="新細明體" w:eastAsia="新細明體" w:hAnsi="新細明體" w:cs="新細明體" w:hint="eastAsia"/>
              </w:rPr>
              <w:t>所生代收付性質之過渡性負債</w:t>
            </w:r>
            <w:r>
              <w:rPr>
                <w:rFonts w:ascii="新細明體" w:eastAsia="新細明體" w:hAnsi="新細明體" w:cs="新細明體" w:hint="eastAsia"/>
                <w:b/>
                <w:color w:val="FF0000"/>
                <w:u w:val="single"/>
              </w:rPr>
              <w:t>、</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u w:val="single"/>
              </w:rPr>
              <w:t>及證券商交割專戶客戶分戶帳餘</w:t>
            </w:r>
            <w:r>
              <w:rPr>
                <w:rFonts w:ascii="新細明體" w:eastAsia="新細明體" w:hAnsi="新細明體" w:cs="新細明體" w:hint="eastAsia"/>
              </w:rPr>
              <w:t>額。</w:t>
            </w:r>
          </w:p>
        </w:tc>
        <w:tc>
          <w:tcPr>
            <w:tcW w:w="5387" w:type="dxa"/>
            <w:tcBorders>
              <w:top w:val="nil"/>
              <w:bottom w:val="nil"/>
            </w:tcBorders>
          </w:tcPr>
          <w:p w14:paraId="7A4CF0D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所生代收付性質之過渡性負債</w:t>
            </w:r>
            <w:r>
              <w:rPr>
                <w:rFonts w:ascii="新細明體" w:eastAsia="新細明體" w:hAnsi="新細明體" w:cs="新細明體" w:hint="eastAsia"/>
                <w:b/>
                <w:color w:val="FF0000"/>
              </w:rPr>
              <w:t>，及</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rPr>
              <w:t>金</w:t>
            </w:r>
            <w:r>
              <w:rPr>
                <w:rFonts w:ascii="新細明體" w:eastAsia="新細明體" w:hAnsi="新細明體" w:cs="新細明體" w:hint="eastAsia"/>
              </w:rPr>
              <w:t>額。</w:t>
            </w:r>
          </w:p>
        </w:tc>
        <w:tc>
          <w:tcPr>
            <w:tcW w:w="2023" w:type="dxa"/>
            <w:vMerge/>
            <w:tcBorders>
              <w:right w:val="single" w:sz="12" w:space="0" w:color="auto"/>
            </w:tcBorders>
          </w:tcPr>
          <w:p w14:paraId="74C042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(十五)借款是否依「證券商財務報告編製準則」及一般公認會計準則之規定予以適當記錄及分類。</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(十五)借款是否依「證券商財務報告編製準則」及一般公認會計準則之規定予以適當記錄及分類。</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EF77" w14:textId="77777777" w:rsidR="00E91475" w:rsidRDefault="00E91475" w:rsidP="00E87601">
      <w:pPr>
        <w:spacing w:line="240" w:lineRule="auto"/>
      </w:pPr>
      <w:r>
        <w:separator/>
      </w:r>
    </w:p>
  </w:endnote>
  <w:endnote w:type="continuationSeparator" w:id="0">
    <w:p w14:paraId="6E5DAC82" w14:textId="77777777" w:rsidR="00E91475" w:rsidRDefault="00E9147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9A8ED" w14:textId="77777777" w:rsidR="00E91475" w:rsidRDefault="00E91475" w:rsidP="00E87601">
      <w:pPr>
        <w:spacing w:line="240" w:lineRule="auto"/>
      </w:pPr>
      <w:r>
        <w:separator/>
      </w:r>
    </w:p>
  </w:footnote>
  <w:footnote w:type="continuationSeparator" w:id="0">
    <w:p w14:paraId="41D41327" w14:textId="77777777" w:rsidR="00E91475" w:rsidRDefault="00E9147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D03"/>
    <w:rsid w:val="00164EC3"/>
    <w:rsid w:val="001812B0"/>
    <w:rsid w:val="001C0745"/>
    <w:rsid w:val="001E533B"/>
    <w:rsid w:val="00200AE8"/>
    <w:rsid w:val="00216524"/>
    <w:rsid w:val="00216A6E"/>
    <w:rsid w:val="00227F63"/>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1E0F"/>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8615B"/>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91475"/>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1362</Characters>
  <Application>Microsoft Office Word</Application>
  <DocSecurity>0</DocSecurity>
  <Lines>11</Lines>
  <Paragraphs>3</Paragraphs>
  <ScaleCrop>false</ScaleCrop>
  <Company>Hewlett-Packard Company</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2026-03-07T06:48:00Z</dcterms:created>
  <dcterms:modified xsi:type="dcterms:W3CDTF">2026-05-19T03:07:00Z</dcterms:modified>
</cp:coreProperties>
</file>