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B7BBA69"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AR-14000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保證作業之稽核</w:t>
            </w:r>
          </w:p>
          <w:p w14:paraId="7CBC0BC3"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551C3AAA"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不定期（每季至少查核乙次）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不定期（每季至少查核乙次）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配合內部控制制度CR-14000修正。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(一)除由金融機構兼營者外，非經主管機關核准，是否未為任何保證人、票據轉讓之背書或提供財產供他人設定擔保。且公司從事保證業務是否於公司章程訂明。</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(一)除由金融機構兼營者外，非經主管機關核准，是否未為任何保證人、票據轉讓之背書或提供財產供他人設定擔保。且公司從事保證業務是否於公司章程訂明。</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773C9D" w14:textId="77777777">
        <w:tc>
          <w:tcPr>
            <w:tcW w:w="1384" w:type="dxa"/>
            <w:vMerge/>
            <w:tcBorders>
              <w:left w:val="single" w:sz="12" w:space="0" w:color="auto"/>
            </w:tcBorders>
          </w:tcPr>
          <w:p w14:paraId="37036B4B" w14:textId="77777777" w:rsidR="003B3105" w:rsidRDefault="003B3105" w:rsidP="001E533B">
            <w:pPr>
              <w:rPr>
                <w:rFonts w:ascii="新細明體" w:eastAsia="新細明體" w:hAnsi="新細明體"/>
              </w:rPr>
            </w:pPr>
          </w:p>
        </w:tc>
        <w:tc>
          <w:tcPr>
            <w:tcW w:w="1276" w:type="dxa"/>
            <w:vMerge/>
          </w:tcPr>
          <w:p w14:paraId="1937E66E" w14:textId="77777777" w:rsidR="003B3105" w:rsidRDefault="003B3105" w:rsidP="001E533B">
            <w:pPr>
              <w:rPr>
                <w:rFonts w:ascii="新細明體" w:eastAsia="新細明體" w:hAnsi="新細明體"/>
              </w:rPr>
            </w:pPr>
          </w:p>
        </w:tc>
        <w:tc>
          <w:tcPr>
            <w:tcW w:w="5386" w:type="dxa"/>
            <w:tcBorders>
              <w:top w:val="nil"/>
              <w:bottom w:val="nil"/>
            </w:tcBorders>
          </w:tcPr>
          <w:p w14:paraId="108FB6B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(二)保證事項是否於保證事項備查紀錄中詳予記載。</w:t>
            </w:r>
          </w:p>
        </w:tc>
        <w:tc>
          <w:tcPr>
            <w:tcW w:w="5387" w:type="dxa"/>
            <w:tcBorders>
              <w:top w:val="nil"/>
              <w:bottom w:val="nil"/>
            </w:tcBorders>
          </w:tcPr>
          <w:p w14:paraId="74608EF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(二)保證事項是否於保證事項備查紀錄中詳予記載。</w:t>
            </w:r>
          </w:p>
        </w:tc>
        <w:tc>
          <w:tcPr>
            <w:tcW w:w="2023" w:type="dxa"/>
            <w:vMerge/>
            <w:tcBorders>
              <w:right w:val="single" w:sz="12" w:space="0" w:color="auto"/>
            </w:tcBorders>
          </w:tcPr>
          <w:p w14:paraId="375ABF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6A119A" w14:textId="77777777">
        <w:tc>
          <w:tcPr>
            <w:tcW w:w="1384" w:type="dxa"/>
            <w:vMerge/>
            <w:tcBorders>
              <w:left w:val="single" w:sz="12" w:space="0" w:color="auto"/>
            </w:tcBorders>
          </w:tcPr>
          <w:p w14:paraId="0C5D2FCD" w14:textId="77777777" w:rsidR="003B3105" w:rsidRDefault="003B3105" w:rsidP="001E533B">
            <w:pPr>
              <w:rPr>
                <w:rFonts w:ascii="新細明體" w:eastAsia="新細明體" w:hAnsi="新細明體"/>
              </w:rPr>
            </w:pPr>
          </w:p>
        </w:tc>
        <w:tc>
          <w:tcPr>
            <w:tcW w:w="1276" w:type="dxa"/>
            <w:vMerge/>
          </w:tcPr>
          <w:p w14:paraId="6DFF7A00" w14:textId="77777777" w:rsidR="003B3105" w:rsidRDefault="003B3105" w:rsidP="001E533B">
            <w:pPr>
              <w:rPr>
                <w:rFonts w:ascii="新細明體" w:eastAsia="新細明體" w:hAnsi="新細明體"/>
              </w:rPr>
            </w:pPr>
          </w:p>
        </w:tc>
        <w:tc>
          <w:tcPr>
            <w:tcW w:w="5386" w:type="dxa"/>
            <w:tcBorders>
              <w:top w:val="nil"/>
              <w:bottom w:val="nil"/>
            </w:tcBorders>
          </w:tcPr>
          <w:p w14:paraId="7CF84A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(三)期限屆滿之保證案件是否主動追蹤、註銷。</w:t>
            </w:r>
          </w:p>
        </w:tc>
        <w:tc>
          <w:tcPr>
            <w:tcW w:w="5387" w:type="dxa"/>
            <w:tcBorders>
              <w:top w:val="nil"/>
              <w:bottom w:val="nil"/>
            </w:tcBorders>
          </w:tcPr>
          <w:p w14:paraId="5C4E53E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(三)期限屆滿之保證案件是否主動追蹤、註銷。</w:t>
            </w:r>
          </w:p>
        </w:tc>
        <w:tc>
          <w:tcPr>
            <w:tcW w:w="2023" w:type="dxa"/>
            <w:vMerge/>
            <w:tcBorders>
              <w:right w:val="single" w:sz="12" w:space="0" w:color="auto"/>
            </w:tcBorders>
          </w:tcPr>
          <w:p w14:paraId="43F4E1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09C006" w14:textId="77777777">
        <w:tc>
          <w:tcPr>
            <w:tcW w:w="1384" w:type="dxa"/>
            <w:vMerge/>
            <w:tcBorders>
              <w:left w:val="single" w:sz="12" w:space="0" w:color="auto"/>
            </w:tcBorders>
          </w:tcPr>
          <w:p w14:paraId="14321A0A" w14:textId="77777777" w:rsidR="003B3105" w:rsidRDefault="003B3105" w:rsidP="001E533B">
            <w:pPr>
              <w:rPr>
                <w:rFonts w:ascii="新細明體" w:eastAsia="新細明體" w:hAnsi="新細明體"/>
              </w:rPr>
            </w:pPr>
          </w:p>
        </w:tc>
        <w:tc>
          <w:tcPr>
            <w:tcW w:w="1276" w:type="dxa"/>
            <w:vMerge/>
          </w:tcPr>
          <w:p w14:paraId="611DA3FC" w14:textId="77777777" w:rsidR="003B3105" w:rsidRDefault="003B3105" w:rsidP="001E533B">
            <w:pPr>
              <w:rPr>
                <w:rFonts w:ascii="新細明體" w:eastAsia="新細明體" w:hAnsi="新細明體"/>
              </w:rPr>
            </w:pPr>
          </w:p>
        </w:tc>
        <w:tc>
          <w:tcPr>
            <w:tcW w:w="5386" w:type="dxa"/>
            <w:tcBorders>
              <w:top w:val="nil"/>
              <w:bottom w:val="nil"/>
            </w:tcBorders>
          </w:tcPr>
          <w:p w14:paraId="4928D6C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(四)公司是否為直接或間接持有已發行有表決權之股份超過百分之五十之海外子公司因下列需要，為保證人、票據轉讓之背書或提供財產供設定擔保：</w:t>
            </w:r>
          </w:p>
        </w:tc>
        <w:tc>
          <w:tcPr>
            <w:tcW w:w="5387" w:type="dxa"/>
            <w:tcBorders>
              <w:top w:val="nil"/>
              <w:bottom w:val="nil"/>
            </w:tcBorders>
          </w:tcPr>
          <w:p w14:paraId="3EC4A7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(四)公司是否為直接或間接持有已發行有表決權之股份超過百分之五十之海外子公司因下列需要，為保證人、票據轉讓之背書或提供財產供設定擔保：</w:t>
            </w:r>
          </w:p>
        </w:tc>
        <w:tc>
          <w:tcPr>
            <w:tcW w:w="2023" w:type="dxa"/>
            <w:vMerge/>
            <w:tcBorders>
              <w:right w:val="single" w:sz="12" w:space="0" w:color="auto"/>
            </w:tcBorders>
          </w:tcPr>
          <w:p w14:paraId="195AA2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3603B" w14:textId="77777777">
        <w:tc>
          <w:tcPr>
            <w:tcW w:w="1384" w:type="dxa"/>
            <w:vMerge/>
            <w:tcBorders>
              <w:left w:val="single" w:sz="12" w:space="0" w:color="auto"/>
            </w:tcBorders>
          </w:tcPr>
          <w:p w14:paraId="22187455" w14:textId="77777777" w:rsidR="003B3105" w:rsidRDefault="003B3105" w:rsidP="001E533B">
            <w:pPr>
              <w:rPr>
                <w:rFonts w:ascii="新細明體" w:eastAsia="新細明體" w:hAnsi="新細明體"/>
              </w:rPr>
            </w:pPr>
          </w:p>
        </w:tc>
        <w:tc>
          <w:tcPr>
            <w:tcW w:w="1276" w:type="dxa"/>
            <w:vMerge/>
          </w:tcPr>
          <w:p w14:paraId="1F33A5AA" w14:textId="77777777" w:rsidR="003B3105" w:rsidRDefault="003B3105" w:rsidP="001E533B">
            <w:pPr>
              <w:rPr>
                <w:rFonts w:ascii="新細明體" w:eastAsia="新細明體" w:hAnsi="新細明體"/>
              </w:rPr>
            </w:pPr>
          </w:p>
        </w:tc>
        <w:tc>
          <w:tcPr>
            <w:tcW w:w="5386" w:type="dxa"/>
            <w:tcBorders>
              <w:top w:val="nil"/>
              <w:bottom w:val="nil"/>
            </w:tcBorders>
          </w:tcPr>
          <w:p w14:paraId="1B673A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1.辦理證券承銷業務之需要。</w:t>
            </w:r>
          </w:p>
        </w:tc>
        <w:tc>
          <w:tcPr>
            <w:tcW w:w="5387" w:type="dxa"/>
            <w:tcBorders>
              <w:top w:val="nil"/>
              <w:bottom w:val="nil"/>
            </w:tcBorders>
          </w:tcPr>
          <w:p w14:paraId="6249C4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1.辦理證券承銷業務之需要。</w:t>
            </w:r>
          </w:p>
        </w:tc>
        <w:tc>
          <w:tcPr>
            <w:tcW w:w="2023" w:type="dxa"/>
            <w:vMerge/>
            <w:tcBorders>
              <w:right w:val="single" w:sz="12" w:space="0" w:color="auto"/>
            </w:tcBorders>
          </w:tcPr>
          <w:p w14:paraId="42F398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FAD595" w14:textId="77777777">
        <w:tc>
          <w:tcPr>
            <w:tcW w:w="1384" w:type="dxa"/>
            <w:vMerge/>
            <w:tcBorders>
              <w:left w:val="single" w:sz="12" w:space="0" w:color="auto"/>
            </w:tcBorders>
          </w:tcPr>
          <w:p w14:paraId="662F80A3" w14:textId="77777777" w:rsidR="003B3105" w:rsidRDefault="003B3105" w:rsidP="001E533B">
            <w:pPr>
              <w:rPr>
                <w:rFonts w:ascii="新細明體" w:eastAsia="新細明體" w:hAnsi="新細明體"/>
              </w:rPr>
            </w:pPr>
          </w:p>
        </w:tc>
        <w:tc>
          <w:tcPr>
            <w:tcW w:w="1276" w:type="dxa"/>
            <w:vMerge/>
          </w:tcPr>
          <w:p w14:paraId="4766D8D0" w14:textId="77777777" w:rsidR="003B3105" w:rsidRDefault="003B3105" w:rsidP="001E533B">
            <w:pPr>
              <w:rPr>
                <w:rFonts w:ascii="新細明體" w:eastAsia="新細明體" w:hAnsi="新細明體"/>
              </w:rPr>
            </w:pPr>
          </w:p>
        </w:tc>
        <w:tc>
          <w:tcPr>
            <w:tcW w:w="5386" w:type="dxa"/>
            <w:tcBorders>
              <w:top w:val="nil"/>
              <w:bottom w:val="nil"/>
            </w:tcBorders>
          </w:tcPr>
          <w:p w14:paraId="4F9877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5387" w:type="dxa"/>
            <w:tcBorders>
              <w:top w:val="nil"/>
              <w:bottom w:val="nil"/>
            </w:tcBorders>
          </w:tcPr>
          <w:p w14:paraId="271E34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2023" w:type="dxa"/>
            <w:vMerge/>
            <w:tcBorders>
              <w:right w:val="single" w:sz="12" w:space="0" w:color="auto"/>
            </w:tcBorders>
          </w:tcPr>
          <w:p w14:paraId="4CE24E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96A009" w14:textId="77777777">
        <w:tc>
          <w:tcPr>
            <w:tcW w:w="1384" w:type="dxa"/>
            <w:vMerge/>
            <w:tcBorders>
              <w:left w:val="single" w:sz="12" w:space="0" w:color="auto"/>
            </w:tcBorders>
          </w:tcPr>
          <w:p w14:paraId="51E075CB" w14:textId="77777777" w:rsidR="003B3105" w:rsidRDefault="003B3105" w:rsidP="001E533B">
            <w:pPr>
              <w:rPr>
                <w:rFonts w:ascii="新細明體" w:eastAsia="新細明體" w:hAnsi="新細明體"/>
              </w:rPr>
            </w:pPr>
          </w:p>
        </w:tc>
        <w:tc>
          <w:tcPr>
            <w:tcW w:w="1276" w:type="dxa"/>
            <w:vMerge/>
          </w:tcPr>
          <w:p w14:paraId="2B13BD38" w14:textId="77777777" w:rsidR="003B3105" w:rsidRDefault="003B3105" w:rsidP="001E533B">
            <w:pPr>
              <w:rPr>
                <w:rFonts w:ascii="新細明體" w:eastAsia="新細明體" w:hAnsi="新細明體"/>
              </w:rPr>
            </w:pPr>
          </w:p>
        </w:tc>
        <w:tc>
          <w:tcPr>
            <w:tcW w:w="5386" w:type="dxa"/>
            <w:tcBorders>
              <w:top w:val="nil"/>
              <w:bottom w:val="nil"/>
            </w:tcBorders>
          </w:tcPr>
          <w:p w14:paraId="2F4EEA5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3.因擔任境外型商品發行機構或保證機構，依境外結構型商品管理規則於境內銷售，且由其國內母公司擔任總代理人者。</w:t>
            </w:r>
          </w:p>
        </w:tc>
        <w:tc>
          <w:tcPr>
            <w:tcW w:w="5387" w:type="dxa"/>
            <w:tcBorders>
              <w:top w:val="nil"/>
              <w:bottom w:val="nil"/>
            </w:tcBorders>
          </w:tcPr>
          <w:p w14:paraId="018082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3.因擔任境外型商品發行機構或保證機構，依境外結構型商品管理規則於境內銷售，且由其國內母公司擔任總代理人者。</w:t>
            </w:r>
          </w:p>
        </w:tc>
        <w:tc>
          <w:tcPr>
            <w:tcW w:w="2023" w:type="dxa"/>
            <w:vMerge/>
            <w:tcBorders>
              <w:right w:val="single" w:sz="12" w:space="0" w:color="auto"/>
            </w:tcBorders>
          </w:tcPr>
          <w:p w14:paraId="3A1423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A7F78F" w14:textId="77777777">
        <w:tc>
          <w:tcPr>
            <w:tcW w:w="1384" w:type="dxa"/>
            <w:vMerge/>
            <w:tcBorders>
              <w:left w:val="single" w:sz="12" w:space="0" w:color="auto"/>
            </w:tcBorders>
          </w:tcPr>
          <w:p w14:paraId="7A865607" w14:textId="77777777" w:rsidR="003B3105" w:rsidRDefault="003B3105" w:rsidP="001E533B">
            <w:pPr>
              <w:rPr>
                <w:rFonts w:ascii="新細明體" w:eastAsia="新細明體" w:hAnsi="新細明體"/>
              </w:rPr>
            </w:pPr>
          </w:p>
        </w:tc>
        <w:tc>
          <w:tcPr>
            <w:tcW w:w="1276" w:type="dxa"/>
            <w:vMerge/>
          </w:tcPr>
          <w:p w14:paraId="0E9F45CE" w14:textId="77777777" w:rsidR="003B3105" w:rsidRDefault="003B3105" w:rsidP="001E533B">
            <w:pPr>
              <w:rPr>
                <w:rFonts w:ascii="新細明體" w:eastAsia="新細明體" w:hAnsi="新細明體"/>
              </w:rPr>
            </w:pPr>
          </w:p>
        </w:tc>
        <w:tc>
          <w:tcPr>
            <w:tcW w:w="5386" w:type="dxa"/>
            <w:tcBorders>
              <w:top w:val="nil"/>
              <w:bottom w:val="nil"/>
            </w:tcBorders>
          </w:tcPr>
          <w:p w14:paraId="0F459B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5387" w:type="dxa"/>
            <w:tcBorders>
              <w:top w:val="nil"/>
              <w:bottom w:val="nil"/>
            </w:tcBorders>
          </w:tcPr>
          <w:p w14:paraId="7C71D2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2023" w:type="dxa"/>
            <w:vMerge/>
            <w:tcBorders>
              <w:right w:val="single" w:sz="12" w:space="0" w:color="auto"/>
            </w:tcBorders>
          </w:tcPr>
          <w:p w14:paraId="35B5A5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07DA66" w14:textId="77777777">
        <w:tc>
          <w:tcPr>
            <w:tcW w:w="1384" w:type="dxa"/>
            <w:vMerge/>
            <w:tcBorders>
              <w:left w:val="single" w:sz="12" w:space="0" w:color="auto"/>
            </w:tcBorders>
          </w:tcPr>
          <w:p w14:paraId="0AD0E33F" w14:textId="77777777" w:rsidR="003B3105" w:rsidRDefault="003B3105" w:rsidP="001E533B">
            <w:pPr>
              <w:rPr>
                <w:rFonts w:ascii="新細明體" w:eastAsia="新細明體" w:hAnsi="新細明體"/>
              </w:rPr>
            </w:pPr>
          </w:p>
        </w:tc>
        <w:tc>
          <w:tcPr>
            <w:tcW w:w="1276" w:type="dxa"/>
            <w:vMerge/>
          </w:tcPr>
          <w:p w14:paraId="0AAAA781" w14:textId="77777777" w:rsidR="003B3105" w:rsidRDefault="003B3105" w:rsidP="001E533B">
            <w:pPr>
              <w:rPr>
                <w:rFonts w:ascii="新細明體" w:eastAsia="新細明體" w:hAnsi="新細明體"/>
              </w:rPr>
            </w:pPr>
          </w:p>
        </w:tc>
        <w:tc>
          <w:tcPr>
            <w:tcW w:w="5386" w:type="dxa"/>
            <w:tcBorders>
              <w:top w:val="nil"/>
              <w:bottom w:val="nil"/>
            </w:tcBorders>
          </w:tcPr>
          <w:p w14:paraId="4FE8BB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5.發行公司債之需要。</w:t>
            </w:r>
          </w:p>
        </w:tc>
        <w:tc>
          <w:tcPr>
            <w:tcW w:w="5387" w:type="dxa"/>
            <w:tcBorders>
              <w:top w:val="nil"/>
              <w:bottom w:val="nil"/>
            </w:tcBorders>
          </w:tcPr>
          <w:p w14:paraId="2E6E34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5.發行公司債之需要。</w:t>
            </w:r>
          </w:p>
        </w:tc>
        <w:tc>
          <w:tcPr>
            <w:tcW w:w="2023" w:type="dxa"/>
            <w:vMerge/>
            <w:tcBorders>
              <w:right w:val="single" w:sz="12" w:space="0" w:color="auto"/>
            </w:tcBorders>
          </w:tcPr>
          <w:p w14:paraId="54D4AD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CF7DD9" w14:textId="77777777">
        <w:tc>
          <w:tcPr>
            <w:tcW w:w="1384" w:type="dxa"/>
            <w:vMerge/>
            <w:tcBorders>
              <w:left w:val="single" w:sz="12" w:space="0" w:color="auto"/>
            </w:tcBorders>
          </w:tcPr>
          <w:p w14:paraId="0E526CF3" w14:textId="77777777" w:rsidR="003B3105" w:rsidRDefault="003B3105" w:rsidP="001E533B">
            <w:pPr>
              <w:rPr>
                <w:rFonts w:ascii="新細明體" w:eastAsia="新細明體" w:hAnsi="新細明體"/>
              </w:rPr>
            </w:pPr>
          </w:p>
        </w:tc>
        <w:tc>
          <w:tcPr>
            <w:tcW w:w="1276" w:type="dxa"/>
            <w:vMerge/>
          </w:tcPr>
          <w:p w14:paraId="0B2A5D5A" w14:textId="77777777" w:rsidR="003B3105" w:rsidRDefault="003B3105" w:rsidP="001E533B">
            <w:pPr>
              <w:rPr>
                <w:rFonts w:ascii="新細明體" w:eastAsia="新細明體" w:hAnsi="新細明體"/>
              </w:rPr>
            </w:pPr>
          </w:p>
        </w:tc>
        <w:tc>
          <w:tcPr>
            <w:tcW w:w="5386" w:type="dxa"/>
            <w:tcBorders>
              <w:top w:val="nil"/>
              <w:bottom w:val="nil"/>
            </w:tcBorders>
          </w:tcPr>
          <w:p w14:paraId="734C0C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w:t>
            </w:r>
          </w:p>
        </w:tc>
        <w:tc>
          <w:tcPr>
            <w:tcW w:w="5387" w:type="dxa"/>
            <w:tcBorders>
              <w:top w:val="nil"/>
              <w:bottom w:val="nil"/>
            </w:tcBorders>
          </w:tcPr>
          <w:p w14:paraId="478B5D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w:t>
            </w:r>
          </w:p>
        </w:tc>
        <w:tc>
          <w:tcPr>
            <w:tcW w:w="2023" w:type="dxa"/>
            <w:vMerge/>
            <w:tcBorders>
              <w:right w:val="single" w:sz="12" w:space="0" w:color="auto"/>
            </w:tcBorders>
          </w:tcPr>
          <w:p w14:paraId="4881CE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7CAB38" w14:textId="77777777">
        <w:tc>
          <w:tcPr>
            <w:tcW w:w="1384" w:type="dxa"/>
            <w:vMerge/>
            <w:tcBorders>
              <w:left w:val="single" w:sz="12" w:space="0" w:color="auto"/>
            </w:tcBorders>
          </w:tcPr>
          <w:p w14:paraId="511BBE14" w14:textId="77777777" w:rsidR="003B3105" w:rsidRDefault="003B3105" w:rsidP="001E533B">
            <w:pPr>
              <w:rPr>
                <w:rFonts w:ascii="新細明體" w:eastAsia="新細明體" w:hAnsi="新細明體"/>
              </w:rPr>
            </w:pPr>
          </w:p>
        </w:tc>
        <w:tc>
          <w:tcPr>
            <w:tcW w:w="1276" w:type="dxa"/>
            <w:vMerge/>
          </w:tcPr>
          <w:p w14:paraId="3057F3B6" w14:textId="77777777" w:rsidR="003B3105" w:rsidRDefault="003B3105" w:rsidP="001E533B">
            <w:pPr>
              <w:rPr>
                <w:rFonts w:ascii="新細明體" w:eastAsia="新細明體" w:hAnsi="新細明體"/>
              </w:rPr>
            </w:pPr>
          </w:p>
        </w:tc>
        <w:tc>
          <w:tcPr>
            <w:tcW w:w="5386" w:type="dxa"/>
            <w:tcBorders>
              <w:top w:val="nil"/>
              <w:bottom w:val="nil"/>
            </w:tcBorders>
          </w:tcPr>
          <w:p w14:paraId="392D5CE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公司辦理對海外子公司背書保證，是否符合下列規定：</w:t>
            </w:r>
          </w:p>
        </w:tc>
        <w:tc>
          <w:tcPr>
            <w:tcW w:w="5387" w:type="dxa"/>
            <w:tcBorders>
              <w:top w:val="nil"/>
              <w:bottom w:val="nil"/>
            </w:tcBorders>
          </w:tcPr>
          <w:p w14:paraId="1C52680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公司辦理對海外子公司背書保證，是否符合下列規定：</w:t>
            </w:r>
          </w:p>
        </w:tc>
        <w:tc>
          <w:tcPr>
            <w:tcW w:w="2023" w:type="dxa"/>
            <w:vMerge/>
            <w:tcBorders>
              <w:right w:val="single" w:sz="12" w:space="0" w:color="auto"/>
            </w:tcBorders>
          </w:tcPr>
          <w:p w14:paraId="206CD6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EE546F" w14:textId="77777777">
        <w:tc>
          <w:tcPr>
            <w:tcW w:w="1384" w:type="dxa"/>
            <w:vMerge/>
            <w:tcBorders>
              <w:left w:val="single" w:sz="12" w:space="0" w:color="auto"/>
            </w:tcBorders>
          </w:tcPr>
          <w:p w14:paraId="6BC13445" w14:textId="77777777" w:rsidR="003B3105" w:rsidRDefault="003B3105" w:rsidP="001E533B">
            <w:pPr>
              <w:rPr>
                <w:rFonts w:ascii="新細明體" w:eastAsia="新細明體" w:hAnsi="新細明體"/>
              </w:rPr>
            </w:pPr>
          </w:p>
        </w:tc>
        <w:tc>
          <w:tcPr>
            <w:tcW w:w="1276" w:type="dxa"/>
            <w:vMerge/>
          </w:tcPr>
          <w:p w14:paraId="6DFF2C5B" w14:textId="77777777" w:rsidR="003B3105" w:rsidRDefault="003B3105" w:rsidP="001E533B">
            <w:pPr>
              <w:rPr>
                <w:rFonts w:ascii="新細明體" w:eastAsia="新細明體" w:hAnsi="新細明體"/>
              </w:rPr>
            </w:pPr>
          </w:p>
        </w:tc>
        <w:tc>
          <w:tcPr>
            <w:tcW w:w="5386" w:type="dxa"/>
            <w:tcBorders>
              <w:top w:val="nil"/>
              <w:bottom w:val="nil"/>
            </w:tcBorders>
          </w:tcPr>
          <w:p w14:paraId="715591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5387" w:type="dxa"/>
            <w:tcBorders>
              <w:top w:val="nil"/>
              <w:bottom w:val="nil"/>
            </w:tcBorders>
          </w:tcPr>
          <w:p w14:paraId="7ABAB6E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2023" w:type="dxa"/>
            <w:vMerge/>
            <w:tcBorders>
              <w:right w:val="single" w:sz="12" w:space="0" w:color="auto"/>
            </w:tcBorders>
          </w:tcPr>
          <w:p w14:paraId="6806D3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243BCB" w14:textId="77777777">
        <w:tc>
          <w:tcPr>
            <w:tcW w:w="1384" w:type="dxa"/>
            <w:vMerge/>
            <w:tcBorders>
              <w:left w:val="single" w:sz="12" w:space="0" w:color="auto"/>
            </w:tcBorders>
          </w:tcPr>
          <w:p w14:paraId="1A2A1778" w14:textId="77777777" w:rsidR="003B3105" w:rsidRDefault="003B3105" w:rsidP="001E533B">
            <w:pPr>
              <w:rPr>
                <w:rFonts w:ascii="新細明體" w:eastAsia="新細明體" w:hAnsi="新細明體"/>
              </w:rPr>
            </w:pPr>
          </w:p>
        </w:tc>
        <w:tc>
          <w:tcPr>
            <w:tcW w:w="1276" w:type="dxa"/>
            <w:vMerge/>
          </w:tcPr>
          <w:p w14:paraId="5BD314B5" w14:textId="77777777" w:rsidR="003B3105" w:rsidRDefault="003B3105" w:rsidP="001E533B">
            <w:pPr>
              <w:rPr>
                <w:rFonts w:ascii="新細明體" w:eastAsia="新細明體" w:hAnsi="新細明體"/>
              </w:rPr>
            </w:pPr>
          </w:p>
        </w:tc>
        <w:tc>
          <w:tcPr>
            <w:tcW w:w="5386" w:type="dxa"/>
            <w:tcBorders>
              <w:top w:val="nil"/>
              <w:bottom w:val="nil"/>
            </w:tcBorders>
          </w:tcPr>
          <w:p w14:paraId="4BCE53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2.依前述3、4規定為其海外子公司背書保證，應設立商品審查小組審查境外結構型商品，並應就商品審查小組之組成及運作訂定相關內部控制制度。</w:t>
            </w:r>
          </w:p>
        </w:tc>
        <w:tc>
          <w:tcPr>
            <w:tcW w:w="5387" w:type="dxa"/>
            <w:tcBorders>
              <w:top w:val="nil"/>
              <w:bottom w:val="nil"/>
            </w:tcBorders>
          </w:tcPr>
          <w:p w14:paraId="45737B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2.依前述3、4規定為其海外子公司背書保證，應設立商品審查小組審查境外結構型商品，並應就商品審查小組之組成及運作訂定相關內部控制制度。</w:t>
            </w:r>
          </w:p>
        </w:tc>
        <w:tc>
          <w:tcPr>
            <w:tcW w:w="2023" w:type="dxa"/>
            <w:vMerge/>
            <w:tcBorders>
              <w:right w:val="single" w:sz="12" w:space="0" w:color="auto"/>
            </w:tcBorders>
          </w:tcPr>
          <w:p w14:paraId="7A54FA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9C6DD6" w14:textId="77777777">
        <w:tc>
          <w:tcPr>
            <w:tcW w:w="1384" w:type="dxa"/>
            <w:vMerge/>
            <w:tcBorders>
              <w:left w:val="single" w:sz="12" w:space="0" w:color="auto"/>
            </w:tcBorders>
          </w:tcPr>
          <w:p w14:paraId="6E169C75" w14:textId="77777777" w:rsidR="003B3105" w:rsidRDefault="003B3105" w:rsidP="001E533B">
            <w:pPr>
              <w:rPr>
                <w:rFonts w:ascii="新細明體" w:eastAsia="新細明體" w:hAnsi="新細明體"/>
              </w:rPr>
            </w:pPr>
          </w:p>
        </w:tc>
        <w:tc>
          <w:tcPr>
            <w:tcW w:w="1276" w:type="dxa"/>
            <w:vMerge/>
          </w:tcPr>
          <w:p w14:paraId="747D19CE" w14:textId="77777777" w:rsidR="003B3105" w:rsidRDefault="003B3105" w:rsidP="001E533B">
            <w:pPr>
              <w:rPr>
                <w:rFonts w:ascii="新細明體" w:eastAsia="新細明體" w:hAnsi="新細明體"/>
              </w:rPr>
            </w:pPr>
          </w:p>
        </w:tc>
        <w:tc>
          <w:tcPr>
            <w:tcW w:w="5386" w:type="dxa"/>
            <w:tcBorders>
              <w:top w:val="nil"/>
              <w:bottom w:val="nil"/>
            </w:tcBorders>
          </w:tcPr>
          <w:p w14:paraId="7E53E3DA"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應為外國金融控股公司、外國銀行、外國證券商或外國保險公司直接或間接持有已發行有表決權之股份超過百分之五十之國內子公司，並經主管機關核准設立，因外國母公司擔任境外結構型商品發行機構或保證機構，依境外結構型商品管理規則或依契約於中華民國境內銷售，且由公司擔任總代理人者，始由公司就外國母公司所負境外結構型商品之義務負連帶責任。</w:t>
            </w:r>
          </w:p>
        </w:tc>
        <w:tc>
          <w:tcPr>
            <w:tcW w:w="5387" w:type="dxa"/>
            <w:tcBorders>
              <w:top w:val="nil"/>
              <w:bottom w:val="nil"/>
            </w:tcBorders>
          </w:tcPr>
          <w:p w14:paraId="73591150"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3AFA12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00199F" w14:textId="77777777">
        <w:tc>
          <w:tcPr>
            <w:tcW w:w="1384" w:type="dxa"/>
            <w:vMerge/>
            <w:tcBorders>
              <w:left w:val="single" w:sz="12" w:space="0" w:color="auto"/>
            </w:tcBorders>
          </w:tcPr>
          <w:p w14:paraId="5A2E731F" w14:textId="77777777" w:rsidR="003B3105" w:rsidRDefault="003B3105" w:rsidP="001E533B">
            <w:pPr>
              <w:rPr>
                <w:rFonts w:ascii="新細明體" w:eastAsia="新細明體" w:hAnsi="新細明體"/>
              </w:rPr>
            </w:pPr>
          </w:p>
        </w:tc>
        <w:tc>
          <w:tcPr>
            <w:tcW w:w="1276" w:type="dxa"/>
            <w:vMerge/>
          </w:tcPr>
          <w:p w14:paraId="430357EF" w14:textId="77777777" w:rsidR="003B3105" w:rsidRDefault="003B3105" w:rsidP="001E533B">
            <w:pPr>
              <w:rPr>
                <w:rFonts w:ascii="新細明體" w:eastAsia="新細明體" w:hAnsi="新細明體"/>
              </w:rPr>
            </w:pPr>
          </w:p>
        </w:tc>
        <w:tc>
          <w:tcPr>
            <w:tcW w:w="5386" w:type="dxa"/>
            <w:tcBorders>
              <w:top w:val="nil"/>
              <w:bottom w:val="nil"/>
            </w:tcBorders>
          </w:tcPr>
          <w:p w14:paraId="72514656"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4.</w:t>
            </w:r>
            <w:r>
              <w:rPr>
                <w:rFonts w:ascii="新細明體" w:eastAsia="新細明體" w:hAnsi="新細明體" w:cs="新細明體" w:hint="eastAsia"/>
              </w:rPr>
              <w:t>應依金管會1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4號令及公開發行公司資金貸與及背書保證處理準則辦理。</w:t>
            </w:r>
          </w:p>
        </w:tc>
        <w:tc>
          <w:tcPr>
            <w:tcW w:w="5387" w:type="dxa"/>
            <w:tcBorders>
              <w:top w:val="nil"/>
              <w:bottom w:val="nil"/>
            </w:tcBorders>
          </w:tcPr>
          <w:p w14:paraId="33043B44"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rPr>
              <w:t>應依金管會1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號令及公開發行公司資金貸與及背書保證處理準則辦理。</w:t>
            </w:r>
          </w:p>
        </w:tc>
        <w:tc>
          <w:tcPr>
            <w:tcW w:w="2023" w:type="dxa"/>
            <w:vMerge/>
            <w:tcBorders>
              <w:right w:val="single" w:sz="12" w:space="0" w:color="auto"/>
            </w:tcBorders>
          </w:tcPr>
          <w:p w14:paraId="44627A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088FC6" w14:textId="77777777">
        <w:tc>
          <w:tcPr>
            <w:tcW w:w="1384" w:type="dxa"/>
            <w:vMerge/>
            <w:tcBorders>
              <w:left w:val="single" w:sz="12" w:space="0" w:color="auto"/>
            </w:tcBorders>
          </w:tcPr>
          <w:p w14:paraId="4BE390B3" w14:textId="77777777" w:rsidR="003B3105" w:rsidRDefault="003B3105" w:rsidP="001E533B">
            <w:pPr>
              <w:rPr>
                <w:rFonts w:ascii="新細明體" w:eastAsia="新細明體" w:hAnsi="新細明體"/>
              </w:rPr>
            </w:pPr>
          </w:p>
        </w:tc>
        <w:tc>
          <w:tcPr>
            <w:tcW w:w="1276" w:type="dxa"/>
            <w:vMerge/>
          </w:tcPr>
          <w:p w14:paraId="7432F5BF" w14:textId="77777777" w:rsidR="003B3105" w:rsidRDefault="003B3105" w:rsidP="001E533B">
            <w:pPr>
              <w:rPr>
                <w:rFonts w:ascii="新細明體" w:eastAsia="新細明體" w:hAnsi="新細明體"/>
              </w:rPr>
            </w:pPr>
          </w:p>
        </w:tc>
        <w:tc>
          <w:tcPr>
            <w:tcW w:w="5386" w:type="dxa"/>
            <w:tcBorders>
              <w:top w:val="nil"/>
              <w:bottom w:val="nil"/>
            </w:tcBorders>
          </w:tcPr>
          <w:p w14:paraId="620A8E9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(五)公司是否未與證交所人員有投資借貸或保證關係。</w:t>
            </w:r>
          </w:p>
        </w:tc>
        <w:tc>
          <w:tcPr>
            <w:tcW w:w="5387" w:type="dxa"/>
            <w:tcBorders>
              <w:top w:val="nil"/>
              <w:bottom w:val="nil"/>
            </w:tcBorders>
          </w:tcPr>
          <w:p w14:paraId="4A0DB1A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(五)公司是否未與證交所人員有投資借貸或保證關係。</w:t>
            </w:r>
          </w:p>
        </w:tc>
        <w:tc>
          <w:tcPr>
            <w:tcW w:w="2023" w:type="dxa"/>
            <w:vMerge/>
            <w:tcBorders>
              <w:right w:val="single" w:sz="12" w:space="0" w:color="auto"/>
            </w:tcBorders>
          </w:tcPr>
          <w:p w14:paraId="0A64B8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B29A1B" w14:textId="77777777">
        <w:tc>
          <w:tcPr>
            <w:tcW w:w="1384" w:type="dxa"/>
            <w:vMerge/>
            <w:tcBorders>
              <w:left w:val="single" w:sz="12" w:space="0" w:color="auto"/>
            </w:tcBorders>
          </w:tcPr>
          <w:p w14:paraId="4480929E" w14:textId="77777777" w:rsidR="003B3105" w:rsidRDefault="003B3105" w:rsidP="001E533B">
            <w:pPr>
              <w:rPr>
                <w:rFonts w:ascii="新細明體" w:eastAsia="新細明體" w:hAnsi="新細明體"/>
              </w:rPr>
            </w:pPr>
          </w:p>
        </w:tc>
        <w:tc>
          <w:tcPr>
            <w:tcW w:w="1276" w:type="dxa"/>
            <w:vMerge/>
          </w:tcPr>
          <w:p w14:paraId="1385A2A0" w14:textId="77777777" w:rsidR="003B3105" w:rsidRDefault="003B3105" w:rsidP="001E533B">
            <w:pPr>
              <w:rPr>
                <w:rFonts w:ascii="新細明體" w:eastAsia="新細明體" w:hAnsi="新細明體"/>
              </w:rPr>
            </w:pPr>
          </w:p>
        </w:tc>
        <w:tc>
          <w:tcPr>
            <w:tcW w:w="5386" w:type="dxa"/>
            <w:tcBorders>
              <w:top w:val="nil"/>
              <w:bottom w:val="nil"/>
            </w:tcBorders>
          </w:tcPr>
          <w:p w14:paraId="08BC84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(六)公司（公開發行公司）辦理背書保證時：</w:t>
            </w:r>
          </w:p>
        </w:tc>
        <w:tc>
          <w:tcPr>
            <w:tcW w:w="5387" w:type="dxa"/>
            <w:tcBorders>
              <w:top w:val="nil"/>
              <w:bottom w:val="nil"/>
            </w:tcBorders>
          </w:tcPr>
          <w:p w14:paraId="4340956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(六)公司（公開發行公司）辦理背書保證時：</w:t>
            </w:r>
          </w:p>
        </w:tc>
        <w:tc>
          <w:tcPr>
            <w:tcW w:w="2023" w:type="dxa"/>
            <w:vMerge/>
            <w:tcBorders>
              <w:right w:val="single" w:sz="12" w:space="0" w:color="auto"/>
            </w:tcBorders>
          </w:tcPr>
          <w:p w14:paraId="1FB068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096D49" w14:textId="77777777">
        <w:tc>
          <w:tcPr>
            <w:tcW w:w="1384" w:type="dxa"/>
            <w:vMerge/>
            <w:tcBorders>
              <w:left w:val="single" w:sz="12" w:space="0" w:color="auto"/>
            </w:tcBorders>
          </w:tcPr>
          <w:p w14:paraId="57CED8C5" w14:textId="77777777" w:rsidR="003B3105" w:rsidRDefault="003B3105" w:rsidP="001E533B">
            <w:pPr>
              <w:rPr>
                <w:rFonts w:ascii="新細明體" w:eastAsia="新細明體" w:hAnsi="新細明體"/>
              </w:rPr>
            </w:pPr>
          </w:p>
        </w:tc>
        <w:tc>
          <w:tcPr>
            <w:tcW w:w="1276" w:type="dxa"/>
            <w:vMerge/>
          </w:tcPr>
          <w:p w14:paraId="355EEB0A" w14:textId="77777777" w:rsidR="003B3105" w:rsidRDefault="003B3105" w:rsidP="001E533B">
            <w:pPr>
              <w:rPr>
                <w:rFonts w:ascii="新細明體" w:eastAsia="新細明體" w:hAnsi="新細明體"/>
              </w:rPr>
            </w:pPr>
          </w:p>
        </w:tc>
        <w:tc>
          <w:tcPr>
            <w:tcW w:w="5386" w:type="dxa"/>
            <w:tcBorders>
              <w:top w:val="nil"/>
              <w:bottom w:val="nil"/>
            </w:tcBorders>
          </w:tcPr>
          <w:p w14:paraId="156BA0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訂定背書保證作業程序，經董事會通過後，送各監察人並提報股東會同意，如有董事表示異議且有紀錄或書面聲明者，公司是否將其異議併送各監察人及提報股東會討論，修正時亦同。已設置獨立董事者，將背書保證作業程序提報董事會討論時，是否充分考量各獨立董事之意見，並將其同意或反對之明確意見及反對之理由列入董事會紀錄。</w:t>
            </w:r>
          </w:p>
        </w:tc>
        <w:tc>
          <w:tcPr>
            <w:tcW w:w="5387" w:type="dxa"/>
            <w:tcBorders>
              <w:top w:val="nil"/>
              <w:bottom w:val="nil"/>
            </w:tcBorders>
          </w:tcPr>
          <w:p w14:paraId="5CFBD4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訂定背書保證作業程序，經董事會通過後，送各監察人並提報股東會同意，如有董事表示異議且有紀錄或書面聲明者，公司是否將其異議併送各監察人及提報股東會討論，修正時亦同。已設置獨立董事者，將背書保證作業程序提報董事會討論時，是否充分考量各獨立董事之意見，並將其同意或反對之明確意見及反對之理由列入董事會紀錄。</w:t>
            </w:r>
          </w:p>
        </w:tc>
        <w:tc>
          <w:tcPr>
            <w:tcW w:w="2023" w:type="dxa"/>
            <w:vMerge/>
            <w:tcBorders>
              <w:right w:val="single" w:sz="12" w:space="0" w:color="auto"/>
            </w:tcBorders>
          </w:tcPr>
          <w:p w14:paraId="4422C5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4E741B" w14:textId="77777777">
        <w:tc>
          <w:tcPr>
            <w:tcW w:w="1384" w:type="dxa"/>
            <w:vMerge/>
            <w:tcBorders>
              <w:left w:val="single" w:sz="12" w:space="0" w:color="auto"/>
            </w:tcBorders>
          </w:tcPr>
          <w:p w14:paraId="55B239C6" w14:textId="77777777" w:rsidR="003B3105" w:rsidRDefault="003B3105" w:rsidP="001E533B">
            <w:pPr>
              <w:rPr>
                <w:rFonts w:ascii="新細明體" w:eastAsia="新細明體" w:hAnsi="新細明體"/>
              </w:rPr>
            </w:pPr>
          </w:p>
        </w:tc>
        <w:tc>
          <w:tcPr>
            <w:tcW w:w="1276" w:type="dxa"/>
            <w:vMerge/>
          </w:tcPr>
          <w:p w14:paraId="315F39DF" w14:textId="77777777" w:rsidR="003B3105" w:rsidRDefault="003B3105" w:rsidP="001E533B">
            <w:pPr>
              <w:rPr>
                <w:rFonts w:ascii="新細明體" w:eastAsia="新細明體" w:hAnsi="新細明體"/>
              </w:rPr>
            </w:pPr>
          </w:p>
        </w:tc>
        <w:tc>
          <w:tcPr>
            <w:tcW w:w="5386" w:type="dxa"/>
            <w:tcBorders>
              <w:top w:val="nil"/>
              <w:bottom w:val="nil"/>
            </w:tcBorders>
          </w:tcPr>
          <w:p w14:paraId="2D3BEA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2.背書保證作業程序之項目是否符合公開發行公司資金貸與及背書保證處理準則第十二條之規定。</w:t>
            </w:r>
          </w:p>
        </w:tc>
        <w:tc>
          <w:tcPr>
            <w:tcW w:w="5387" w:type="dxa"/>
            <w:tcBorders>
              <w:top w:val="nil"/>
              <w:bottom w:val="nil"/>
            </w:tcBorders>
          </w:tcPr>
          <w:p w14:paraId="6EAB2B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2.背書保證作業程序之項目是否符合公開發行公司資金貸與及背書保證處理準則第十二條之規定。</w:t>
            </w:r>
          </w:p>
        </w:tc>
        <w:tc>
          <w:tcPr>
            <w:tcW w:w="2023" w:type="dxa"/>
            <w:vMerge/>
            <w:tcBorders>
              <w:right w:val="single" w:sz="12" w:space="0" w:color="auto"/>
            </w:tcBorders>
          </w:tcPr>
          <w:p w14:paraId="37BE87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0B38B6" w14:textId="77777777">
        <w:tc>
          <w:tcPr>
            <w:tcW w:w="1384" w:type="dxa"/>
            <w:vMerge/>
            <w:tcBorders>
              <w:left w:val="single" w:sz="12" w:space="0" w:color="auto"/>
            </w:tcBorders>
          </w:tcPr>
          <w:p w14:paraId="13C8E682" w14:textId="77777777" w:rsidR="003B3105" w:rsidRDefault="003B3105" w:rsidP="001E533B">
            <w:pPr>
              <w:rPr>
                <w:rFonts w:ascii="新細明體" w:eastAsia="新細明體" w:hAnsi="新細明體"/>
              </w:rPr>
            </w:pPr>
          </w:p>
        </w:tc>
        <w:tc>
          <w:tcPr>
            <w:tcW w:w="1276" w:type="dxa"/>
            <w:vMerge/>
          </w:tcPr>
          <w:p w14:paraId="1D3FD3A2" w14:textId="77777777" w:rsidR="003B3105" w:rsidRDefault="003B3105" w:rsidP="001E533B">
            <w:pPr>
              <w:rPr>
                <w:rFonts w:ascii="新細明體" w:eastAsia="新細明體" w:hAnsi="新細明體"/>
              </w:rPr>
            </w:pPr>
          </w:p>
        </w:tc>
        <w:tc>
          <w:tcPr>
            <w:tcW w:w="5386" w:type="dxa"/>
            <w:tcBorders>
              <w:top w:val="nil"/>
              <w:bottom w:val="nil"/>
            </w:tcBorders>
          </w:tcPr>
          <w:p w14:paraId="34A6AF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3.是否於每月十日前公告申報公司及子公司上月份背書保證餘額。</w:t>
            </w:r>
          </w:p>
        </w:tc>
        <w:tc>
          <w:tcPr>
            <w:tcW w:w="5387" w:type="dxa"/>
            <w:tcBorders>
              <w:top w:val="nil"/>
              <w:bottom w:val="nil"/>
            </w:tcBorders>
          </w:tcPr>
          <w:p w14:paraId="79A72C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3.是否於每月十日前公告申報公司及子公司上月份背書保證餘額。</w:t>
            </w:r>
          </w:p>
        </w:tc>
        <w:tc>
          <w:tcPr>
            <w:tcW w:w="2023" w:type="dxa"/>
            <w:vMerge/>
            <w:tcBorders>
              <w:right w:val="single" w:sz="12" w:space="0" w:color="auto"/>
            </w:tcBorders>
          </w:tcPr>
          <w:p w14:paraId="1D6C692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5070DA" w14:textId="77777777">
        <w:tc>
          <w:tcPr>
            <w:tcW w:w="1384" w:type="dxa"/>
            <w:vMerge/>
            <w:tcBorders>
              <w:left w:val="single" w:sz="12" w:space="0" w:color="auto"/>
            </w:tcBorders>
          </w:tcPr>
          <w:p w14:paraId="408B90C2" w14:textId="77777777" w:rsidR="003B3105" w:rsidRDefault="003B3105" w:rsidP="001E533B">
            <w:pPr>
              <w:rPr>
                <w:rFonts w:ascii="新細明體" w:eastAsia="新細明體" w:hAnsi="新細明體"/>
              </w:rPr>
            </w:pPr>
          </w:p>
        </w:tc>
        <w:tc>
          <w:tcPr>
            <w:tcW w:w="1276" w:type="dxa"/>
            <w:vMerge/>
          </w:tcPr>
          <w:p w14:paraId="453D38DE" w14:textId="77777777" w:rsidR="003B3105" w:rsidRDefault="003B3105" w:rsidP="001E533B">
            <w:pPr>
              <w:rPr>
                <w:rFonts w:ascii="新細明體" w:eastAsia="新細明體" w:hAnsi="新細明體"/>
              </w:rPr>
            </w:pPr>
          </w:p>
        </w:tc>
        <w:tc>
          <w:tcPr>
            <w:tcW w:w="5386" w:type="dxa"/>
            <w:tcBorders>
              <w:top w:val="nil"/>
              <w:bottom w:val="nil"/>
            </w:tcBorders>
          </w:tcPr>
          <w:p w14:paraId="58BB87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4.背書保證餘額達公開發行公司資金貸與及背書保證處理準則第二十五條標準之一者，是否於事實發生之日起二日內公告申報。</w:t>
            </w:r>
          </w:p>
        </w:tc>
        <w:tc>
          <w:tcPr>
            <w:tcW w:w="5387" w:type="dxa"/>
            <w:tcBorders>
              <w:top w:val="nil"/>
              <w:bottom w:val="nil"/>
            </w:tcBorders>
          </w:tcPr>
          <w:p w14:paraId="2D38AE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4.背書保證餘額達公開發行公司資金貸與及背書保證處理準則第二十五條標準之一者，是否於事實發生之日起二日內公告申報。</w:t>
            </w:r>
          </w:p>
        </w:tc>
        <w:tc>
          <w:tcPr>
            <w:tcW w:w="2023" w:type="dxa"/>
            <w:vMerge/>
            <w:tcBorders>
              <w:right w:val="single" w:sz="12" w:space="0" w:color="auto"/>
            </w:tcBorders>
          </w:tcPr>
          <w:p w14:paraId="728B47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5.上述公告申報是否輸入主管機關指定之資訊申報網站。</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5.上述公告申報是否輸入主管機關指定之資訊申報網站。</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0BF6D" w14:textId="77777777" w:rsidR="00D0105C" w:rsidRDefault="00D0105C" w:rsidP="00E87601">
      <w:pPr>
        <w:spacing w:line="240" w:lineRule="auto"/>
      </w:pPr>
      <w:r>
        <w:separator/>
      </w:r>
    </w:p>
  </w:endnote>
  <w:endnote w:type="continuationSeparator" w:id="0">
    <w:p w14:paraId="153695D2" w14:textId="77777777" w:rsidR="00D0105C" w:rsidRDefault="00D0105C"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C087" w14:textId="77777777" w:rsidR="00D0105C" w:rsidRDefault="00D0105C" w:rsidP="00E87601">
      <w:pPr>
        <w:spacing w:line="240" w:lineRule="auto"/>
      </w:pPr>
      <w:r>
        <w:separator/>
      </w:r>
    </w:p>
  </w:footnote>
  <w:footnote w:type="continuationSeparator" w:id="0">
    <w:p w14:paraId="3606EDE2" w14:textId="77777777" w:rsidR="00D0105C" w:rsidRDefault="00D0105C"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A7C84"/>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BF57BE"/>
    <w:rsid w:val="00C26683"/>
    <w:rsid w:val="00C34F36"/>
    <w:rsid w:val="00C43033"/>
    <w:rsid w:val="00C6790C"/>
    <w:rsid w:val="00C85E8F"/>
    <w:rsid w:val="00C904D3"/>
    <w:rsid w:val="00CA515A"/>
    <w:rsid w:val="00CC593E"/>
    <w:rsid w:val="00CD0699"/>
    <w:rsid w:val="00CE4D28"/>
    <w:rsid w:val="00CE53D7"/>
    <w:rsid w:val="00CE74B4"/>
    <w:rsid w:val="00D0105C"/>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356</Words>
  <Characters>2032</Characters>
  <Application>Microsoft Office Word</Application>
  <DocSecurity>0</DocSecurity>
  <Lines>16</Lines>
  <Paragraphs>4</Paragraphs>
  <ScaleCrop>false</ScaleCrop>
  <Company>Hewlett-Packard Company</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2026-05-19T03:07:00Z</dcterms:modified>
</cp:coreProperties>
</file>