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53"/>
        <w:gridCol w:w="4853"/>
        <w:gridCol w:w="4854"/>
      </w:tblGrid>
      <w:tr w:rsidR="00206453" w:rsidTr="00206453" w14:paraId="694C955B" w14:textId="77777777">
        <w:tc>
          <w:tcPr>
            <w:tcW w:w="4853" w:type="dxa"/>
          </w:tcPr>
          <w:p w:rsidR="00206453" w:rsidP="00A3347B" w:rsidRDefault="00206453" w14:paraId="57392695" w14:textId="77777777">
            <w:pPr>
              <w:spacing w:line="300" w:lineRule="auto"/>
              <w:jc w:val="center"/>
              <w:rPr>
                <w:rFonts w:ascii="新細明體" w:hAnsi="新細明體"/>
                <w:color w:val="000000" w:themeColor="text1"/>
                <w:spacing w:val="24"/>
              </w:rPr>
            </w:pPr>
          </w:p>
        </w:tc>
        <w:tc>
          <w:tcPr>
            <w:tcW w:w="4853" w:type="dxa"/>
          </w:tcPr>
          <w:p w:rsidR="00206453" w:rsidP="00A3347B" w:rsidRDefault="00206453" w14:paraId="4689FB71" w14:textId="3D8939C9">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name="Std_Type2" w:id="0"/>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rsidR="00206453" w:rsidP="00A3347B" w:rsidRDefault="00206453" w14:paraId="36800BAC" w14:textId="77777777">
            <w:pPr>
              <w:spacing w:line="300" w:lineRule="auto"/>
              <w:jc w:val="center"/>
              <w:rPr>
                <w:rFonts w:ascii="新細明體" w:hAnsi="新細明體"/>
                <w:color w:val="000000" w:themeColor="text1"/>
                <w:spacing w:val="24"/>
              </w:rPr>
            </w:pPr>
          </w:p>
        </w:tc>
      </w:tr>
      <w:tr w:rsidR="00206453" w:rsidTr="00206453" w14:paraId="564CE262" w14:textId="77777777">
        <w:tc>
          <w:tcPr>
            <w:tcW w:w="4853" w:type="dxa"/>
          </w:tcPr>
          <w:p w:rsidR="00206453" w:rsidP="00A3347B" w:rsidRDefault="00206453" w14:paraId="3A0AB606" w14:textId="77777777">
            <w:pPr>
              <w:spacing w:line="300" w:lineRule="auto"/>
              <w:jc w:val="center"/>
              <w:rPr>
                <w:rFonts w:ascii="新細明體" w:hAnsi="新細明體"/>
                <w:color w:val="000000" w:themeColor="text1"/>
                <w:spacing w:val="24"/>
              </w:rPr>
            </w:pPr>
          </w:p>
        </w:tc>
        <w:tc>
          <w:tcPr>
            <w:tcW w:w="4853" w:type="dxa"/>
          </w:tcPr>
          <w:p w:rsidRPr="00206453" w:rsidR="00206453" w:rsidP="00206453" w:rsidRDefault="00206453" w14:paraId="47F5E895" w14:textId="2AD7B4BC">
            <w:pPr>
              <w:spacing w:line="400" w:lineRule="exact"/>
              <w:jc w:val="center"/>
              <w:rPr>
                <w:rFonts w:ascii="新細明體" w:hAnsi="新細明體"/>
                <w:color w:val="000000" w:themeColor="text1"/>
                <w:spacing w:val="24"/>
                <w:u w:val="single"/>
              </w:rPr>
            </w:pPr>
            <w:r>
              <w:rPr>
                <w:rFonts w:hint="eastAsia" w:ascii="新細明體" w:hAnsi="新細明體"/>
                <w:color w:val="000000" w:themeColor="text1"/>
              </w:rPr>
              <w:t>融資循環：保證作業</w:t>
            </w:r>
            <w:r>
              <w:rPr>
                <w:rFonts w:hint="eastAsia" w:ascii="新細明體" w:hAnsi="新細明體"/>
                <w:color w:val="000000" w:themeColor="text1"/>
              </w:rPr>
              <w:t xml:space="preserve"> </w:t>
            </w:r>
          </w:p>
        </w:tc>
        <w:tc>
          <w:tcPr>
            <w:tcW w:w="4854" w:type="dxa"/>
          </w:tcPr>
          <w:p w:rsidR="00206453" w:rsidP="00A3347B" w:rsidRDefault="00206453" w14:paraId="3FE88541" w14:textId="77777777">
            <w:pPr>
              <w:spacing w:line="300" w:lineRule="auto"/>
              <w:jc w:val="center"/>
              <w:rPr>
                <w:rFonts w:ascii="新細明體" w:hAnsi="新細明體"/>
                <w:color w:val="000000" w:themeColor="text1"/>
                <w:spacing w:val="24"/>
              </w:rPr>
            </w:pPr>
          </w:p>
        </w:tc>
      </w:tr>
      <w:tr w:rsidR="00206453" w:rsidTr="00206453" w14:paraId="16409C84" w14:textId="77777777">
        <w:tc>
          <w:tcPr>
            <w:tcW w:w="4853" w:type="dxa"/>
          </w:tcPr>
          <w:p w:rsidR="00206453" w:rsidP="00206453" w:rsidRDefault="00206453" w14:paraId="5E95A649" w14:textId="4620D06F">
            <w:pPr>
              <w:spacing w:line="300" w:lineRule="auto"/>
              <w:rPr>
                <w:rFonts w:ascii="新細明體" w:hAnsi="新細明體"/>
                <w:color w:val="000000" w:themeColor="text1"/>
                <w:spacing w:val="24"/>
              </w:rPr>
            </w:pPr>
            <w:r>
              <w:rPr>
                <w:rFonts w:hint="eastAsia" w:ascii="新細明體" w:hAnsi="新細明體"/>
                <w:color w:val="000000" w:themeColor="text1"/>
                <w:spacing w:val="24"/>
              </w:rPr>
              <w:t>作業週期：（每季至少查核乙次）</w:t>
            </w:r>
          </w:p>
        </w:tc>
        <w:tc>
          <w:tcPr>
            <w:tcW w:w="4853" w:type="dxa"/>
          </w:tcPr>
          <w:p w:rsidR="00206453" w:rsidP="00A3347B" w:rsidRDefault="00206453" w14:paraId="2E1932CF" w14:textId="5E498ACA">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rsidR="00206453" w:rsidP="00A3347B" w:rsidRDefault="00206453" w14:paraId="17BF0572" w14:textId="77777777">
            <w:pPr>
              <w:spacing w:line="300" w:lineRule="auto"/>
              <w:jc w:val="center"/>
              <w:rPr>
                <w:rFonts w:ascii="新細明體" w:hAnsi="新細明體"/>
                <w:color w:val="000000" w:themeColor="text1"/>
                <w:spacing w:val="24"/>
              </w:rPr>
            </w:pPr>
          </w:p>
        </w:tc>
      </w:tr>
    </w:tbl>
    <w:tbl>
      <w:tblPr>
        <w:tblW w:w="1505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Pr="00367148" w:rsidR="00367148" w:rsidTr="00B77A59" w14:paraId="5902679F" w14:textId="77777777">
        <w:trPr>
          <w:cantSplit/>
          <w:trHeight w:val="522" w:hRule="exact"/>
          <w:tblHeader/>
        </w:trPr>
        <w:tc>
          <w:tcPr>
            <w:tcW w:w="1985" w:type="dxa"/>
            <w:vMerge w:val="restart"/>
            <w:tcBorders>
              <w:top w:val="single" w:color="auto" w:sz="12" w:space="0"/>
              <w:left w:val="single" w:color="auto" w:sz="12" w:space="0"/>
            </w:tcBorders>
            <w:vAlign w:val="center"/>
          </w:tcPr>
          <w:p w:rsidRPr="00367148" w:rsidR="00A1667A" w:rsidP="00647C22" w:rsidRDefault="00A1667A" w14:paraId="6B52C5CD"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rPr>
              <w:t>項</w:t>
            </w:r>
            <w:r w:rsidRPr="00367148">
              <w:rPr>
                <w:rFonts w:ascii="新細明體" w:hAnsi="新細明體"/>
                <w:color w:val="000000" w:themeColor="text1"/>
              </w:rPr>
              <w:t xml:space="preserve">     </w:t>
            </w:r>
            <w:r w:rsidRPr="00367148">
              <w:rPr>
                <w:rFonts w:hint="eastAsia" w:ascii="新細明體" w:hAnsi="新細明體"/>
                <w:color w:val="000000" w:themeColor="text1"/>
              </w:rPr>
              <w:t>目</w:t>
            </w:r>
          </w:p>
        </w:tc>
        <w:tc>
          <w:tcPr>
            <w:tcW w:w="9383" w:type="dxa"/>
            <w:vMerge w:val="restart"/>
            <w:tcBorders>
              <w:top w:val="single" w:color="auto" w:sz="12" w:space="0"/>
            </w:tcBorders>
            <w:vAlign w:val="center"/>
          </w:tcPr>
          <w:p w:rsidRPr="00367148" w:rsidR="00A1667A" w:rsidP="00647C22" w:rsidRDefault="00A1667A" w14:paraId="617B3D63"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rPr>
              <w:t>查</w:t>
            </w:r>
            <w:r w:rsidRPr="00367148">
              <w:rPr>
                <w:rFonts w:ascii="新細明體" w:hAnsi="新細明體"/>
                <w:color w:val="000000" w:themeColor="text1"/>
              </w:rPr>
              <w:t xml:space="preserve">          </w:t>
            </w:r>
            <w:r w:rsidRPr="00367148">
              <w:rPr>
                <w:rFonts w:hint="eastAsia" w:ascii="新細明體" w:hAnsi="新細明體"/>
                <w:color w:val="000000" w:themeColor="text1"/>
              </w:rPr>
              <w:t>核</w:t>
            </w:r>
            <w:r w:rsidRPr="00367148">
              <w:rPr>
                <w:rFonts w:ascii="新細明體" w:hAnsi="新細明體"/>
                <w:color w:val="000000" w:themeColor="text1"/>
              </w:rPr>
              <w:t xml:space="preserve">          </w:t>
            </w:r>
            <w:r w:rsidRPr="00367148">
              <w:rPr>
                <w:rFonts w:hint="eastAsia" w:ascii="新細明體" w:hAnsi="新細明體"/>
                <w:color w:val="000000" w:themeColor="text1"/>
              </w:rPr>
              <w:t>程</w:t>
            </w:r>
            <w:r w:rsidRPr="00367148">
              <w:rPr>
                <w:rFonts w:ascii="新細明體" w:hAnsi="新細明體"/>
                <w:color w:val="000000" w:themeColor="text1"/>
              </w:rPr>
              <w:t xml:space="preserve">          </w:t>
            </w:r>
            <w:r w:rsidRPr="00367148">
              <w:rPr>
                <w:rFonts w:hint="eastAsia" w:ascii="新細明體" w:hAnsi="新細明體"/>
                <w:color w:val="000000" w:themeColor="text1"/>
              </w:rPr>
              <w:t>序</w:t>
            </w:r>
          </w:p>
        </w:tc>
        <w:tc>
          <w:tcPr>
            <w:tcW w:w="2410" w:type="dxa"/>
            <w:gridSpan w:val="3"/>
            <w:tcBorders>
              <w:top w:val="single" w:color="auto" w:sz="12" w:space="0"/>
            </w:tcBorders>
            <w:vAlign w:val="center"/>
          </w:tcPr>
          <w:p w:rsidRPr="00367148" w:rsidR="00A1667A" w:rsidP="008600C2" w:rsidRDefault="00A1667A" w14:paraId="4FEED8CE" w14:textId="77777777">
            <w:pPr>
              <w:spacing w:line="280" w:lineRule="exact"/>
              <w:jc w:val="center"/>
              <w:rPr>
                <w:rFonts w:ascii="新細明體" w:hAnsi="新細明體"/>
                <w:color w:val="000000" w:themeColor="text1"/>
                <w:spacing w:val="60"/>
                <w:sz w:val="18"/>
                <w:szCs w:val="18"/>
              </w:rPr>
            </w:pPr>
            <w:r w:rsidRPr="00367148">
              <w:rPr>
                <w:rFonts w:hint="eastAsia" w:ascii="新細明體" w:hAnsi="新細明體"/>
                <w:color w:val="000000" w:themeColor="text1"/>
                <w:spacing w:val="60"/>
                <w:sz w:val="18"/>
                <w:szCs w:val="18"/>
              </w:rPr>
              <w:t>查核結果</w:t>
            </w:r>
          </w:p>
        </w:tc>
        <w:tc>
          <w:tcPr>
            <w:tcW w:w="1276" w:type="dxa"/>
            <w:vMerge w:val="restart"/>
            <w:tcBorders>
              <w:top w:val="single" w:color="auto" w:sz="12" w:space="0"/>
              <w:right w:val="single" w:color="auto" w:sz="12" w:space="0"/>
            </w:tcBorders>
            <w:vAlign w:val="center"/>
          </w:tcPr>
          <w:p w:rsidRPr="00367148" w:rsidR="007A0E65" w:rsidP="005E3DFF" w:rsidRDefault="00A1667A" w14:paraId="19002883" w14:textId="77777777">
            <w:pPr>
              <w:spacing w:line="320" w:lineRule="atLeast"/>
              <w:jc w:val="center"/>
              <w:rPr>
                <w:rFonts w:ascii="新細明體" w:hAnsi="新細明體"/>
                <w:color w:val="000000" w:themeColor="text1"/>
                <w:spacing w:val="60"/>
              </w:rPr>
            </w:pPr>
            <w:r w:rsidRPr="00367148">
              <w:rPr>
                <w:rFonts w:hint="eastAsia" w:ascii="新細明體" w:hAnsi="新細明體"/>
                <w:color w:val="000000" w:themeColor="text1"/>
                <w:spacing w:val="60"/>
              </w:rPr>
              <w:t>底稿</w:t>
            </w:r>
          </w:p>
          <w:p w:rsidRPr="00367148" w:rsidR="00A1667A" w:rsidP="005E3DFF" w:rsidRDefault="00A1667A" w14:paraId="361EDC9E"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spacing w:val="60"/>
              </w:rPr>
              <w:t>索引</w:t>
            </w:r>
          </w:p>
        </w:tc>
      </w:tr>
      <w:tr w:rsidRPr="00367148" w:rsidR="00367148" w:rsidTr="00B77A59" w14:paraId="5D022886" w14:textId="77777777">
        <w:trPr>
          <w:cantSplit/>
          <w:trHeight w:val="402" w:hRule="exact"/>
          <w:tblHeader/>
        </w:trPr>
        <w:tc>
          <w:tcPr>
            <w:tcW w:w="1985" w:type="dxa"/>
            <w:vMerge/>
            <w:tcBorders>
              <w:left w:val="single" w:color="auto" w:sz="12" w:space="0"/>
            </w:tcBorders>
          </w:tcPr>
          <w:p w:rsidRPr="00367148" w:rsidR="00A1667A" w:rsidP="00647C22" w:rsidRDefault="00A1667A" w14:paraId="4C4E30E1" w14:textId="77777777">
            <w:pPr>
              <w:rPr>
                <w:rFonts w:ascii="新細明體" w:hAnsi="新細明體"/>
                <w:color w:val="000000" w:themeColor="text1"/>
              </w:rPr>
            </w:pPr>
          </w:p>
        </w:tc>
        <w:tc>
          <w:tcPr>
            <w:tcW w:w="9383" w:type="dxa"/>
            <w:vMerge/>
          </w:tcPr>
          <w:p w:rsidRPr="00367148" w:rsidR="00A1667A" w:rsidP="00647C22" w:rsidRDefault="00A1667A" w14:paraId="6EB5F3B7" w14:textId="77777777">
            <w:pPr>
              <w:rPr>
                <w:rFonts w:ascii="新細明體" w:hAnsi="新細明體"/>
                <w:color w:val="000000" w:themeColor="text1"/>
              </w:rPr>
            </w:pPr>
          </w:p>
        </w:tc>
        <w:tc>
          <w:tcPr>
            <w:tcW w:w="851" w:type="dxa"/>
          </w:tcPr>
          <w:p w:rsidRPr="00367148" w:rsidR="00A1667A" w:rsidP="008600C2" w:rsidRDefault="00A1667A" w14:paraId="5553945D"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是</w:t>
            </w:r>
          </w:p>
        </w:tc>
        <w:tc>
          <w:tcPr>
            <w:tcW w:w="850" w:type="dxa"/>
          </w:tcPr>
          <w:p w:rsidRPr="00367148" w:rsidR="00A1667A" w:rsidP="008600C2" w:rsidRDefault="00A1667A" w14:paraId="026F8862"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否</w:t>
            </w:r>
          </w:p>
        </w:tc>
        <w:tc>
          <w:tcPr>
            <w:tcW w:w="709" w:type="dxa"/>
          </w:tcPr>
          <w:p w:rsidRPr="00367148" w:rsidR="00A1667A" w:rsidP="008600C2" w:rsidRDefault="00A1667A" w14:paraId="0BCFCDDA"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不適用</w:t>
            </w:r>
          </w:p>
        </w:tc>
        <w:tc>
          <w:tcPr>
            <w:tcW w:w="1276" w:type="dxa"/>
            <w:vMerge/>
            <w:tcBorders>
              <w:right w:val="single" w:color="auto" w:sz="12" w:space="0"/>
            </w:tcBorders>
          </w:tcPr>
          <w:p w:rsidRPr="00367148" w:rsidR="00A1667A" w:rsidP="00647C22" w:rsidRDefault="00A1667A" w14:paraId="3E18EB28" w14:textId="77777777">
            <w:pPr>
              <w:rPr>
                <w:rFonts w:ascii="新細明體" w:hAnsi="新細明體"/>
                <w:color w:val="000000" w:themeColor="text1"/>
              </w:rPr>
            </w:pPr>
          </w:p>
        </w:tc>
      </w:tr>
      <w:tr w:rsidRPr="00367148" w:rsidR="00367148" w:rsidTr="00260A68" w14:paraId="025A2303" w14:textId="77777777">
        <w:trPr>
          <w:trHeight w:val="489"/>
        </w:trPr>
        <w:tc>
          <w:tcPr>
            <w:tcW w:w="1985" w:type="dxa"/>
            <w:tcBorders>
              <w:left w:val="single" w:color="auto" w:sz="12" w:space="0"/>
            </w:tcBorders>
          </w:tcPr>
          <w:p w:rsidRPr="00367148" w:rsidR="00A1667A" w:rsidP="00A76D09" w:rsidRDefault="00B77A59" w14:paraId="36D986C7" w14:textId="2E9F0700">
            <w:pPr>
              <w:spacing w:line="420" w:lineRule="exact"/>
              <w:jc w:val="both"/>
              <w:rPr>
                <w:rFonts w:ascii="新細明體" w:hAnsi="新細明體"/>
                <w:color w:val="000000" w:themeColor="text1"/>
              </w:rPr>
            </w:pPr>
            <w:r>
              <w:rPr>
                <w:rFonts w:hint="eastAsia" w:ascii="新細明體" w:hAnsi="新細明體"/>
                <w:color w:val="000000" w:themeColor="text1"/>
                <w:spacing w:val="12"/>
              </w:rPr>
              <w:t>(FR-14000-Q)</w:t>
            </w:r>
          </w:p>
          <w:p w:rsidRPr="00367148" w:rsidR="00A1667A" w:rsidP="00A76D09" w:rsidRDefault="00B77A59" w14:paraId="36D986C7" w14:textId="2E9F0700">
            <w:pPr>
              <w:spacing w:line="420" w:lineRule="exact"/>
              <w:jc w:val="both"/>
              <w:rPr>
                <w:rFonts w:ascii="新細明體" w:hAnsi="新細明體"/>
                <w:color w:val="000000" w:themeColor="text1"/>
              </w:rPr>
            </w:pPr>
            <w:r>
              <w:rPr>
                <w:rFonts w:hint="eastAsia" w:ascii="新細明體" w:hAnsi="新細明體"/>
                <w:color w:val="000000" w:themeColor="text1"/>
                <w:spacing w:val="12"/>
              </w:rPr>
              <w:t>保證作業</w:t>
            </w:r>
          </w:p>
        </w:tc>
        <w:tc>
          <w:tcPr>
            <w:tcW w:w="9383" w:type="dxa"/>
          </w:tcPr>
          <w:p>
            <w:pPr>
              <w:ind w:hangingChars="187"/>
            </w:pPr>
            <w:r>
              <w:rPr/>
              <w:t>一、公司是否為直接或間接持有已發行有表決權之股份超過百分之五十之海外子公司因下列需要，為保證人、票據轉讓之背書或提供財產供設定擔保：</w:t>
            </w:r>
          </w:p>
          <w:p>
            <w:pPr>
              <w:ind w:leftChars="99" w:hangingChars="167"/>
            </w:pPr>
            <w:r>
              <w:rPr/>
              <w:t>(一)辦理證券承銷業務之需要。</w:t>
            </w:r>
          </w:p>
          <w:p>
            <w:pPr>
              <w:ind w:leftChars="99" w:hangingChars="167"/>
            </w:pPr>
            <w:r>
              <w:rPr/>
              <w:t>(二)於海外發行認購（售）權證。</w:t>
            </w:r>
          </w:p>
          <w:p>
            <w:pPr>
              <w:ind w:leftChars="99" w:hangingChars="167"/>
            </w:pPr>
            <w:r>
              <w:rPr/>
              <w:t>(三)因擔任境外型商品發行機構或保證機構，依境外結構型商品管理規則於境內銷售，且由其國內母公司擔任總代理人者。</w:t>
            </w:r>
          </w:p>
          <w:p>
            <w:pPr>
              <w:ind w:leftChars="99" w:hangingChars="167"/>
            </w:pPr>
            <w:r>
              <w:rPr/>
              <w:t>(四)因發行境外結構型商品，透過證券商或銀行於中華民國境內銷售予各業務法令所定之高資產客戶，且由國內母公司擔任境內代理人者。</w:t>
            </w:r>
          </w:p>
          <w:p>
            <w:pPr>
              <w:ind w:leftChars="99" w:hangingChars="167"/>
            </w:pPr>
            <w:r>
              <w:rPr/>
              <w:t>(五)發行公司債之需要。</w:t>
            </w:r>
          </w:p>
          <w:p>
            <w:pPr>
              <w:ind w:leftChars="99" w:hangingChars="167"/>
            </w:pPr>
            <w:r>
              <w:rPr/>
              <w:t>(六)因業務需要而於當地金融機構融資。</w:t>
            </w:r>
          </w:p>
          <w:p>
            <w:pPr>
              <w:ind w:hangingChars="187"/>
            </w:pPr>
            <w:r>
              <w:rPr/>
              <w:t>二、公司辦理背書保證時：</w:t>
            </w:r>
          </w:p>
          <w:p>
            <w:pPr>
              <w:ind w:leftChars="99" w:hangingChars="167"/>
            </w:pPr>
            <w:r>
              <w:rPr/>
              <w:t>(一)是否訂定背書保證作業程序，經董事會通過後，送各監察人並提報股東會同意，如有董事表示異議且有紀錄或書面聲明者，公司是否將其異議併送各監察人及提報股東會討論，修正時亦同。已設置獨立董事者，將背書保證作業程序提報董事會討論時，是否充分考量各獨立董事之意見，並將其同意或反對之明確意見及反對之理由列入董事會紀錄。</w:t>
            </w:r>
          </w:p>
          <w:p>
            <w:pPr>
              <w:ind w:leftChars="99" w:hangingChars="167"/>
            </w:pPr>
            <w:r>
              <w:rPr/>
              <w:t>(二)依前述(四)規定為未受海外金融監督管理機關監理之海外子公司背書保證及辦理前述(五)、(六)之背書保證是否先經金管會核准，且對單一海外子公司辦理前述(五)、(六)之背書保證金額合計是否未超過公司淨值之百分之五（但經專案核准者，不在此限）。</w:t>
            </w:r>
          </w:p>
          <w:p>
            <w:pPr>
              <w:ind w:leftChars="99" w:hangingChars="167"/>
            </w:pPr>
            <w:r>
              <w:rPr/>
              <w:t>(三)依前述(三)、(四)規定為其海外子公司背書保證，是否設立商品審查小組審查境外結構型商品，並就商品審查小組之組成及運作訂定相關內部控制制度。</w:t>
            </w:r>
          </w:p>
          <w:p>
            <w:pPr>
              <w:ind w:leftChars="99" w:hangingChars="167"/>
            </w:pPr>
            <w:r>
              <w:rPr>
                <w:u w:val="single"/>
                <w:color w:val="FF0000 "/>
              </w:rPr>
              <w:t>(四)公司是否為外國金融控股公司、外國銀行、外國證券商或外國保險公司直接或間接持有已發行有表決權之股份超過百分之五十之國內子公司，並經主管機關核准設立，因外國母公司擔任境外結構型商品發行機構或保證機構，依境外結構型商品管理規則或依契約於中華民國境內銷售，且由公司擔任總代理人者，始由公司就外國母公司所負境外結構型商品之義務負連帶責任。</w:t>
            </w:r>
          </w:p>
          <w:p>
            <w:pPr>
              <w:ind w:leftChars="99" w:hangingChars="167"/>
            </w:pPr>
            <w:r>
              <w:rPr/>
              <w:t>(五)保證事項是否載於備查紀錄簿。</w:t>
            </w:r>
          </w:p>
          <w:p>
            <w:pPr>
              <w:ind w:leftChars="99" w:hangingChars="167"/>
            </w:pPr>
            <w:r>
              <w:rPr/>
              <w:t>(六)期限屆滿之保證案件是否註銷。</w:t>
            </w:r>
          </w:p>
          <w:p>
            <w:pPr>
              <w:ind w:leftChars="99" w:hangingChars="167"/>
            </w:pPr>
            <w:r>
              <w:rPr/>
              <w:t>(七)是否於每月十日前公告申報公司及子公司上月份背書保證餘額。</w:t>
            </w:r>
          </w:p>
          <w:p>
            <w:pPr>
              <w:ind w:leftChars="99" w:hangingChars="167"/>
            </w:pPr>
            <w:r>
              <w:rPr/>
              <w:t>(八)背書保證餘額達公開發行公司資金貸與及背書保證處理準則第二十五條標準之一者，是否於事實發生之日起二日內公告申報。</w:t>
            </w:r>
          </w:p>
          <w:p>
            <w:pPr>
              <w:ind w:leftChars="99" w:hangingChars="167"/>
            </w:pPr>
            <w:r>
              <w:rPr/>
              <w:t>(九)上述公告申報是否輸入主管機關指定之資訊申報網站。</w:t>
            </w:r>
          </w:p>
          <w:p>
            <w:pPr>
              <w:ind w:hangingChars="187"/>
            </w:pPr>
            <w:r>
              <w:rPr/>
              <w:t>三、公司為海外子公司發行認購（售）權證保證或提供財產為其設定擔保時，是否符合下列規定：</w:t>
            </w:r>
          </w:p>
          <w:p>
            <w:pPr>
              <w:ind w:leftChars="99" w:hangingChars="167"/>
            </w:pPr>
            <w:r>
              <w:rPr/>
              <w:t>(一)納入公司於國內已發行而未到期之現有已上市、上櫃、店頭市場議約型認購（售）權證及海外已發行而未到期之認購（售）權證發行市價總額合併控管。另子公司發行以國內有價證券為標的之認購（售）權證者，其表彰同一標的證券之總數量，是否依臺灣證券交易所股份有限公司（櫃檯買賣中心）之相關規定辦理。</w:t>
            </w:r>
          </w:p>
          <w:p>
            <w:pPr>
              <w:ind w:leftChars="99" w:hangingChars="167"/>
            </w:pPr>
            <w:r>
              <w:rPr/>
              <w:t>(二)公司為海外子公司發行認購（售）權證保證或提供財產為其設定擔保者，公司是否取得發行國內認購（售）權證之資格認可。其後若自有資本適足比率連續三個月低於百分之二百者，是否停止為子公司提供保證，俟其完成改善後，始予恢復（已提供保證者，仍有其效力）。</w:t>
            </w:r>
          </w:p>
          <w:p>
            <w:pPr>
              <w:ind w:leftChars="99" w:hangingChars="167"/>
            </w:pPr>
            <w:r>
              <w:rPr/>
              <w:t>(三)海外子公司發行海外權證前，公司是否向證交所（櫃檯買賣中心）申報，並檢附「發行人及其海外子公司發行海外認購(售)權證額度計算表」。</w:t>
            </w:r>
          </w:p>
          <w:p>
            <w:pPr>
              <w:ind w:leftChars="99" w:hangingChars="167"/>
            </w:pPr>
            <w:r>
              <w:rPr/>
              <w:t>(四)公司向證交所（櫃檯買賣中心）申報其海外子公司發行海外權證之次一營業日暨權證於國外證交所掛牌上市前一營業日，是否至「證券商申報單一窗口」網站申報其海外子公司所發行之海外權證相關資訊。</w:t>
            </w:r>
          </w:p>
        </w:tc>
        <w:tc>
          <w:tcPr>
            <w:tcW w:w="851" w:type="dxa"/>
          </w:tcPr>
          <w:p w:rsidRPr="00367148" w:rsidR="00A1667A" w:rsidP="00647C22" w:rsidRDefault="00A1667A" w14:paraId="73EEE4BD" w14:textId="77777777">
            <w:pPr>
              <w:spacing w:line="260" w:lineRule="exact"/>
              <w:jc w:val="center"/>
              <w:rPr>
                <w:rFonts w:ascii="新細明體" w:hAnsi="新細明體"/>
                <w:dstrike/>
                <w:color w:val="000000" w:themeColor="text1"/>
                <w:spacing w:val="24"/>
              </w:rPr>
            </w:pPr>
          </w:p>
        </w:tc>
        <w:tc>
          <w:tcPr>
            <w:tcW w:w="850" w:type="dxa"/>
          </w:tcPr>
          <w:p w:rsidRPr="00367148" w:rsidR="00A1667A" w:rsidP="00647C22" w:rsidRDefault="00A1667A" w14:paraId="2ECA2464" w14:textId="77777777">
            <w:pPr>
              <w:spacing w:line="260" w:lineRule="exact"/>
              <w:jc w:val="center"/>
              <w:rPr>
                <w:rFonts w:ascii="新細明體" w:hAnsi="新細明體"/>
                <w:dstrike/>
                <w:color w:val="000000" w:themeColor="text1"/>
                <w:spacing w:val="24"/>
              </w:rPr>
            </w:pPr>
          </w:p>
        </w:tc>
        <w:tc>
          <w:tcPr>
            <w:tcW w:w="709" w:type="dxa"/>
          </w:tcPr>
          <w:p w:rsidRPr="00367148" w:rsidR="00A1667A" w:rsidP="00647C22" w:rsidRDefault="00A1667A" w14:paraId="1BE2E261" w14:textId="77777777">
            <w:pPr>
              <w:spacing w:line="260" w:lineRule="exact"/>
              <w:jc w:val="center"/>
              <w:rPr>
                <w:rFonts w:ascii="新細明體" w:hAnsi="新細明體"/>
                <w:dstrike/>
                <w:color w:val="000000" w:themeColor="text1"/>
                <w:spacing w:val="24"/>
              </w:rPr>
            </w:pPr>
          </w:p>
        </w:tc>
        <w:tc>
          <w:tcPr>
            <w:tcW w:w="1276" w:type="dxa"/>
            <w:tcBorders>
              <w:right w:val="single" w:color="auto" w:sz="12" w:space="0"/>
            </w:tcBorders>
          </w:tcPr>
          <w:p w:rsidRPr="00367148" w:rsidR="00A1667A" w:rsidP="00647C22" w:rsidRDefault="00A1667A" w14:paraId="6A1352BE" w14:textId="77777777">
            <w:pPr>
              <w:spacing w:line="260" w:lineRule="exact"/>
              <w:rPr>
                <w:rFonts w:ascii="新細明體" w:hAnsi="新細明體"/>
                <w:color w:val="000000" w:themeColor="text1"/>
              </w:rPr>
            </w:pPr>
          </w:p>
        </w:tc>
      </w:tr>
      <w:tr w:rsidRPr="00367148" w:rsidR="00367148" w:rsidTr="00455A5F" w14:paraId="62554A6E" w14:textId="77777777">
        <w:trPr>
          <w:cantSplit/>
        </w:trPr>
        <w:tc>
          <w:tcPr>
            <w:tcW w:w="15054" w:type="dxa"/>
            <w:gridSpan w:val="6"/>
            <w:tcBorders>
              <w:left w:val="single" w:color="auto" w:sz="12" w:space="0"/>
              <w:bottom w:val="single" w:color="auto" w:sz="12" w:space="0"/>
              <w:right w:val="single" w:color="auto" w:sz="12" w:space="0"/>
            </w:tcBorders>
          </w:tcPr>
          <w:p w:rsidRPr="00367148" w:rsidR="00A1667A" w:rsidP="00647C22" w:rsidRDefault="00A1667A" w14:paraId="56FDD15A" w14:textId="613F2EE2">
            <w:pPr>
              <w:ind w:firstLine="180"/>
              <w:rPr>
                <w:rFonts w:ascii="新細明體" w:hAnsi="新細明體"/>
                <w:color w:val="000000" w:themeColor="text1"/>
              </w:rPr>
            </w:pPr>
            <w:r w:rsidRPr="00367148">
              <w:rPr>
                <w:rFonts w:hint="eastAsia" w:ascii="新細明體" w:hAnsi="新細明體"/>
                <w:color w:val="000000" w:themeColor="text1"/>
                <w:spacing w:val="24"/>
              </w:rPr>
              <w:t>備</w:t>
            </w:r>
            <w:r w:rsidR="00055C99">
              <w:rPr>
                <w:rFonts w:hint="eastAsia" w:ascii="新細明體" w:hAnsi="新細明體"/>
                <w:color w:val="000000" w:themeColor="text1"/>
                <w:spacing w:val="24"/>
              </w:rPr>
              <w:t xml:space="preserve">  </w:t>
            </w:r>
            <w:proofErr w:type="gramStart"/>
            <w:r w:rsidRPr="00367148">
              <w:rPr>
                <w:rFonts w:hint="eastAsia" w:ascii="新細明體" w:hAnsi="新細明體"/>
                <w:color w:val="000000" w:themeColor="text1"/>
                <w:spacing w:val="24"/>
              </w:rPr>
              <w:t>註</w:t>
            </w:r>
            <w:proofErr w:type="gramEnd"/>
            <w:r w:rsidRPr="00367148">
              <w:rPr>
                <w:rFonts w:hint="eastAsia" w:ascii="新細明體" w:hAnsi="新細明體"/>
                <w:color w:val="000000" w:themeColor="text1"/>
                <w:spacing w:val="24"/>
              </w:rPr>
              <w:t>：</w:t>
            </w:r>
          </w:p>
        </w:tc>
      </w:tr>
    </w:tbl>
    <w:p w:rsidRPr="00EF3852" w:rsidR="00A24670" w:rsidP="00EF3852" w:rsidRDefault="00A3347B" w14:paraId="10E78836" w14:textId="5BCC2C61">
      <w:pPr>
        <w:spacing w:before="180" w:beforeLines="50"/>
        <w:rPr>
          <w:rFonts w:ascii="新細明體" w:hAnsi="新細明體"/>
          <w:color w:val="000000" w:themeColor="text1"/>
          <w:spacing w:val="24"/>
          <w:u w:val="single"/>
        </w:rPr>
      </w:pPr>
      <w:r w:rsidRPr="00367148">
        <w:rPr>
          <w:rFonts w:hint="eastAsia" w:ascii="新細明體" w:hAnsi="新細明體"/>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rPr>
        <w:t>日</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rPr>
        <w:t>期</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u w:val="single"/>
        </w:rPr>
        <w:t xml:space="preserve">　　　　</w:t>
      </w:r>
    </w:p>
    <w:sectPr w:rsidRPr="00EF3852" w:rsidR="00A24670"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0467" w14:textId="77777777" w:rsidR="00125530" w:rsidRDefault="00125530" w:rsidP="00D253DA">
      <w:r>
        <w:separator/>
      </w:r>
    </w:p>
  </w:endnote>
  <w:endnote w:type="continuationSeparator" w:id="0">
    <w:p w14:paraId="5A6D0EED"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E524D" w14:textId="77777777" w:rsidR="00125530" w:rsidRDefault="00125530" w:rsidP="00D253DA">
      <w:r>
        <w:separator/>
      </w:r>
    </w:p>
  </w:footnote>
  <w:footnote w:type="continuationSeparator" w:id="0">
    <w:p w14:paraId="34F580D3"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367C3"/>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29</Words>
  <Characters>167</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Lawrence, Cheng 程昱偉</cp:lastModifiedBy>
  <cp:revision>25</cp:revision>
  <cp:lastPrinted>2018-07-17T03:11:00Z</cp:lastPrinted>
  <dcterms:created xsi:type="dcterms:W3CDTF">2025-05-04T09:28:00Z</dcterms:created>
  <dcterms:modified xsi:type="dcterms:W3CDTF">2025-10-29T03:44:00Z</dcterms:modified>
</cp:coreProperties>
</file>