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020B" w14:textId="0CBA5C29"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11ACA007" w14:textId="77777777" w:rsidTr="004A29F0">
        <w:trPr>
          <w:tblHeader/>
        </w:trPr>
        <w:tc>
          <w:tcPr>
            <w:tcW w:w="1384" w:type="dxa"/>
            <w:tcBorders>
              <w:top w:val="single" w:sz="12" w:space="0" w:color="auto"/>
              <w:left w:val="single" w:sz="12" w:space="0" w:color="auto"/>
              <w:bottom w:val="single" w:sz="12" w:space="0" w:color="auto"/>
            </w:tcBorders>
          </w:tcPr>
          <w:p w14:paraId="7A2A599A"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45BC61A8"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66FB357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4E3FAC83"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BCA0EF4"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3B168549" w14:textId="77777777">
        <w:tc>
          <w:tcPr>
            <w:tcW w:w="1384" w:type="dxa"/>
            <w:vMerge w:val="restart"/>
            <w:tcBorders>
              <w:top w:val="single" w:sz="12" w:space="0" w:color="auto"/>
              <w:left w:val="single" w:sz="12" w:space="0" w:color="auto"/>
            </w:tcBorders>
          </w:tcPr>
          <w:p w14:paraId="2683E9E9" w14:textId="77777777" w:rsidR="003B3105" w:rsidRPr="00F6439B" w:rsidRDefault="003B3105" w:rsidP="001E533B">
            <w:pPr>
              <w:rPr>
                <w:rFonts w:ascii="新細明體" w:eastAsia="新細明體" w:hAnsi="新細明體"/>
              </w:rPr>
            </w:pPr>
            <w:r>
              <w:rPr>
                <w:rFonts w:ascii="新細明體" w:eastAsia="新細明體" w:hAnsi="新細明體" w:hint="eastAsia"/>
              </w:rPr>
              <w:t>CF-11000</w:t>
            </w:r>
          </w:p>
        </w:tc>
        <w:tc>
          <w:tcPr>
            <w:tcW w:w="1276" w:type="dxa"/>
            <w:vMerge w:val="restart"/>
            <w:tcBorders>
              <w:top w:val="single" w:sz="12" w:space="0" w:color="auto"/>
            </w:tcBorders>
          </w:tcPr>
          <w:p w14:paraId="2DB1606B" w14:textId="77777777" w:rsidR="003B3105" w:rsidRPr="00F6439B" w:rsidRDefault="003B3105" w:rsidP="001E533B">
            <w:pPr>
              <w:rPr>
                <w:rFonts w:ascii="新細明體" w:eastAsia="新細明體" w:hAnsi="新細明體"/>
              </w:rPr>
            </w:pPr>
            <w:r>
              <w:rPr>
                <w:rFonts w:ascii="新細明體" w:eastAsia="新細明體" w:hAnsi="新細明體" w:hint="eastAsia"/>
              </w:rPr>
              <w:t>不動產及設備取得或增添作業</w:t>
            </w:r>
          </w:p>
        </w:tc>
        <w:tc>
          <w:tcPr>
            <w:tcW w:w="5386" w:type="dxa"/>
            <w:tcBorders>
              <w:top w:val="single" w:sz="12" w:space="0" w:color="auto"/>
              <w:bottom w:val="nil"/>
            </w:tcBorders>
          </w:tcPr>
          <w:p w14:paraId="08CCBB5F"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13CDE77"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072F427E"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配合金管會115年1月8日金管證券字第11403649271號令酌修文字。 另配合證券商設置標準修訂，開放證券商得設置簡易分支機構或將一般分支機構變更為簡易分支機構，爰修正之。</w:t>
            </w:r>
          </w:p>
        </w:tc>
      </w:tr>
      <w:tr w:rsidR="003B3105" w:rsidRPr="00F6439B" w14:paraId="3FE8F0B2" w14:textId="77777777">
        <w:tc>
          <w:tcPr>
            <w:tcW w:w="1384" w:type="dxa"/>
            <w:vMerge/>
            <w:tcBorders>
              <w:left w:val="single" w:sz="12" w:space="0" w:color="auto"/>
            </w:tcBorders>
          </w:tcPr>
          <w:p w14:paraId="6A040D1F" w14:textId="77777777" w:rsidR="003B3105" w:rsidRDefault="003B3105" w:rsidP="001E533B">
            <w:pPr>
              <w:rPr>
                <w:rFonts w:ascii="新細明體" w:eastAsia="新細明體" w:hAnsi="新細明體"/>
              </w:rPr>
            </w:pPr>
          </w:p>
        </w:tc>
        <w:tc>
          <w:tcPr>
            <w:tcW w:w="1276" w:type="dxa"/>
            <w:vMerge/>
          </w:tcPr>
          <w:p w14:paraId="387842AB" w14:textId="77777777" w:rsidR="003B3105" w:rsidRDefault="003B3105" w:rsidP="001E533B">
            <w:pPr>
              <w:rPr>
                <w:rFonts w:ascii="新細明體" w:eastAsia="新細明體" w:hAnsi="新細明體"/>
              </w:rPr>
            </w:pPr>
          </w:p>
        </w:tc>
        <w:tc>
          <w:tcPr>
            <w:tcW w:w="5386" w:type="dxa"/>
            <w:tcBorders>
              <w:top w:val="nil"/>
              <w:bottom w:val="nil"/>
            </w:tcBorders>
          </w:tcPr>
          <w:p w14:paraId="78A25CE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(一)不動產及設備之取得或增添宜依據增置財產計劃，編製預算並依預算執行。</w:t>
            </w:r>
          </w:p>
        </w:tc>
        <w:tc>
          <w:tcPr>
            <w:tcW w:w="5387" w:type="dxa"/>
            <w:tcBorders>
              <w:top w:val="nil"/>
              <w:bottom w:val="nil"/>
            </w:tcBorders>
          </w:tcPr>
          <w:p w14:paraId="07D21D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(一)不動產及設備之取得或增添宜依據增置財產計劃，編製預算並依預算執行。</w:t>
            </w:r>
          </w:p>
        </w:tc>
        <w:tc>
          <w:tcPr>
            <w:tcW w:w="2023" w:type="dxa"/>
            <w:vMerge/>
            <w:tcBorders>
              <w:right w:val="single" w:sz="12" w:space="0" w:color="auto"/>
            </w:tcBorders>
          </w:tcPr>
          <w:p w14:paraId="22D0D0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0A5B37" w14:textId="77777777">
        <w:tc>
          <w:tcPr>
            <w:tcW w:w="1384" w:type="dxa"/>
            <w:vMerge/>
            <w:tcBorders>
              <w:left w:val="single" w:sz="12" w:space="0" w:color="auto"/>
            </w:tcBorders>
          </w:tcPr>
          <w:p w14:paraId="6666AAAA" w14:textId="77777777" w:rsidR="003B3105" w:rsidRDefault="003B3105" w:rsidP="001E533B">
            <w:pPr>
              <w:rPr>
                <w:rFonts w:ascii="新細明體" w:eastAsia="新細明體" w:hAnsi="新細明體"/>
              </w:rPr>
            </w:pPr>
          </w:p>
        </w:tc>
        <w:tc>
          <w:tcPr>
            <w:tcW w:w="1276" w:type="dxa"/>
            <w:vMerge/>
          </w:tcPr>
          <w:p w14:paraId="0BAE18F9" w14:textId="77777777" w:rsidR="003B3105" w:rsidRDefault="003B3105" w:rsidP="001E533B">
            <w:pPr>
              <w:rPr>
                <w:rFonts w:ascii="新細明體" w:eastAsia="新細明體" w:hAnsi="新細明體"/>
              </w:rPr>
            </w:pPr>
          </w:p>
        </w:tc>
        <w:tc>
          <w:tcPr>
            <w:tcW w:w="5386" w:type="dxa"/>
            <w:tcBorders>
              <w:top w:val="nil"/>
              <w:bottom w:val="nil"/>
            </w:tcBorders>
          </w:tcPr>
          <w:p w14:paraId="3100BA6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(二)取得或增添不動產及設備之採購及付款時，應依相關作業程序辦理(參閱CP-10000採購及付款循環)。</w:t>
            </w:r>
          </w:p>
        </w:tc>
        <w:tc>
          <w:tcPr>
            <w:tcW w:w="5387" w:type="dxa"/>
            <w:tcBorders>
              <w:top w:val="nil"/>
              <w:bottom w:val="nil"/>
            </w:tcBorders>
          </w:tcPr>
          <w:p w14:paraId="03FD141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(二)取得或增添不動產及設備之採購及付款時，應依相關作業程序辦理(參閱CP-10000採購及付款循環)。</w:t>
            </w:r>
          </w:p>
        </w:tc>
        <w:tc>
          <w:tcPr>
            <w:tcW w:w="2023" w:type="dxa"/>
            <w:vMerge/>
            <w:tcBorders>
              <w:right w:val="single" w:sz="12" w:space="0" w:color="auto"/>
            </w:tcBorders>
          </w:tcPr>
          <w:p w14:paraId="1EF848B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6906F0" w14:textId="77777777">
        <w:tc>
          <w:tcPr>
            <w:tcW w:w="1384" w:type="dxa"/>
            <w:vMerge/>
            <w:tcBorders>
              <w:left w:val="single" w:sz="12" w:space="0" w:color="auto"/>
            </w:tcBorders>
          </w:tcPr>
          <w:p w14:paraId="465A1270" w14:textId="77777777" w:rsidR="003B3105" w:rsidRDefault="003B3105" w:rsidP="001E533B">
            <w:pPr>
              <w:rPr>
                <w:rFonts w:ascii="新細明體" w:eastAsia="新細明體" w:hAnsi="新細明體"/>
              </w:rPr>
            </w:pPr>
          </w:p>
        </w:tc>
        <w:tc>
          <w:tcPr>
            <w:tcW w:w="1276" w:type="dxa"/>
            <w:vMerge/>
          </w:tcPr>
          <w:p w14:paraId="08823B24" w14:textId="77777777" w:rsidR="003B3105" w:rsidRDefault="003B3105" w:rsidP="001E533B">
            <w:pPr>
              <w:rPr>
                <w:rFonts w:ascii="新細明體" w:eastAsia="新細明體" w:hAnsi="新細明體"/>
              </w:rPr>
            </w:pPr>
          </w:p>
        </w:tc>
        <w:tc>
          <w:tcPr>
            <w:tcW w:w="5386" w:type="dxa"/>
            <w:tcBorders>
              <w:top w:val="nil"/>
              <w:bottom w:val="nil"/>
            </w:tcBorders>
          </w:tcPr>
          <w:p w14:paraId="07238F8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(三)公司取得或增添不動產及設備時，尚應依下列規定辦理：</w:t>
            </w:r>
          </w:p>
        </w:tc>
        <w:tc>
          <w:tcPr>
            <w:tcW w:w="5387" w:type="dxa"/>
            <w:tcBorders>
              <w:top w:val="nil"/>
              <w:bottom w:val="nil"/>
            </w:tcBorders>
          </w:tcPr>
          <w:p w14:paraId="7A44D68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(三)公司取得或增添不動產及設備時，尚應依下列規定辦理：</w:t>
            </w:r>
          </w:p>
        </w:tc>
        <w:tc>
          <w:tcPr>
            <w:tcW w:w="2023" w:type="dxa"/>
            <w:vMerge/>
            <w:tcBorders>
              <w:right w:val="single" w:sz="12" w:space="0" w:color="auto"/>
            </w:tcBorders>
          </w:tcPr>
          <w:p w14:paraId="3DE7A9C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E6EE4C" w14:textId="77777777">
        <w:tc>
          <w:tcPr>
            <w:tcW w:w="1384" w:type="dxa"/>
            <w:vMerge/>
            <w:tcBorders>
              <w:left w:val="single" w:sz="12" w:space="0" w:color="auto"/>
            </w:tcBorders>
          </w:tcPr>
          <w:p w14:paraId="073C289E" w14:textId="77777777" w:rsidR="003B3105" w:rsidRDefault="003B3105" w:rsidP="001E533B">
            <w:pPr>
              <w:rPr>
                <w:rFonts w:ascii="新細明體" w:eastAsia="新細明體" w:hAnsi="新細明體"/>
              </w:rPr>
            </w:pPr>
          </w:p>
        </w:tc>
        <w:tc>
          <w:tcPr>
            <w:tcW w:w="1276" w:type="dxa"/>
            <w:vMerge/>
          </w:tcPr>
          <w:p w14:paraId="29EED997" w14:textId="77777777" w:rsidR="003B3105" w:rsidRDefault="003B3105" w:rsidP="001E533B">
            <w:pPr>
              <w:rPr>
                <w:rFonts w:ascii="新細明體" w:eastAsia="新細明體" w:hAnsi="新細明體"/>
              </w:rPr>
            </w:pPr>
          </w:p>
        </w:tc>
        <w:tc>
          <w:tcPr>
            <w:tcW w:w="5386" w:type="dxa"/>
            <w:tcBorders>
              <w:top w:val="nil"/>
              <w:bottom w:val="nil"/>
            </w:tcBorders>
          </w:tcPr>
          <w:p w14:paraId="4B1E456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1.公開發行公司，其作業程序應符合「公開發行公司取得或處分資產處理準則」之規定。</w:t>
            </w:r>
          </w:p>
        </w:tc>
        <w:tc>
          <w:tcPr>
            <w:tcW w:w="5387" w:type="dxa"/>
            <w:tcBorders>
              <w:top w:val="nil"/>
              <w:bottom w:val="nil"/>
            </w:tcBorders>
          </w:tcPr>
          <w:p w14:paraId="635A63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1.公開發行公司，其作業程序應符合「公開發行公司取得或處分資產處理準則」之規定。</w:t>
            </w:r>
          </w:p>
        </w:tc>
        <w:tc>
          <w:tcPr>
            <w:tcW w:w="2023" w:type="dxa"/>
            <w:vMerge/>
            <w:tcBorders>
              <w:right w:val="single" w:sz="12" w:space="0" w:color="auto"/>
            </w:tcBorders>
          </w:tcPr>
          <w:p w14:paraId="1D96DE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C28175" w14:textId="77777777">
        <w:tc>
          <w:tcPr>
            <w:tcW w:w="1384" w:type="dxa"/>
            <w:vMerge/>
            <w:tcBorders>
              <w:left w:val="single" w:sz="12" w:space="0" w:color="auto"/>
            </w:tcBorders>
          </w:tcPr>
          <w:p w14:paraId="1950BB78" w14:textId="77777777" w:rsidR="003B3105" w:rsidRDefault="003B3105" w:rsidP="001E533B">
            <w:pPr>
              <w:rPr>
                <w:rFonts w:ascii="新細明體" w:eastAsia="新細明體" w:hAnsi="新細明體"/>
              </w:rPr>
            </w:pPr>
          </w:p>
        </w:tc>
        <w:tc>
          <w:tcPr>
            <w:tcW w:w="1276" w:type="dxa"/>
            <w:vMerge/>
          </w:tcPr>
          <w:p w14:paraId="4934A69C" w14:textId="77777777" w:rsidR="003B3105" w:rsidRDefault="003B3105" w:rsidP="001E533B">
            <w:pPr>
              <w:rPr>
                <w:rFonts w:ascii="新細明體" w:eastAsia="新細明體" w:hAnsi="新細明體"/>
              </w:rPr>
            </w:pPr>
          </w:p>
        </w:tc>
        <w:tc>
          <w:tcPr>
            <w:tcW w:w="5386" w:type="dxa"/>
            <w:tcBorders>
              <w:top w:val="nil"/>
              <w:bottom w:val="nil"/>
            </w:tcBorders>
          </w:tcPr>
          <w:p w14:paraId="03E89B7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若對公司營運有重大影響者，依公司法第一百八十五條規定應由有三分之二以上董事出席之董事會，以出席董事過半數之決議提出之，經代表已發行股份總數三分之二股東出席之股東會，以出席股東表決權過半數之同意(公開發行股票之公司出席股東之股份總數不足前開定額者，得以有代表已發行股份總數過半數股東之出席，出席股東表決權三分之二以上之同意)行之。</w:t>
            </w:r>
          </w:p>
        </w:tc>
        <w:tc>
          <w:tcPr>
            <w:tcW w:w="5387" w:type="dxa"/>
            <w:tcBorders>
              <w:top w:val="nil"/>
              <w:bottom w:val="nil"/>
            </w:tcBorders>
          </w:tcPr>
          <w:p w14:paraId="0DA11A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若對公司營運有重大影響者，依公司法第一百八十五條規定應由有三分之二以上董事出席之董事會，以出席董事過半數之決議提出之，經代表已發行股份總數三分之二股東出席之股東會，以出席股東表決權過半數之同意(公開發行股票之公司出席股東之股份總數不足前開定額者，得以有代表已發行股份總數過半數股東之出席，出席股東表決權三分之二以上之同意)行之。</w:t>
            </w:r>
          </w:p>
        </w:tc>
        <w:tc>
          <w:tcPr>
            <w:tcW w:w="2023" w:type="dxa"/>
            <w:vMerge/>
            <w:tcBorders>
              <w:right w:val="single" w:sz="12" w:space="0" w:color="auto"/>
            </w:tcBorders>
          </w:tcPr>
          <w:p w14:paraId="788419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D7F332" w14:textId="77777777">
        <w:tc>
          <w:tcPr>
            <w:tcW w:w="1384" w:type="dxa"/>
            <w:vMerge/>
            <w:tcBorders>
              <w:left w:val="single" w:sz="12" w:space="0" w:color="auto"/>
            </w:tcBorders>
          </w:tcPr>
          <w:p w14:paraId="06ED4F15" w14:textId="77777777" w:rsidR="003B3105" w:rsidRDefault="003B3105" w:rsidP="001E533B">
            <w:pPr>
              <w:rPr>
                <w:rFonts w:ascii="新細明體" w:eastAsia="新細明體" w:hAnsi="新細明體"/>
              </w:rPr>
            </w:pPr>
          </w:p>
        </w:tc>
        <w:tc>
          <w:tcPr>
            <w:tcW w:w="1276" w:type="dxa"/>
            <w:vMerge/>
          </w:tcPr>
          <w:p w14:paraId="58FF898E" w14:textId="77777777" w:rsidR="003B3105" w:rsidRDefault="003B3105" w:rsidP="001E533B">
            <w:pPr>
              <w:rPr>
                <w:rFonts w:ascii="新細明體" w:eastAsia="新細明體" w:hAnsi="新細明體"/>
              </w:rPr>
            </w:pPr>
          </w:p>
        </w:tc>
        <w:tc>
          <w:tcPr>
            <w:tcW w:w="5386" w:type="dxa"/>
            <w:tcBorders>
              <w:top w:val="nil"/>
              <w:bottom w:val="nil"/>
            </w:tcBorders>
          </w:tcPr>
          <w:p w14:paraId="5E4CFD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3.若為受讓或讓與他人之全部或主要部分營業或財產者，應先報經主管機關核准。</w:t>
            </w:r>
          </w:p>
        </w:tc>
        <w:tc>
          <w:tcPr>
            <w:tcW w:w="5387" w:type="dxa"/>
            <w:tcBorders>
              <w:top w:val="nil"/>
              <w:bottom w:val="nil"/>
            </w:tcBorders>
          </w:tcPr>
          <w:p w14:paraId="4AB46C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3.若為受讓或讓與他人之全部或主要部分營業或財產者，應先報經主管機關核准。</w:t>
            </w:r>
          </w:p>
        </w:tc>
        <w:tc>
          <w:tcPr>
            <w:tcW w:w="2023" w:type="dxa"/>
            <w:vMerge/>
            <w:tcBorders>
              <w:right w:val="single" w:sz="12" w:space="0" w:color="auto"/>
            </w:tcBorders>
          </w:tcPr>
          <w:p w14:paraId="06BE69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37445B" w14:textId="77777777">
        <w:tc>
          <w:tcPr>
            <w:tcW w:w="1384" w:type="dxa"/>
            <w:vMerge/>
            <w:tcBorders>
              <w:left w:val="single" w:sz="12" w:space="0" w:color="auto"/>
            </w:tcBorders>
          </w:tcPr>
          <w:p w14:paraId="64999B2E" w14:textId="77777777" w:rsidR="003B3105" w:rsidRDefault="003B3105" w:rsidP="001E533B">
            <w:pPr>
              <w:rPr>
                <w:rFonts w:ascii="新細明體" w:eastAsia="新細明體" w:hAnsi="新細明體"/>
              </w:rPr>
            </w:pPr>
          </w:p>
        </w:tc>
        <w:tc>
          <w:tcPr>
            <w:tcW w:w="1276" w:type="dxa"/>
            <w:vMerge/>
          </w:tcPr>
          <w:p w14:paraId="73E321A1" w14:textId="77777777" w:rsidR="003B3105" w:rsidRDefault="003B3105" w:rsidP="001E533B">
            <w:pPr>
              <w:rPr>
                <w:rFonts w:ascii="新細明體" w:eastAsia="新細明體" w:hAnsi="新細明體"/>
              </w:rPr>
            </w:pPr>
          </w:p>
        </w:tc>
        <w:tc>
          <w:tcPr>
            <w:tcW w:w="5386" w:type="dxa"/>
            <w:tcBorders>
              <w:top w:val="nil"/>
              <w:bottom w:val="nil"/>
            </w:tcBorders>
          </w:tcPr>
          <w:p w14:paraId="6B8E093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(四)公司(除由金融機構兼營者另依有關法令規定外)不得購置非營業用之不動產。但因合併、受讓、裁撤分支機構</w:t>
            </w:r>
            <w:r>
              <w:rPr>
                <w:rFonts w:ascii="新細明體" w:eastAsia="新細明體" w:hAnsi="新細明體" w:cs="新細明體" w:hint="eastAsia"/>
                <w:b/>
                <w:color w:val="FF0000"/>
                <w:u w:val="single"/>
              </w:rPr>
              <w:t>或簡易分支機</w:t>
            </w:r>
            <w:r>
              <w:rPr>
                <w:rFonts w:ascii="新細明體" w:eastAsia="新細明體" w:hAnsi="新細明體" w:cs="新細明體" w:hint="eastAsia"/>
                <w:b/>
                <w:color w:val="FF0000"/>
                <w:u w:val="single"/>
              </w:rPr>
              <w:lastRenderedPageBreak/>
              <w:t>構</w:t>
            </w:r>
            <w:r>
              <w:rPr>
                <w:rFonts w:ascii="新細明體" w:eastAsia="新細明體" w:hAnsi="新細明體" w:cs="新細明體" w:hint="eastAsia"/>
              </w:rPr>
              <w:t>、營業處所變更或縮減、因經營業務或經主管機關核准而持有非營業用不動產者，不在此限；取得或增添不動產及設備時，應注意所持有營業用不動產及設備總額及非營業用不動產總額合計(含投資性不動產)不得超過資產總額百分之六十之規定。有關營業用不動產及設備總額及非營業用不動產總額比率之計算，得不計入重估增值及公允價值變動。有關資產總額之計算，應扣除</w:t>
            </w:r>
            <w:r>
              <w:rPr>
                <w:rFonts w:ascii="新細明體" w:eastAsia="新細明體" w:hAnsi="新細明體" w:cs="新細明體" w:hint="eastAsia"/>
                <w:b/>
                <w:color w:val="FF0000"/>
                <w:u w:val="single"/>
              </w:rPr>
              <w:t>證券商</w:t>
            </w:r>
            <w:r>
              <w:rPr>
                <w:rFonts w:ascii="新細明體" w:eastAsia="新細明體" w:hAnsi="新細明體" w:cs="新細明體" w:hint="eastAsia"/>
              </w:rPr>
              <w:t>交割專戶銀行存款及受託買賣有價證券所生代收付性質之過渡性資產。</w:t>
            </w:r>
          </w:p>
        </w:tc>
        <w:tc>
          <w:tcPr>
            <w:tcW w:w="5387" w:type="dxa"/>
            <w:tcBorders>
              <w:top w:val="nil"/>
              <w:bottom w:val="nil"/>
            </w:tcBorders>
          </w:tcPr>
          <w:p w14:paraId="4305246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(四)公司(除由金融機構兼營者另依有關法令規定外)不得購置非營業用之不動產。但因合併、受讓、裁撤分支機構、營業處所變</w:t>
            </w:r>
            <w:r>
              <w:rPr>
                <w:rFonts w:ascii="新細明體" w:eastAsia="新細明體" w:hAnsi="新細明體" w:cs="新細明體" w:hint="eastAsia"/>
              </w:rPr>
              <w:lastRenderedPageBreak/>
              <w:t>更或縮減、因經營業務或經主管機關核准而持有非營業用不動產者，不在此限；取得或增添不動產及設備時，應注意所持有營業用不動產及設備總額及非營業用不動產總額合計(含投資性不動產)不得超過資產總額百分之六十之規定。有關營業用不動產及設備總額及非營業用不動產總額比率之計算，得不計入重估增值及公允價值變動。有關資產總額之計算，應扣除交割專戶銀行存款</w:t>
            </w:r>
            <w:r>
              <w:rPr>
                <w:rFonts w:ascii="新細明體" w:eastAsia="新細明體" w:hAnsi="新細明體" w:cs="新細明體" w:hint="eastAsia"/>
                <w:b/>
                <w:color w:val="FF0000"/>
              </w:rPr>
              <w:t>，</w:t>
            </w:r>
            <w:r>
              <w:rPr>
                <w:rFonts w:ascii="新細明體" w:eastAsia="新細明體" w:hAnsi="新細明體" w:cs="新細明體" w:hint="eastAsia"/>
              </w:rPr>
              <w:t>及受託買賣有價證券所生代收付性質之過渡性資產。</w:t>
            </w:r>
          </w:p>
        </w:tc>
        <w:tc>
          <w:tcPr>
            <w:tcW w:w="2023" w:type="dxa"/>
            <w:vMerge/>
            <w:tcBorders>
              <w:right w:val="single" w:sz="12" w:space="0" w:color="auto"/>
            </w:tcBorders>
          </w:tcPr>
          <w:p w14:paraId="37535D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E916A6" w14:textId="77777777">
        <w:tc>
          <w:tcPr>
            <w:tcW w:w="1384" w:type="dxa"/>
            <w:vMerge/>
            <w:tcBorders>
              <w:left w:val="single" w:sz="12" w:space="0" w:color="auto"/>
            </w:tcBorders>
          </w:tcPr>
          <w:p w14:paraId="274621C4" w14:textId="77777777" w:rsidR="003B3105" w:rsidRDefault="003B3105" w:rsidP="001E533B">
            <w:pPr>
              <w:rPr>
                <w:rFonts w:ascii="新細明體" w:eastAsia="新細明體" w:hAnsi="新細明體"/>
              </w:rPr>
            </w:pPr>
          </w:p>
        </w:tc>
        <w:tc>
          <w:tcPr>
            <w:tcW w:w="1276" w:type="dxa"/>
            <w:vMerge/>
          </w:tcPr>
          <w:p w14:paraId="488A135A" w14:textId="77777777" w:rsidR="003B3105" w:rsidRDefault="003B3105" w:rsidP="001E533B">
            <w:pPr>
              <w:rPr>
                <w:rFonts w:ascii="新細明體" w:eastAsia="新細明體" w:hAnsi="新細明體"/>
              </w:rPr>
            </w:pPr>
          </w:p>
        </w:tc>
        <w:tc>
          <w:tcPr>
            <w:tcW w:w="5386" w:type="dxa"/>
            <w:tcBorders>
              <w:top w:val="nil"/>
              <w:bottom w:val="nil"/>
            </w:tcBorders>
          </w:tcPr>
          <w:p w14:paraId="7415318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(五)取得或增添不動產(含預付房地款)應提董事會核定後依證交所「審核證券商購置不動產作業流程」之規定辦理申報。</w:t>
            </w:r>
          </w:p>
        </w:tc>
        <w:tc>
          <w:tcPr>
            <w:tcW w:w="5387" w:type="dxa"/>
            <w:tcBorders>
              <w:top w:val="nil"/>
              <w:bottom w:val="nil"/>
            </w:tcBorders>
          </w:tcPr>
          <w:p w14:paraId="6C1A972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(五)取得或增添不動產(含預付房地款)應提董事會核定後依證交所「審核證券商購置不動產作業流程」之規定辦理申報。</w:t>
            </w:r>
          </w:p>
        </w:tc>
        <w:tc>
          <w:tcPr>
            <w:tcW w:w="2023" w:type="dxa"/>
            <w:vMerge/>
            <w:tcBorders>
              <w:right w:val="single" w:sz="12" w:space="0" w:color="auto"/>
            </w:tcBorders>
          </w:tcPr>
          <w:p w14:paraId="5324D4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CA56B5" w14:textId="77777777">
        <w:tc>
          <w:tcPr>
            <w:tcW w:w="1384" w:type="dxa"/>
            <w:vMerge/>
            <w:tcBorders>
              <w:left w:val="single" w:sz="12" w:space="0" w:color="auto"/>
            </w:tcBorders>
          </w:tcPr>
          <w:p w14:paraId="7716C328" w14:textId="77777777" w:rsidR="003B3105" w:rsidRDefault="003B3105" w:rsidP="001E533B">
            <w:pPr>
              <w:rPr>
                <w:rFonts w:ascii="新細明體" w:eastAsia="新細明體" w:hAnsi="新細明體"/>
              </w:rPr>
            </w:pPr>
          </w:p>
        </w:tc>
        <w:tc>
          <w:tcPr>
            <w:tcW w:w="1276" w:type="dxa"/>
            <w:vMerge/>
          </w:tcPr>
          <w:p w14:paraId="3F49C21A" w14:textId="77777777" w:rsidR="003B3105" w:rsidRDefault="003B3105" w:rsidP="001E533B">
            <w:pPr>
              <w:rPr>
                <w:rFonts w:ascii="新細明體" w:eastAsia="新細明體" w:hAnsi="新細明體"/>
              </w:rPr>
            </w:pPr>
          </w:p>
        </w:tc>
        <w:tc>
          <w:tcPr>
            <w:tcW w:w="5386" w:type="dxa"/>
            <w:tcBorders>
              <w:top w:val="nil"/>
              <w:bottom w:val="nil"/>
            </w:tcBorders>
          </w:tcPr>
          <w:p w14:paraId="0BA840E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(六)取得或增添之場地如供營業使用者，應依「證券商及證券交易輔助人營業處所場地及設備標準」之規定辦理。</w:t>
            </w:r>
          </w:p>
        </w:tc>
        <w:tc>
          <w:tcPr>
            <w:tcW w:w="5387" w:type="dxa"/>
            <w:tcBorders>
              <w:top w:val="nil"/>
              <w:bottom w:val="nil"/>
            </w:tcBorders>
          </w:tcPr>
          <w:p w14:paraId="50CFAA0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(六)取得或增添之場地如供營業使用者，應依「證券商及證券交易輔助人營業處所場地及設備標準」之規定辦理。</w:t>
            </w:r>
          </w:p>
        </w:tc>
        <w:tc>
          <w:tcPr>
            <w:tcW w:w="2023" w:type="dxa"/>
            <w:vMerge/>
            <w:tcBorders>
              <w:right w:val="single" w:sz="12" w:space="0" w:color="auto"/>
            </w:tcBorders>
          </w:tcPr>
          <w:p w14:paraId="49B99D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5FD50D" w14:textId="77777777">
        <w:tc>
          <w:tcPr>
            <w:tcW w:w="1384" w:type="dxa"/>
            <w:vMerge/>
            <w:tcBorders>
              <w:left w:val="single" w:sz="12" w:space="0" w:color="auto"/>
            </w:tcBorders>
          </w:tcPr>
          <w:p w14:paraId="1D6D41EF" w14:textId="77777777" w:rsidR="003B3105" w:rsidRDefault="003B3105" w:rsidP="001E533B">
            <w:pPr>
              <w:rPr>
                <w:rFonts w:ascii="新細明體" w:eastAsia="新細明體" w:hAnsi="新細明體"/>
              </w:rPr>
            </w:pPr>
          </w:p>
        </w:tc>
        <w:tc>
          <w:tcPr>
            <w:tcW w:w="1276" w:type="dxa"/>
            <w:vMerge/>
          </w:tcPr>
          <w:p w14:paraId="0387421F" w14:textId="77777777" w:rsidR="003B3105" w:rsidRDefault="003B3105" w:rsidP="001E533B">
            <w:pPr>
              <w:rPr>
                <w:rFonts w:ascii="新細明體" w:eastAsia="新細明體" w:hAnsi="新細明體"/>
              </w:rPr>
            </w:pPr>
          </w:p>
        </w:tc>
        <w:tc>
          <w:tcPr>
            <w:tcW w:w="5386" w:type="dxa"/>
            <w:tcBorders>
              <w:top w:val="nil"/>
              <w:bottom w:val="nil"/>
            </w:tcBorders>
          </w:tcPr>
          <w:p w14:paraId="77005FF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(七)承租不動產及設備時應依相關作業程序辦理(參閱CR-15000租賃作業)。</w:t>
            </w:r>
          </w:p>
        </w:tc>
        <w:tc>
          <w:tcPr>
            <w:tcW w:w="5387" w:type="dxa"/>
            <w:tcBorders>
              <w:top w:val="nil"/>
              <w:bottom w:val="nil"/>
            </w:tcBorders>
          </w:tcPr>
          <w:p w14:paraId="646FB77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(七)承租不動產及設備時應依相關作業程序辦理(參閱CR-15000租賃作業)。</w:t>
            </w:r>
          </w:p>
        </w:tc>
        <w:tc>
          <w:tcPr>
            <w:tcW w:w="2023" w:type="dxa"/>
            <w:vMerge/>
            <w:tcBorders>
              <w:right w:val="single" w:sz="12" w:space="0" w:color="auto"/>
            </w:tcBorders>
          </w:tcPr>
          <w:p w14:paraId="2CDD42F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4E0008" w14:textId="77777777">
        <w:tc>
          <w:tcPr>
            <w:tcW w:w="1384" w:type="dxa"/>
            <w:vMerge/>
            <w:tcBorders>
              <w:left w:val="single" w:sz="12" w:space="0" w:color="auto"/>
            </w:tcBorders>
          </w:tcPr>
          <w:p w14:paraId="5A7D3833" w14:textId="77777777" w:rsidR="003B3105" w:rsidRDefault="003B3105" w:rsidP="001E533B">
            <w:pPr>
              <w:rPr>
                <w:rFonts w:ascii="新細明體" w:eastAsia="新細明體" w:hAnsi="新細明體"/>
              </w:rPr>
            </w:pPr>
          </w:p>
        </w:tc>
        <w:tc>
          <w:tcPr>
            <w:tcW w:w="1276" w:type="dxa"/>
            <w:vMerge/>
          </w:tcPr>
          <w:p w14:paraId="10E1ECA0" w14:textId="77777777" w:rsidR="003B3105" w:rsidRDefault="003B3105" w:rsidP="001E533B">
            <w:pPr>
              <w:rPr>
                <w:rFonts w:ascii="新細明體" w:eastAsia="新細明體" w:hAnsi="新細明體"/>
              </w:rPr>
            </w:pPr>
          </w:p>
        </w:tc>
        <w:tc>
          <w:tcPr>
            <w:tcW w:w="5386" w:type="dxa"/>
            <w:tcBorders>
              <w:top w:val="nil"/>
              <w:bottom w:val="nil"/>
            </w:tcBorders>
          </w:tcPr>
          <w:p w14:paraId="463F5F6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(八)公司宜對營運有重大影響之不動產及設備投保適當火險或綜合險。</w:t>
            </w:r>
          </w:p>
        </w:tc>
        <w:tc>
          <w:tcPr>
            <w:tcW w:w="5387" w:type="dxa"/>
            <w:tcBorders>
              <w:top w:val="nil"/>
              <w:bottom w:val="nil"/>
            </w:tcBorders>
          </w:tcPr>
          <w:p w14:paraId="083C1C3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(八)公司宜對營運有重大影響之不動產及設備投保適當火險或綜合險。</w:t>
            </w:r>
          </w:p>
        </w:tc>
        <w:tc>
          <w:tcPr>
            <w:tcW w:w="2023" w:type="dxa"/>
            <w:vMerge/>
            <w:tcBorders>
              <w:right w:val="single" w:sz="12" w:space="0" w:color="auto"/>
            </w:tcBorders>
          </w:tcPr>
          <w:p w14:paraId="0512E7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21B438" w14:textId="77777777">
        <w:tc>
          <w:tcPr>
            <w:tcW w:w="1384" w:type="dxa"/>
            <w:vMerge/>
            <w:tcBorders>
              <w:left w:val="single" w:sz="12" w:space="0" w:color="auto"/>
            </w:tcBorders>
          </w:tcPr>
          <w:p w14:paraId="6864113D" w14:textId="77777777" w:rsidR="003B3105" w:rsidRDefault="003B3105" w:rsidP="001E533B">
            <w:pPr>
              <w:rPr>
                <w:rFonts w:ascii="新細明體" w:eastAsia="新細明體" w:hAnsi="新細明體"/>
              </w:rPr>
            </w:pPr>
          </w:p>
        </w:tc>
        <w:tc>
          <w:tcPr>
            <w:tcW w:w="1276" w:type="dxa"/>
            <w:vMerge/>
          </w:tcPr>
          <w:p w14:paraId="61F6454C" w14:textId="77777777" w:rsidR="003B3105" w:rsidRDefault="003B3105" w:rsidP="001E533B">
            <w:pPr>
              <w:rPr>
                <w:rFonts w:ascii="新細明體" w:eastAsia="新細明體" w:hAnsi="新細明體"/>
              </w:rPr>
            </w:pPr>
          </w:p>
        </w:tc>
        <w:tc>
          <w:tcPr>
            <w:tcW w:w="5386" w:type="dxa"/>
            <w:tcBorders>
              <w:top w:val="nil"/>
              <w:bottom w:val="nil"/>
            </w:tcBorders>
          </w:tcPr>
          <w:p w14:paraId="3FCD634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(九)申請公開發行或已公開發行公司向關係人購買不動產應依「公開發行公司取得或處分資產處理準則」第三節規定辦理，並於事實發生之日起二日內向主管機關指定網站辦理公告申報。</w:t>
            </w:r>
          </w:p>
        </w:tc>
        <w:tc>
          <w:tcPr>
            <w:tcW w:w="5387" w:type="dxa"/>
            <w:tcBorders>
              <w:top w:val="nil"/>
              <w:bottom w:val="nil"/>
            </w:tcBorders>
          </w:tcPr>
          <w:p w14:paraId="45667F7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(九)申請公開發行或已公開發行公司向關係人購買不動產應依「公開發行公司取得或處分資產處理準則」第三節規定辦理，並於事實發生之日起二日內向主管機關指定網站辦理公告申報。</w:t>
            </w:r>
          </w:p>
        </w:tc>
        <w:tc>
          <w:tcPr>
            <w:tcW w:w="2023" w:type="dxa"/>
            <w:vMerge/>
            <w:tcBorders>
              <w:right w:val="single" w:sz="12" w:space="0" w:color="auto"/>
            </w:tcBorders>
          </w:tcPr>
          <w:p w14:paraId="083609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D2F6FD" w14:textId="77777777">
        <w:tc>
          <w:tcPr>
            <w:tcW w:w="1384" w:type="dxa"/>
            <w:vMerge/>
            <w:tcBorders>
              <w:left w:val="single" w:sz="12" w:space="0" w:color="auto"/>
              <w:bottom w:val="single" w:sz="12" w:space="0" w:color="auto"/>
            </w:tcBorders>
          </w:tcPr>
          <w:p w14:paraId="540B802A"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840B175"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44E4CC6A" w14:textId="77777777"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(十)購置不動產及設備作為分支機構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營業處所者，應於證交所核准函復後三個月內提出籌設</w:t>
            </w:r>
            <w:r w:rsidRPr="00BF4297">
              <w:rPr>
                <w:rFonts w:ascii="新細明體" w:eastAsia="新細明體" w:hAnsi="新細明體" w:cs="新細明體" w:hint="eastAsia"/>
                <w:bCs/>
              </w:rPr>
              <w:t>分支機構</w:t>
            </w:r>
            <w:r w:rsidRPr="00BF4297">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之申請。</w:t>
            </w:r>
          </w:p>
        </w:tc>
        <w:tc>
          <w:tcPr>
            <w:tcW w:w="5387" w:type="dxa"/>
            <w:tcBorders>
              <w:top w:val="nil"/>
              <w:bottom w:val="single" w:sz="12" w:space="0" w:color="auto"/>
            </w:tcBorders>
          </w:tcPr>
          <w:p w14:paraId="1882E277" w14:textId="77777777"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(十)購置不動產及設備作為分支機構營業處所者，應於證交所核准函復後三個月內提出籌設分支機構之申請。</w:t>
            </w:r>
          </w:p>
        </w:tc>
        <w:tc>
          <w:tcPr>
            <w:tcW w:w="2023" w:type="dxa"/>
            <w:vMerge/>
            <w:tcBorders>
              <w:bottom w:val="single" w:sz="12" w:space="0" w:color="auto"/>
              <w:right w:val="single" w:sz="12" w:space="0" w:color="auto"/>
            </w:tcBorders>
          </w:tcPr>
          <w:p w14:paraId="7036AE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45A48B6" w14:textId="77777777" w:rsidR="001E533B" w:rsidRPr="00F6439B" w:rsidRDefault="001E533B" w:rsidP="00A24FFC">
      <w:pPr>
        <w:rPr>
          <w:rFonts w:ascii="新細明體" w:eastAsia="新細明體" w:hAnsi="新細明體"/>
        </w:rPr>
      </w:pPr>
    </w:p>
    <w:p w14:paraId="56A4513F" w14:textId="77777777" w:rsidR="00A405AB" w:rsidRDefault="00000000">
      <w:r>
        <w:br w:type="page"/>
      </w:r>
    </w:p>
    <w:p w14:paraId="78CDC3A3" w14:textId="61782B60"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A943E4" w:rsidRPr="00F6439B" w14:paraId="41574956" w14:textId="77777777" w:rsidTr="00C6790C">
        <w:trPr>
          <w:tblHeader/>
        </w:trPr>
        <w:tc>
          <w:tcPr>
            <w:tcW w:w="1384" w:type="dxa"/>
            <w:tcBorders>
              <w:top w:val="single" w:sz="12" w:space="0" w:color="auto"/>
              <w:left w:val="single" w:sz="12" w:space="0" w:color="auto"/>
              <w:bottom w:val="single" w:sz="12" w:space="0" w:color="auto"/>
            </w:tcBorders>
          </w:tcPr>
          <w:p w14:paraId="08D737AF"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437FE49A"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C71D259"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559F511C"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5BF78287"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596B8489" w14:textId="77777777">
        <w:tc>
          <w:tcPr>
            <w:tcW w:w="1384" w:type="dxa"/>
            <w:vMerge w:val="restart"/>
            <w:tcBorders>
              <w:top w:val="single" w:sz="12" w:space="0" w:color="auto"/>
              <w:left w:val="single" w:sz="12" w:space="0" w:color="auto"/>
            </w:tcBorders>
          </w:tcPr>
          <w:p w14:paraId="4CA54F58" w14:textId="77777777" w:rsidR="00A943E4" w:rsidRPr="00F6439B" w:rsidRDefault="00A943E4">
            <w:pPr>
              <w:rPr>
                <w:rFonts w:ascii="新細明體" w:eastAsia="新細明體" w:hAnsi="新細明體"/>
              </w:rPr>
            </w:pPr>
            <w:r>
              <w:rPr>
                <w:rFonts w:ascii="新細明體" w:eastAsia="新細明體" w:hAnsi="新細明體" w:hint="eastAsia"/>
              </w:rPr>
              <w:t>CF-11000</w:t>
            </w:r>
          </w:p>
        </w:tc>
        <w:tc>
          <w:tcPr>
            <w:tcW w:w="1276" w:type="dxa"/>
            <w:vMerge w:val="restart"/>
            <w:tcBorders>
              <w:top w:val="single" w:sz="12" w:space="0" w:color="auto"/>
            </w:tcBorders>
          </w:tcPr>
          <w:p w14:paraId="7CE1BA68" w14:textId="77777777" w:rsidR="00A943E4" w:rsidRPr="00F6439B" w:rsidRDefault="00A943E4">
            <w:pPr>
              <w:rPr>
                <w:rFonts w:ascii="新細明體" w:eastAsia="新細明體" w:hAnsi="新細明體"/>
              </w:rPr>
            </w:pPr>
            <w:r>
              <w:rPr>
                <w:rFonts w:ascii="新細明體" w:eastAsia="新細明體" w:hAnsi="新細明體" w:hint="eastAsia"/>
              </w:rPr>
              <w:t>不動產及設備取得或增添作業</w:t>
            </w:r>
          </w:p>
        </w:tc>
        <w:tc>
          <w:tcPr>
            <w:tcW w:w="5386" w:type="dxa"/>
            <w:tcBorders>
              <w:top w:val="single" w:sz="12" w:space="0" w:color="auto"/>
              <w:bottom w:val="nil"/>
            </w:tcBorders>
          </w:tcPr>
          <w:p w14:paraId="7AB92702"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2C1A620D"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0B305CF9"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06719F3F" w14:textId="77777777">
        <w:tc>
          <w:tcPr>
            <w:tcW w:w="1384" w:type="dxa"/>
            <w:vMerge/>
            <w:tcBorders>
              <w:left w:val="single" w:sz="12" w:space="0" w:color="auto"/>
            </w:tcBorders>
          </w:tcPr>
          <w:p w14:paraId="0CC871EF" w14:textId="77777777" w:rsidR="00A943E4" w:rsidRDefault="00A943E4">
            <w:pPr>
              <w:rPr>
                <w:rFonts w:ascii="新細明體" w:eastAsia="新細明體" w:hAnsi="新細明體"/>
              </w:rPr>
            </w:pPr>
          </w:p>
        </w:tc>
        <w:tc>
          <w:tcPr>
            <w:tcW w:w="1276" w:type="dxa"/>
            <w:vMerge/>
          </w:tcPr>
          <w:p w14:paraId="00C7A276" w14:textId="77777777" w:rsidR="00A943E4" w:rsidRDefault="00A943E4">
            <w:pPr>
              <w:rPr>
                <w:rFonts w:ascii="新細明體" w:eastAsia="新細明體" w:hAnsi="新細明體"/>
              </w:rPr>
            </w:pPr>
          </w:p>
        </w:tc>
        <w:tc>
          <w:tcPr>
            <w:tcW w:w="5386" w:type="dxa"/>
            <w:tcBorders>
              <w:top w:val="nil"/>
              <w:bottom w:val="nil"/>
            </w:tcBorders>
          </w:tcPr>
          <w:p w14:paraId="05B04B0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(一)公司法第185條</w:t>
            </w:r>
          </w:p>
        </w:tc>
        <w:tc>
          <w:tcPr>
            <w:tcW w:w="5387" w:type="dxa"/>
            <w:tcBorders>
              <w:top w:val="nil"/>
              <w:bottom w:val="nil"/>
            </w:tcBorders>
          </w:tcPr>
          <w:p w14:paraId="573B344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(一)公司法第185條</w:t>
            </w:r>
          </w:p>
        </w:tc>
        <w:tc>
          <w:tcPr>
            <w:tcW w:w="2023" w:type="dxa"/>
            <w:vMerge/>
            <w:tcBorders>
              <w:right w:val="single" w:sz="12" w:space="0" w:color="auto"/>
            </w:tcBorders>
          </w:tcPr>
          <w:p w14:paraId="1552040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AC20994" w14:textId="77777777">
        <w:tc>
          <w:tcPr>
            <w:tcW w:w="1384" w:type="dxa"/>
            <w:vMerge/>
            <w:tcBorders>
              <w:left w:val="single" w:sz="12" w:space="0" w:color="auto"/>
            </w:tcBorders>
          </w:tcPr>
          <w:p w14:paraId="4FF6DC6C" w14:textId="77777777" w:rsidR="00A943E4" w:rsidRDefault="00A943E4">
            <w:pPr>
              <w:rPr>
                <w:rFonts w:ascii="新細明體" w:eastAsia="新細明體" w:hAnsi="新細明體"/>
              </w:rPr>
            </w:pPr>
          </w:p>
        </w:tc>
        <w:tc>
          <w:tcPr>
            <w:tcW w:w="1276" w:type="dxa"/>
            <w:vMerge/>
          </w:tcPr>
          <w:p w14:paraId="4C72FF57" w14:textId="77777777" w:rsidR="00A943E4" w:rsidRDefault="00A943E4">
            <w:pPr>
              <w:rPr>
                <w:rFonts w:ascii="新細明體" w:eastAsia="新細明體" w:hAnsi="新細明體"/>
              </w:rPr>
            </w:pPr>
          </w:p>
        </w:tc>
        <w:tc>
          <w:tcPr>
            <w:tcW w:w="5386" w:type="dxa"/>
            <w:tcBorders>
              <w:top w:val="nil"/>
              <w:bottom w:val="nil"/>
            </w:tcBorders>
          </w:tcPr>
          <w:p w14:paraId="72BA79D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(二)公司內部控制制度</w:t>
            </w:r>
          </w:p>
        </w:tc>
        <w:tc>
          <w:tcPr>
            <w:tcW w:w="5387" w:type="dxa"/>
            <w:tcBorders>
              <w:top w:val="nil"/>
              <w:bottom w:val="nil"/>
            </w:tcBorders>
          </w:tcPr>
          <w:p w14:paraId="76E1AAC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(二)公司內部控制制度</w:t>
            </w:r>
          </w:p>
        </w:tc>
        <w:tc>
          <w:tcPr>
            <w:tcW w:w="2023" w:type="dxa"/>
            <w:vMerge/>
            <w:tcBorders>
              <w:right w:val="single" w:sz="12" w:space="0" w:color="auto"/>
            </w:tcBorders>
          </w:tcPr>
          <w:p w14:paraId="4A62C8E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A619478" w14:textId="77777777">
        <w:tc>
          <w:tcPr>
            <w:tcW w:w="1384" w:type="dxa"/>
            <w:vMerge/>
            <w:tcBorders>
              <w:left w:val="single" w:sz="12" w:space="0" w:color="auto"/>
            </w:tcBorders>
          </w:tcPr>
          <w:p w14:paraId="10F64D6F" w14:textId="77777777" w:rsidR="00A943E4" w:rsidRDefault="00A943E4">
            <w:pPr>
              <w:rPr>
                <w:rFonts w:ascii="新細明體" w:eastAsia="新細明體" w:hAnsi="新細明體"/>
              </w:rPr>
            </w:pPr>
          </w:p>
        </w:tc>
        <w:tc>
          <w:tcPr>
            <w:tcW w:w="1276" w:type="dxa"/>
            <w:vMerge/>
          </w:tcPr>
          <w:p w14:paraId="5405468F" w14:textId="77777777" w:rsidR="00A943E4" w:rsidRDefault="00A943E4">
            <w:pPr>
              <w:rPr>
                <w:rFonts w:ascii="新細明體" w:eastAsia="新細明體" w:hAnsi="新細明體"/>
              </w:rPr>
            </w:pPr>
          </w:p>
        </w:tc>
        <w:tc>
          <w:tcPr>
            <w:tcW w:w="5386" w:type="dxa"/>
            <w:tcBorders>
              <w:top w:val="nil"/>
              <w:bottom w:val="nil"/>
            </w:tcBorders>
          </w:tcPr>
          <w:p w14:paraId="6970AE5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(三)證券商管理規則第3、16條</w:t>
            </w:r>
          </w:p>
        </w:tc>
        <w:tc>
          <w:tcPr>
            <w:tcW w:w="5387" w:type="dxa"/>
            <w:tcBorders>
              <w:top w:val="nil"/>
              <w:bottom w:val="nil"/>
            </w:tcBorders>
          </w:tcPr>
          <w:p w14:paraId="22DE44D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(三)證券商管理規則第3、16條</w:t>
            </w:r>
          </w:p>
        </w:tc>
        <w:tc>
          <w:tcPr>
            <w:tcW w:w="2023" w:type="dxa"/>
            <w:vMerge/>
            <w:tcBorders>
              <w:right w:val="single" w:sz="12" w:space="0" w:color="auto"/>
            </w:tcBorders>
          </w:tcPr>
          <w:p w14:paraId="4404774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944F53E" w14:textId="77777777">
        <w:tc>
          <w:tcPr>
            <w:tcW w:w="1384" w:type="dxa"/>
            <w:vMerge/>
            <w:tcBorders>
              <w:left w:val="single" w:sz="12" w:space="0" w:color="auto"/>
            </w:tcBorders>
          </w:tcPr>
          <w:p w14:paraId="0C89B516" w14:textId="77777777" w:rsidR="00A943E4" w:rsidRDefault="00A943E4">
            <w:pPr>
              <w:rPr>
                <w:rFonts w:ascii="新細明體" w:eastAsia="新細明體" w:hAnsi="新細明體"/>
              </w:rPr>
            </w:pPr>
          </w:p>
        </w:tc>
        <w:tc>
          <w:tcPr>
            <w:tcW w:w="1276" w:type="dxa"/>
            <w:vMerge/>
          </w:tcPr>
          <w:p w14:paraId="19F4B947" w14:textId="77777777" w:rsidR="00A943E4" w:rsidRDefault="00A943E4">
            <w:pPr>
              <w:rPr>
                <w:rFonts w:ascii="新細明體" w:eastAsia="新細明體" w:hAnsi="新細明體"/>
              </w:rPr>
            </w:pPr>
          </w:p>
        </w:tc>
        <w:tc>
          <w:tcPr>
            <w:tcW w:w="5386" w:type="dxa"/>
            <w:tcBorders>
              <w:top w:val="nil"/>
              <w:bottom w:val="nil"/>
            </w:tcBorders>
          </w:tcPr>
          <w:p w14:paraId="5C7499A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(四)證券商及證券交易輔助人營業處所場地及設備標準</w:t>
            </w:r>
          </w:p>
        </w:tc>
        <w:tc>
          <w:tcPr>
            <w:tcW w:w="5387" w:type="dxa"/>
            <w:tcBorders>
              <w:top w:val="nil"/>
              <w:bottom w:val="nil"/>
            </w:tcBorders>
          </w:tcPr>
          <w:p w14:paraId="00388D9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(四)證券商及證券交易輔助人營業處所場地及設備標準</w:t>
            </w:r>
          </w:p>
        </w:tc>
        <w:tc>
          <w:tcPr>
            <w:tcW w:w="2023" w:type="dxa"/>
            <w:vMerge/>
            <w:tcBorders>
              <w:right w:val="single" w:sz="12" w:space="0" w:color="auto"/>
            </w:tcBorders>
          </w:tcPr>
          <w:p w14:paraId="149CAA7B"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CF7969E" w14:textId="77777777">
        <w:tc>
          <w:tcPr>
            <w:tcW w:w="1384" w:type="dxa"/>
            <w:vMerge/>
            <w:tcBorders>
              <w:left w:val="single" w:sz="12" w:space="0" w:color="auto"/>
            </w:tcBorders>
          </w:tcPr>
          <w:p w14:paraId="45813B73" w14:textId="77777777" w:rsidR="00A943E4" w:rsidRDefault="00A943E4">
            <w:pPr>
              <w:rPr>
                <w:rFonts w:ascii="新細明體" w:eastAsia="新細明體" w:hAnsi="新細明體"/>
              </w:rPr>
            </w:pPr>
          </w:p>
        </w:tc>
        <w:tc>
          <w:tcPr>
            <w:tcW w:w="1276" w:type="dxa"/>
            <w:vMerge/>
          </w:tcPr>
          <w:p w14:paraId="09D2745C" w14:textId="77777777" w:rsidR="00A943E4" w:rsidRDefault="00A943E4">
            <w:pPr>
              <w:rPr>
                <w:rFonts w:ascii="新細明體" w:eastAsia="新細明體" w:hAnsi="新細明體"/>
              </w:rPr>
            </w:pPr>
          </w:p>
        </w:tc>
        <w:tc>
          <w:tcPr>
            <w:tcW w:w="5386" w:type="dxa"/>
            <w:tcBorders>
              <w:top w:val="nil"/>
              <w:bottom w:val="nil"/>
            </w:tcBorders>
          </w:tcPr>
          <w:p w14:paraId="69C6AF2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(五)公開發行公司取得或處分資產處理準則</w:t>
            </w:r>
          </w:p>
        </w:tc>
        <w:tc>
          <w:tcPr>
            <w:tcW w:w="5387" w:type="dxa"/>
            <w:tcBorders>
              <w:top w:val="nil"/>
              <w:bottom w:val="nil"/>
            </w:tcBorders>
          </w:tcPr>
          <w:p w14:paraId="063990A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(五)公開發行公司取得或處分資產處理準則</w:t>
            </w:r>
          </w:p>
        </w:tc>
        <w:tc>
          <w:tcPr>
            <w:tcW w:w="2023" w:type="dxa"/>
            <w:vMerge/>
            <w:tcBorders>
              <w:right w:val="single" w:sz="12" w:space="0" w:color="auto"/>
            </w:tcBorders>
          </w:tcPr>
          <w:p w14:paraId="696F46AF"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7145EE2" w14:textId="77777777">
        <w:tc>
          <w:tcPr>
            <w:tcW w:w="1384" w:type="dxa"/>
            <w:vMerge/>
            <w:tcBorders>
              <w:left w:val="single" w:sz="12" w:space="0" w:color="auto"/>
            </w:tcBorders>
          </w:tcPr>
          <w:p w14:paraId="715A0C94" w14:textId="77777777" w:rsidR="00A943E4" w:rsidRDefault="00A943E4">
            <w:pPr>
              <w:rPr>
                <w:rFonts w:ascii="新細明體" w:eastAsia="新細明體" w:hAnsi="新細明體"/>
              </w:rPr>
            </w:pPr>
          </w:p>
        </w:tc>
        <w:tc>
          <w:tcPr>
            <w:tcW w:w="1276" w:type="dxa"/>
            <w:vMerge/>
          </w:tcPr>
          <w:p w14:paraId="26A17A3C" w14:textId="77777777" w:rsidR="00A943E4" w:rsidRDefault="00A943E4">
            <w:pPr>
              <w:rPr>
                <w:rFonts w:ascii="新細明體" w:eastAsia="新細明體" w:hAnsi="新細明體"/>
              </w:rPr>
            </w:pPr>
          </w:p>
        </w:tc>
        <w:tc>
          <w:tcPr>
            <w:tcW w:w="5386" w:type="dxa"/>
            <w:tcBorders>
              <w:top w:val="nil"/>
              <w:bottom w:val="nil"/>
            </w:tcBorders>
          </w:tcPr>
          <w:p w14:paraId="1BDB1C0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(六)證期會77年11月14日(77)台財證(二)第09416號函</w:t>
            </w:r>
          </w:p>
        </w:tc>
        <w:tc>
          <w:tcPr>
            <w:tcW w:w="5387" w:type="dxa"/>
            <w:tcBorders>
              <w:top w:val="nil"/>
              <w:bottom w:val="nil"/>
            </w:tcBorders>
          </w:tcPr>
          <w:p w14:paraId="3FCDFB6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(六)證期會77年11月14日(77)台財證(二)第09416號函</w:t>
            </w:r>
          </w:p>
        </w:tc>
        <w:tc>
          <w:tcPr>
            <w:tcW w:w="2023" w:type="dxa"/>
            <w:vMerge/>
            <w:tcBorders>
              <w:right w:val="single" w:sz="12" w:space="0" w:color="auto"/>
            </w:tcBorders>
          </w:tcPr>
          <w:p w14:paraId="5C334CC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9DDD27C" w14:textId="77777777">
        <w:tc>
          <w:tcPr>
            <w:tcW w:w="1384" w:type="dxa"/>
            <w:vMerge/>
            <w:tcBorders>
              <w:left w:val="single" w:sz="12" w:space="0" w:color="auto"/>
            </w:tcBorders>
          </w:tcPr>
          <w:p w14:paraId="2388C49E" w14:textId="77777777" w:rsidR="00A943E4" w:rsidRDefault="00A943E4">
            <w:pPr>
              <w:rPr>
                <w:rFonts w:ascii="新細明體" w:eastAsia="新細明體" w:hAnsi="新細明體"/>
              </w:rPr>
            </w:pPr>
          </w:p>
        </w:tc>
        <w:tc>
          <w:tcPr>
            <w:tcW w:w="1276" w:type="dxa"/>
            <w:vMerge/>
          </w:tcPr>
          <w:p w14:paraId="50EBA3EF" w14:textId="77777777" w:rsidR="00A943E4" w:rsidRDefault="00A943E4">
            <w:pPr>
              <w:rPr>
                <w:rFonts w:ascii="新細明體" w:eastAsia="新細明體" w:hAnsi="新細明體"/>
              </w:rPr>
            </w:pPr>
          </w:p>
        </w:tc>
        <w:tc>
          <w:tcPr>
            <w:tcW w:w="5386" w:type="dxa"/>
            <w:tcBorders>
              <w:top w:val="nil"/>
              <w:bottom w:val="nil"/>
            </w:tcBorders>
          </w:tcPr>
          <w:p w14:paraId="7AFCED0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(七)金管會11</w:t>
            </w:r>
            <w:r>
              <w:rPr>
                <w:rFonts w:ascii="新細明體" w:eastAsia="新細明體" w:hAnsi="新細明體" w:cs="新細明體" w:hint="eastAsia"/>
                <w:b/>
                <w:color w:val="FF0000"/>
                <w:u w:val="single"/>
              </w:rPr>
              <w:t>5年</w:t>
            </w:r>
            <w:r>
              <w:rPr>
                <w:rFonts w:ascii="新細明體" w:eastAsia="新細明體" w:hAnsi="新細明體" w:cs="新細明體" w:hint="eastAsia"/>
              </w:rPr>
              <w:t>1</w:t>
            </w:r>
            <w:r>
              <w:rPr>
                <w:rFonts w:ascii="新細明體" w:eastAsia="新細明體" w:hAnsi="新細明體" w:cs="新細明體" w:hint="eastAsia"/>
                <w:b/>
                <w:color w:val="FF0000"/>
                <w:u w:val="single"/>
              </w:rPr>
              <w:t>月</w:t>
            </w:r>
            <w:r>
              <w:rPr>
                <w:rFonts w:ascii="新細明體" w:eastAsia="新細明體" w:hAnsi="新細明體" w:cs="新細明體" w:hint="eastAsia"/>
              </w:rPr>
              <w:t>8日金管證券字第11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w:t>
            </w:r>
            <w:r>
              <w:rPr>
                <w:rFonts w:ascii="新細明體" w:eastAsia="新細明體" w:hAnsi="新細明體" w:cs="新細明體" w:hint="eastAsia"/>
                <w:b/>
                <w:color w:val="FF0000"/>
                <w:u w:val="single"/>
              </w:rPr>
              <w:t>649</w:t>
            </w:r>
            <w:r>
              <w:rPr>
                <w:rFonts w:ascii="新細明體" w:eastAsia="新細明體" w:hAnsi="新細明體" w:cs="新細明體" w:hint="eastAsia"/>
              </w:rPr>
              <w:t>2</w:t>
            </w:r>
            <w:r>
              <w:rPr>
                <w:rFonts w:ascii="新細明體" w:eastAsia="新細明體" w:hAnsi="新細明體" w:cs="新細明體" w:hint="eastAsia"/>
                <w:b/>
                <w:color w:val="FF0000"/>
                <w:u w:val="single"/>
              </w:rPr>
              <w:t>7</w:t>
            </w:r>
            <w:r>
              <w:rPr>
                <w:rFonts w:ascii="新細明體" w:eastAsia="新細明體" w:hAnsi="新細明體" w:cs="新細明體" w:hint="eastAsia"/>
              </w:rPr>
              <w:t>1號令</w:t>
            </w:r>
          </w:p>
        </w:tc>
        <w:tc>
          <w:tcPr>
            <w:tcW w:w="5387" w:type="dxa"/>
            <w:tcBorders>
              <w:top w:val="nil"/>
              <w:bottom w:val="nil"/>
            </w:tcBorders>
          </w:tcPr>
          <w:p w14:paraId="541EF4C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(七)金管會111</w:t>
            </w:r>
            <w:r>
              <w:rPr>
                <w:rFonts w:ascii="新細明體" w:eastAsia="新細明體" w:hAnsi="新細明體" w:cs="新細明體" w:hint="eastAsia"/>
                <w:b/>
                <w:color w:val="FF0000"/>
              </w:rPr>
              <w:t>年</w:t>
            </w:r>
            <w:r>
              <w:rPr>
                <w:rFonts w:ascii="新細明體" w:eastAsia="新細明體" w:hAnsi="新細明體" w:cs="新細明體" w:hint="eastAsia"/>
              </w:rPr>
              <w:t>8</w:t>
            </w:r>
            <w:r>
              <w:rPr>
                <w:rFonts w:ascii="新細明體" w:eastAsia="新細明體" w:hAnsi="新細明體" w:cs="新細明體" w:hint="eastAsia"/>
                <w:b/>
                <w:color w:val="FF0000"/>
              </w:rPr>
              <w:t>月22</w:t>
            </w:r>
            <w:r>
              <w:rPr>
                <w:rFonts w:ascii="新細明體" w:eastAsia="新細明體" w:hAnsi="新細明體" w:cs="新細明體" w:hint="eastAsia"/>
              </w:rPr>
              <w:t>日金管證券字第</w:t>
            </w:r>
            <w:r>
              <w:rPr>
                <w:rFonts w:ascii="新細明體" w:eastAsia="新細明體" w:hAnsi="新細明體" w:cs="新細明體" w:hint="eastAsia"/>
                <w:b/>
                <w:color w:val="FF0000"/>
              </w:rPr>
              <w:t>1</w:t>
            </w:r>
            <w:r>
              <w:rPr>
                <w:rFonts w:ascii="新細明體" w:eastAsia="新細明體" w:hAnsi="新細明體" w:cs="新細明體" w:hint="eastAsia"/>
              </w:rPr>
              <w:t>1103</w:t>
            </w:r>
            <w:r>
              <w:rPr>
                <w:rFonts w:ascii="新細明體" w:eastAsia="新細明體" w:hAnsi="新細明體" w:cs="新細明體" w:hint="eastAsia"/>
                <w:b/>
                <w:color w:val="FF0000"/>
              </w:rPr>
              <w:t>8</w:t>
            </w:r>
            <w:r>
              <w:rPr>
                <w:rFonts w:ascii="新細明體" w:eastAsia="新細明體" w:hAnsi="新細明體" w:cs="新細明體" w:hint="eastAsia"/>
              </w:rPr>
              <w:t>2</w:t>
            </w:r>
            <w:r>
              <w:rPr>
                <w:rFonts w:ascii="新細明體" w:eastAsia="新細明體" w:hAnsi="新細明體" w:cs="新細明體" w:hint="eastAsia"/>
                <w:b/>
                <w:color w:val="FF0000"/>
              </w:rPr>
              <w:t>901</w:t>
            </w:r>
            <w:r>
              <w:rPr>
                <w:rFonts w:ascii="新細明體" w:eastAsia="新細明體" w:hAnsi="新細明體" w:cs="新細明體" w:hint="eastAsia"/>
              </w:rPr>
              <w:t>1號令</w:t>
            </w:r>
          </w:p>
        </w:tc>
        <w:tc>
          <w:tcPr>
            <w:tcW w:w="2023" w:type="dxa"/>
            <w:vMerge/>
            <w:tcBorders>
              <w:right w:val="single" w:sz="12" w:space="0" w:color="auto"/>
            </w:tcBorders>
          </w:tcPr>
          <w:p w14:paraId="42A11CE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C4D808D" w14:textId="77777777">
        <w:tc>
          <w:tcPr>
            <w:tcW w:w="1384" w:type="dxa"/>
            <w:vMerge/>
            <w:tcBorders>
              <w:left w:val="single" w:sz="12" w:space="0" w:color="auto"/>
            </w:tcBorders>
          </w:tcPr>
          <w:p w14:paraId="0DE0A45C" w14:textId="77777777" w:rsidR="00A943E4" w:rsidRDefault="00A943E4">
            <w:pPr>
              <w:rPr>
                <w:rFonts w:ascii="新細明體" w:eastAsia="新細明體" w:hAnsi="新細明體"/>
              </w:rPr>
            </w:pPr>
          </w:p>
        </w:tc>
        <w:tc>
          <w:tcPr>
            <w:tcW w:w="1276" w:type="dxa"/>
            <w:vMerge/>
          </w:tcPr>
          <w:p w14:paraId="7E0E1192" w14:textId="77777777" w:rsidR="00A943E4" w:rsidRDefault="00A943E4">
            <w:pPr>
              <w:rPr>
                <w:rFonts w:ascii="新細明體" w:eastAsia="新細明體" w:hAnsi="新細明體"/>
              </w:rPr>
            </w:pPr>
          </w:p>
        </w:tc>
        <w:tc>
          <w:tcPr>
            <w:tcW w:w="5386" w:type="dxa"/>
            <w:tcBorders>
              <w:top w:val="nil"/>
              <w:bottom w:val="nil"/>
            </w:tcBorders>
          </w:tcPr>
          <w:p w14:paraId="7CC4F80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(八)證期會80年1月11日(80)台財證(二)第42484號函</w:t>
            </w:r>
          </w:p>
        </w:tc>
        <w:tc>
          <w:tcPr>
            <w:tcW w:w="5387" w:type="dxa"/>
            <w:tcBorders>
              <w:top w:val="nil"/>
              <w:bottom w:val="nil"/>
            </w:tcBorders>
          </w:tcPr>
          <w:p w14:paraId="2B6D588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(八)證期會80年1月11日(80)台財證(二)第42484號函</w:t>
            </w:r>
          </w:p>
        </w:tc>
        <w:tc>
          <w:tcPr>
            <w:tcW w:w="2023" w:type="dxa"/>
            <w:vMerge/>
            <w:tcBorders>
              <w:right w:val="single" w:sz="12" w:space="0" w:color="auto"/>
            </w:tcBorders>
          </w:tcPr>
          <w:p w14:paraId="1CEAF1D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7DE1652" w14:textId="77777777">
        <w:tc>
          <w:tcPr>
            <w:tcW w:w="1384" w:type="dxa"/>
            <w:vMerge/>
            <w:tcBorders>
              <w:left w:val="single" w:sz="12" w:space="0" w:color="auto"/>
            </w:tcBorders>
          </w:tcPr>
          <w:p w14:paraId="44499630" w14:textId="77777777" w:rsidR="00A943E4" w:rsidRDefault="00A943E4">
            <w:pPr>
              <w:rPr>
                <w:rFonts w:ascii="新細明體" w:eastAsia="新細明體" w:hAnsi="新細明體"/>
              </w:rPr>
            </w:pPr>
          </w:p>
        </w:tc>
        <w:tc>
          <w:tcPr>
            <w:tcW w:w="1276" w:type="dxa"/>
            <w:vMerge/>
          </w:tcPr>
          <w:p w14:paraId="561377BE" w14:textId="77777777" w:rsidR="00A943E4" w:rsidRDefault="00A943E4">
            <w:pPr>
              <w:rPr>
                <w:rFonts w:ascii="新細明體" w:eastAsia="新細明體" w:hAnsi="新細明體"/>
              </w:rPr>
            </w:pPr>
          </w:p>
        </w:tc>
        <w:tc>
          <w:tcPr>
            <w:tcW w:w="5386" w:type="dxa"/>
            <w:tcBorders>
              <w:top w:val="nil"/>
              <w:bottom w:val="nil"/>
            </w:tcBorders>
          </w:tcPr>
          <w:p w14:paraId="43E598B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(九)金管會106年6月15日金管證券字第1060015654號</w:t>
            </w:r>
          </w:p>
        </w:tc>
        <w:tc>
          <w:tcPr>
            <w:tcW w:w="5387" w:type="dxa"/>
            <w:tcBorders>
              <w:top w:val="nil"/>
              <w:bottom w:val="nil"/>
            </w:tcBorders>
          </w:tcPr>
          <w:p w14:paraId="5A20F63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(九)金管會106年6月15日金管證券字第1060015654號</w:t>
            </w:r>
          </w:p>
        </w:tc>
        <w:tc>
          <w:tcPr>
            <w:tcW w:w="2023" w:type="dxa"/>
            <w:vMerge/>
            <w:tcBorders>
              <w:right w:val="single" w:sz="12" w:space="0" w:color="auto"/>
            </w:tcBorders>
          </w:tcPr>
          <w:p w14:paraId="3D92128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42DA286" w14:textId="77777777">
        <w:tc>
          <w:tcPr>
            <w:tcW w:w="1384" w:type="dxa"/>
            <w:vMerge/>
            <w:tcBorders>
              <w:left w:val="single" w:sz="12" w:space="0" w:color="auto"/>
            </w:tcBorders>
          </w:tcPr>
          <w:p w14:paraId="0E0B07A2" w14:textId="77777777" w:rsidR="00A943E4" w:rsidRDefault="00A943E4">
            <w:pPr>
              <w:rPr>
                <w:rFonts w:ascii="新細明體" w:eastAsia="新細明體" w:hAnsi="新細明體"/>
              </w:rPr>
            </w:pPr>
          </w:p>
        </w:tc>
        <w:tc>
          <w:tcPr>
            <w:tcW w:w="1276" w:type="dxa"/>
            <w:vMerge/>
          </w:tcPr>
          <w:p w14:paraId="58307C09" w14:textId="77777777" w:rsidR="00A943E4" w:rsidRDefault="00A943E4">
            <w:pPr>
              <w:rPr>
                <w:rFonts w:ascii="新細明體" w:eastAsia="新細明體" w:hAnsi="新細明體"/>
              </w:rPr>
            </w:pPr>
          </w:p>
        </w:tc>
        <w:tc>
          <w:tcPr>
            <w:tcW w:w="5386" w:type="dxa"/>
            <w:tcBorders>
              <w:top w:val="nil"/>
              <w:bottom w:val="nil"/>
            </w:tcBorders>
          </w:tcPr>
          <w:p w14:paraId="5713493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(十)證交所80年4月13日台證(80)交字第05205號函</w:t>
            </w:r>
          </w:p>
        </w:tc>
        <w:tc>
          <w:tcPr>
            <w:tcW w:w="5387" w:type="dxa"/>
            <w:tcBorders>
              <w:top w:val="nil"/>
              <w:bottom w:val="nil"/>
            </w:tcBorders>
          </w:tcPr>
          <w:p w14:paraId="19ECF56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(十)證交所80年4月13日台證(80)交字第05205號函</w:t>
            </w:r>
          </w:p>
        </w:tc>
        <w:tc>
          <w:tcPr>
            <w:tcW w:w="2023" w:type="dxa"/>
            <w:vMerge/>
            <w:tcBorders>
              <w:right w:val="single" w:sz="12" w:space="0" w:color="auto"/>
            </w:tcBorders>
          </w:tcPr>
          <w:p w14:paraId="328E9D1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0199987" w14:textId="77777777">
        <w:tc>
          <w:tcPr>
            <w:tcW w:w="1384" w:type="dxa"/>
            <w:vMerge/>
            <w:tcBorders>
              <w:left w:val="single" w:sz="12" w:space="0" w:color="auto"/>
            </w:tcBorders>
          </w:tcPr>
          <w:p w14:paraId="05C0AB60" w14:textId="77777777" w:rsidR="00A943E4" w:rsidRDefault="00A943E4">
            <w:pPr>
              <w:rPr>
                <w:rFonts w:ascii="新細明體" w:eastAsia="新細明體" w:hAnsi="新細明體"/>
              </w:rPr>
            </w:pPr>
          </w:p>
        </w:tc>
        <w:tc>
          <w:tcPr>
            <w:tcW w:w="1276" w:type="dxa"/>
            <w:vMerge/>
          </w:tcPr>
          <w:p w14:paraId="4B7B3A4C" w14:textId="77777777" w:rsidR="00A943E4" w:rsidRDefault="00A943E4">
            <w:pPr>
              <w:rPr>
                <w:rFonts w:ascii="新細明體" w:eastAsia="新細明體" w:hAnsi="新細明體"/>
              </w:rPr>
            </w:pPr>
          </w:p>
        </w:tc>
        <w:tc>
          <w:tcPr>
            <w:tcW w:w="5386" w:type="dxa"/>
            <w:tcBorders>
              <w:top w:val="nil"/>
              <w:bottom w:val="nil"/>
            </w:tcBorders>
          </w:tcPr>
          <w:p w14:paraId="517846D5"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(十一)證交所82年8月20日台證(82)稽字第15228號函</w:t>
            </w:r>
          </w:p>
        </w:tc>
        <w:tc>
          <w:tcPr>
            <w:tcW w:w="5387" w:type="dxa"/>
            <w:tcBorders>
              <w:top w:val="nil"/>
              <w:bottom w:val="nil"/>
            </w:tcBorders>
          </w:tcPr>
          <w:p w14:paraId="0E422F53"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(十一)證交所82年8月20日台證(82)稽字第15228號函</w:t>
            </w:r>
          </w:p>
        </w:tc>
        <w:tc>
          <w:tcPr>
            <w:tcW w:w="2023" w:type="dxa"/>
            <w:vMerge/>
            <w:tcBorders>
              <w:right w:val="single" w:sz="12" w:space="0" w:color="auto"/>
            </w:tcBorders>
          </w:tcPr>
          <w:p w14:paraId="1C1E43B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C92E1EE" w14:textId="77777777">
        <w:tc>
          <w:tcPr>
            <w:tcW w:w="1384" w:type="dxa"/>
            <w:vMerge/>
            <w:tcBorders>
              <w:left w:val="single" w:sz="12" w:space="0" w:color="auto"/>
            </w:tcBorders>
          </w:tcPr>
          <w:p w14:paraId="0123B127" w14:textId="77777777" w:rsidR="00A943E4" w:rsidRDefault="00A943E4">
            <w:pPr>
              <w:rPr>
                <w:rFonts w:ascii="新細明體" w:eastAsia="新細明體" w:hAnsi="新細明體"/>
              </w:rPr>
            </w:pPr>
          </w:p>
        </w:tc>
        <w:tc>
          <w:tcPr>
            <w:tcW w:w="1276" w:type="dxa"/>
            <w:vMerge/>
          </w:tcPr>
          <w:p w14:paraId="514FE83A" w14:textId="77777777" w:rsidR="00A943E4" w:rsidRDefault="00A943E4">
            <w:pPr>
              <w:rPr>
                <w:rFonts w:ascii="新細明體" w:eastAsia="新細明體" w:hAnsi="新細明體"/>
              </w:rPr>
            </w:pPr>
          </w:p>
        </w:tc>
        <w:tc>
          <w:tcPr>
            <w:tcW w:w="5386" w:type="dxa"/>
            <w:tcBorders>
              <w:top w:val="nil"/>
              <w:bottom w:val="nil"/>
            </w:tcBorders>
          </w:tcPr>
          <w:p w14:paraId="018CE8B8"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(十二)刪除</w:t>
            </w:r>
          </w:p>
        </w:tc>
        <w:tc>
          <w:tcPr>
            <w:tcW w:w="5387" w:type="dxa"/>
            <w:tcBorders>
              <w:top w:val="nil"/>
              <w:bottom w:val="nil"/>
            </w:tcBorders>
          </w:tcPr>
          <w:p w14:paraId="15C88C26"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(十二)刪除</w:t>
            </w:r>
          </w:p>
        </w:tc>
        <w:tc>
          <w:tcPr>
            <w:tcW w:w="2023" w:type="dxa"/>
            <w:vMerge/>
            <w:tcBorders>
              <w:right w:val="single" w:sz="12" w:space="0" w:color="auto"/>
            </w:tcBorders>
          </w:tcPr>
          <w:p w14:paraId="49B5553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7FB841E" w14:textId="77777777">
        <w:tc>
          <w:tcPr>
            <w:tcW w:w="1384" w:type="dxa"/>
            <w:vMerge/>
            <w:tcBorders>
              <w:left w:val="single" w:sz="12" w:space="0" w:color="auto"/>
              <w:bottom w:val="single" w:sz="12" w:space="0" w:color="auto"/>
            </w:tcBorders>
          </w:tcPr>
          <w:p w14:paraId="39F2396F" w14:textId="77777777" w:rsidR="00A943E4" w:rsidRDefault="00A943E4">
            <w:pPr>
              <w:rPr>
                <w:rFonts w:ascii="新細明體" w:eastAsia="新細明體" w:hAnsi="新細明體"/>
              </w:rPr>
            </w:pPr>
          </w:p>
        </w:tc>
        <w:tc>
          <w:tcPr>
            <w:tcW w:w="1276" w:type="dxa"/>
            <w:vMerge/>
            <w:tcBorders>
              <w:bottom w:val="single" w:sz="12" w:space="0" w:color="auto"/>
            </w:tcBorders>
          </w:tcPr>
          <w:p w14:paraId="1C92263A" w14:textId="77777777" w:rsidR="00A943E4" w:rsidRDefault="00A943E4">
            <w:pPr>
              <w:rPr>
                <w:rFonts w:ascii="新細明體" w:eastAsia="新細明體" w:hAnsi="新細明體"/>
              </w:rPr>
            </w:pPr>
          </w:p>
        </w:tc>
        <w:tc>
          <w:tcPr>
            <w:tcW w:w="5386" w:type="dxa"/>
            <w:tcBorders>
              <w:top w:val="nil"/>
              <w:bottom w:val="single" w:sz="12" w:space="0" w:color="auto"/>
            </w:tcBorders>
          </w:tcPr>
          <w:p w14:paraId="2DD13CD0"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(十三)證交所97年7月30日臺證交字第0970018048號函</w:t>
            </w:r>
          </w:p>
        </w:tc>
        <w:tc>
          <w:tcPr>
            <w:tcW w:w="5387" w:type="dxa"/>
            <w:tcBorders>
              <w:top w:val="nil"/>
              <w:bottom w:val="single" w:sz="12" w:space="0" w:color="auto"/>
            </w:tcBorders>
          </w:tcPr>
          <w:p w14:paraId="4F16C4D0"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(十三)證交所97年7月30日臺證交字第0970018048號函</w:t>
            </w:r>
          </w:p>
        </w:tc>
        <w:tc>
          <w:tcPr>
            <w:tcW w:w="2023" w:type="dxa"/>
            <w:vMerge/>
            <w:tcBorders>
              <w:bottom w:val="single" w:sz="12" w:space="0" w:color="auto"/>
              <w:right w:val="single" w:sz="12" w:space="0" w:color="auto"/>
            </w:tcBorders>
          </w:tcPr>
          <w:p w14:paraId="378943D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7708288B"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67621" w14:textId="77777777" w:rsidR="00B65B66" w:rsidRDefault="00B65B66" w:rsidP="00E87601">
      <w:pPr>
        <w:spacing w:line="240" w:lineRule="auto"/>
      </w:pPr>
      <w:r>
        <w:separator/>
      </w:r>
    </w:p>
  </w:endnote>
  <w:endnote w:type="continuationSeparator" w:id="0">
    <w:p w14:paraId="69A10931" w14:textId="77777777" w:rsidR="00B65B66" w:rsidRDefault="00B65B66"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37A11" w14:textId="77777777" w:rsidR="00B65B66" w:rsidRDefault="00B65B66" w:rsidP="00E87601">
      <w:pPr>
        <w:spacing w:line="240" w:lineRule="auto"/>
      </w:pPr>
      <w:r>
        <w:separator/>
      </w:r>
    </w:p>
  </w:footnote>
  <w:footnote w:type="continuationSeparator" w:id="0">
    <w:p w14:paraId="722BD75B" w14:textId="77777777" w:rsidR="00B65B66" w:rsidRDefault="00B65B66"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12ED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1F7D"/>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04CB4"/>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405AB"/>
    <w:rsid w:val="00A505EE"/>
    <w:rsid w:val="00A5751A"/>
    <w:rsid w:val="00A669C2"/>
    <w:rsid w:val="00A7490F"/>
    <w:rsid w:val="00A943E4"/>
    <w:rsid w:val="00AD1920"/>
    <w:rsid w:val="00AD7183"/>
    <w:rsid w:val="00B24B03"/>
    <w:rsid w:val="00B65B66"/>
    <w:rsid w:val="00B80849"/>
    <w:rsid w:val="00B85495"/>
    <w:rsid w:val="00BA3B85"/>
    <w:rsid w:val="00BD0555"/>
    <w:rsid w:val="00BD0E46"/>
    <w:rsid w:val="00BE1F83"/>
    <w:rsid w:val="00BF247F"/>
    <w:rsid w:val="00BF4297"/>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DD689F"/>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F7E050"/>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439</Words>
  <Characters>2504</Characters>
  <Application>Microsoft Office Word</Application>
  <DocSecurity>0</DocSecurity>
  <Lines>20</Lines>
  <Paragraphs>5</Paragraphs>
  <ScaleCrop>false</ScaleCrop>
  <Company>Hewlett-Packard Company</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2026-05-19T03:08:00Z</dcterms:modified>
</cp:coreProperties>
</file>