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A757" w14:textId="5A40084F"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582E2838" w14:textId="77777777" w:rsidTr="004A29F0">
        <w:trPr>
          <w:tblHeader/>
        </w:trPr>
        <w:tc>
          <w:tcPr>
            <w:tcW w:w="1384" w:type="dxa"/>
            <w:tcBorders>
              <w:top w:val="single" w:sz="12" w:space="0" w:color="auto"/>
              <w:left w:val="single" w:sz="12" w:space="0" w:color="auto"/>
              <w:bottom w:val="single" w:sz="12" w:space="0" w:color="auto"/>
            </w:tcBorders>
          </w:tcPr>
          <w:p w14:paraId="70F96861"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2B263EC9"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75436E12"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36E2AC90"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3102EC40"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4DA65574" w14:textId="77777777">
        <w:tc>
          <w:tcPr>
            <w:tcW w:w="1384" w:type="dxa"/>
            <w:vMerge w:val="restart"/>
            <w:tcBorders>
              <w:top w:val="single" w:sz="12" w:space="0" w:color="auto"/>
              <w:left w:val="single" w:sz="12" w:space="0" w:color="auto"/>
            </w:tcBorders>
          </w:tcPr>
          <w:p w14:paraId="7DC9C56E" w14:textId="77777777" w:rsidR="003B3105" w:rsidRPr="00F6439B" w:rsidRDefault="003B3105" w:rsidP="001E533B">
            <w:pPr>
              <w:rPr>
                <w:rFonts w:ascii="新細明體" w:eastAsia="新細明體" w:hAnsi="新細明體"/>
              </w:rPr>
            </w:pPr>
            <w:r>
              <w:rPr>
                <w:rFonts w:ascii="新細明體" w:eastAsia="新細明體" w:hAnsi="新細明體" w:hint="eastAsia"/>
              </w:rPr>
              <w:t>CI-12000</w:t>
            </w:r>
          </w:p>
        </w:tc>
        <w:tc>
          <w:tcPr>
            <w:tcW w:w="1276" w:type="dxa"/>
            <w:vMerge w:val="restart"/>
            <w:tcBorders>
              <w:top w:val="single" w:sz="12" w:space="0" w:color="auto"/>
            </w:tcBorders>
          </w:tcPr>
          <w:p w14:paraId="40A80C0A" w14:textId="77777777" w:rsidR="003B3105" w:rsidRPr="00F6439B" w:rsidRDefault="003B3105" w:rsidP="001E533B">
            <w:pPr>
              <w:rPr>
                <w:rFonts w:ascii="新細明體" w:eastAsia="新細明體" w:hAnsi="新細明體"/>
              </w:rPr>
            </w:pPr>
            <w:r>
              <w:rPr>
                <w:rFonts w:ascii="新細明體" w:eastAsia="新細明體" w:hAnsi="新細明體" w:hint="eastAsia"/>
              </w:rPr>
              <w:t>有價證券投資取得、處分作業</w:t>
            </w:r>
          </w:p>
        </w:tc>
        <w:tc>
          <w:tcPr>
            <w:tcW w:w="5386" w:type="dxa"/>
            <w:tcBorders>
              <w:top w:val="single" w:sz="12" w:space="0" w:color="auto"/>
              <w:bottom w:val="nil"/>
            </w:tcBorders>
          </w:tcPr>
          <w:p w14:paraId="09E2B7E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59B4B07D"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03E39A62"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配合證券交易法第43條之1修正，明定投資公開發行公司已發行股份總額超過一定比率者，應向主管機關申報及公告。</w:t>
            </w:r>
          </w:p>
        </w:tc>
      </w:tr>
      <w:tr w:rsidR="003B3105" w:rsidRPr="00F6439B" w14:paraId="10374620" w14:textId="77777777">
        <w:tc>
          <w:tcPr>
            <w:tcW w:w="1384" w:type="dxa"/>
            <w:vMerge/>
            <w:tcBorders>
              <w:left w:val="single" w:sz="12" w:space="0" w:color="auto"/>
            </w:tcBorders>
          </w:tcPr>
          <w:p w14:paraId="0129114C" w14:textId="77777777" w:rsidR="003B3105" w:rsidRDefault="003B3105" w:rsidP="001E533B">
            <w:pPr>
              <w:rPr>
                <w:rFonts w:ascii="新細明體" w:eastAsia="新細明體" w:hAnsi="新細明體"/>
              </w:rPr>
            </w:pPr>
          </w:p>
        </w:tc>
        <w:tc>
          <w:tcPr>
            <w:tcW w:w="1276" w:type="dxa"/>
            <w:vMerge/>
          </w:tcPr>
          <w:p w14:paraId="1F892F08" w14:textId="77777777" w:rsidR="003B3105" w:rsidRDefault="003B3105" w:rsidP="001E533B">
            <w:pPr>
              <w:rPr>
                <w:rFonts w:ascii="新細明體" w:eastAsia="新細明體" w:hAnsi="新細明體"/>
              </w:rPr>
            </w:pPr>
          </w:p>
        </w:tc>
        <w:tc>
          <w:tcPr>
            <w:tcW w:w="5386" w:type="dxa"/>
            <w:tcBorders>
              <w:top w:val="nil"/>
              <w:bottom w:val="nil"/>
            </w:tcBorders>
          </w:tcPr>
          <w:p w14:paraId="6CDE160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投資之對象、金額等，應經權責主管核准並依公司訂定之取得或處分資產處理程序辦理；若公司本身為公開發行公司，其取得或處分有價證券投資尚應依「公開發行公司取得或處分資產處理準則」等相關規定辦理。</w:t>
            </w:r>
          </w:p>
        </w:tc>
        <w:tc>
          <w:tcPr>
            <w:tcW w:w="5387" w:type="dxa"/>
            <w:tcBorders>
              <w:top w:val="nil"/>
              <w:bottom w:val="nil"/>
            </w:tcBorders>
          </w:tcPr>
          <w:p w14:paraId="1EFF106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投資之對象、金額等，應經權責主管核准並依公司訂定之取得或處分資產處理程序辦理；若公司本身為公開發行公司，其取得或處分有價證券投資尚應依「公開發行公司取得或處分資產處理準則」等相關規定辦理。</w:t>
            </w:r>
          </w:p>
        </w:tc>
        <w:tc>
          <w:tcPr>
            <w:tcW w:w="2023" w:type="dxa"/>
            <w:vMerge/>
            <w:tcBorders>
              <w:right w:val="single" w:sz="12" w:space="0" w:color="auto"/>
            </w:tcBorders>
          </w:tcPr>
          <w:p w14:paraId="3A23F3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8800790" w14:textId="77777777">
        <w:tc>
          <w:tcPr>
            <w:tcW w:w="1384" w:type="dxa"/>
            <w:vMerge/>
            <w:tcBorders>
              <w:left w:val="single" w:sz="12" w:space="0" w:color="auto"/>
            </w:tcBorders>
          </w:tcPr>
          <w:p w14:paraId="338A00BC" w14:textId="77777777" w:rsidR="003B3105" w:rsidRDefault="003B3105" w:rsidP="001E533B">
            <w:pPr>
              <w:rPr>
                <w:rFonts w:ascii="新細明體" w:eastAsia="新細明體" w:hAnsi="新細明體"/>
              </w:rPr>
            </w:pPr>
          </w:p>
        </w:tc>
        <w:tc>
          <w:tcPr>
            <w:tcW w:w="1276" w:type="dxa"/>
            <w:vMerge/>
          </w:tcPr>
          <w:p w14:paraId="504AEE3C" w14:textId="77777777" w:rsidR="003B3105" w:rsidRDefault="003B3105" w:rsidP="001E533B">
            <w:pPr>
              <w:rPr>
                <w:rFonts w:ascii="新細明體" w:eastAsia="新細明體" w:hAnsi="新細明體"/>
              </w:rPr>
            </w:pPr>
          </w:p>
        </w:tc>
        <w:tc>
          <w:tcPr>
            <w:tcW w:w="5386" w:type="dxa"/>
            <w:tcBorders>
              <w:top w:val="nil"/>
              <w:bottom w:val="nil"/>
            </w:tcBorders>
          </w:tcPr>
          <w:p w14:paraId="65A247A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購買有價證券除無記名公債外，應以公司名義登記持有，且所有有價證券均應確實記錄變動情形，並編製明細表，詳細登記購買或出售日期、名稱、面值、數量及號碼等，並註明有價證券附帶利息及還本方式與付息方法等。</w:t>
            </w:r>
          </w:p>
        </w:tc>
        <w:tc>
          <w:tcPr>
            <w:tcW w:w="5387" w:type="dxa"/>
            <w:tcBorders>
              <w:top w:val="nil"/>
              <w:bottom w:val="nil"/>
            </w:tcBorders>
          </w:tcPr>
          <w:p w14:paraId="1DA3423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購買有價證券除無記名公債外，應以公司名義登記持有，且所有有價證券均應確實記錄變動情形，並編製明細表，詳細登記購買或出售日期、名稱、面值、數量及號碼等，並註明有價證券附帶利息及還本方式與付息方法等。</w:t>
            </w:r>
          </w:p>
        </w:tc>
        <w:tc>
          <w:tcPr>
            <w:tcW w:w="2023" w:type="dxa"/>
            <w:vMerge/>
            <w:tcBorders>
              <w:right w:val="single" w:sz="12" w:space="0" w:color="auto"/>
            </w:tcBorders>
          </w:tcPr>
          <w:p w14:paraId="1B30C19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081F3B" w14:textId="77777777">
        <w:tc>
          <w:tcPr>
            <w:tcW w:w="1384" w:type="dxa"/>
            <w:vMerge/>
            <w:tcBorders>
              <w:left w:val="single" w:sz="12" w:space="0" w:color="auto"/>
            </w:tcBorders>
          </w:tcPr>
          <w:p w14:paraId="22AEF841" w14:textId="77777777" w:rsidR="003B3105" w:rsidRDefault="003B3105" w:rsidP="001E533B">
            <w:pPr>
              <w:rPr>
                <w:rFonts w:ascii="新細明體" w:eastAsia="新細明體" w:hAnsi="新細明體"/>
              </w:rPr>
            </w:pPr>
          </w:p>
        </w:tc>
        <w:tc>
          <w:tcPr>
            <w:tcW w:w="1276" w:type="dxa"/>
            <w:vMerge/>
          </w:tcPr>
          <w:p w14:paraId="2D76A065" w14:textId="77777777" w:rsidR="003B3105" w:rsidRDefault="003B3105" w:rsidP="001E533B">
            <w:pPr>
              <w:rPr>
                <w:rFonts w:ascii="新細明體" w:eastAsia="新細明體" w:hAnsi="新細明體"/>
              </w:rPr>
            </w:pPr>
          </w:p>
        </w:tc>
        <w:tc>
          <w:tcPr>
            <w:tcW w:w="5386" w:type="dxa"/>
            <w:tcBorders>
              <w:top w:val="nil"/>
              <w:bottom w:val="nil"/>
            </w:tcBorders>
          </w:tcPr>
          <w:p w14:paraId="3AF400C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購買有價證券及轉投資不得違反「證券商管理規則」第十八條、第十八條之一、證交所「營業細則」第二十八條及其他證券管理相關規定之限制。依金融資產證券化條例擔任創始機構，應依主管機關104年1月21日金管證券字第10300522234號令之規定辦理。公司出借有價證券，應訂定相關風險控管措施（註：請公司自訂），公司出借其所持有之有價證券金額仍應分別計入證券商管理規則第十八條、第十八條之一及第十九條規定之相關限額規範。</w:t>
            </w:r>
          </w:p>
        </w:tc>
        <w:tc>
          <w:tcPr>
            <w:tcW w:w="5387" w:type="dxa"/>
            <w:tcBorders>
              <w:top w:val="nil"/>
              <w:bottom w:val="nil"/>
            </w:tcBorders>
          </w:tcPr>
          <w:p w14:paraId="3DCFCEE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公司購買有價證券及轉投資不得違反「證券商管理規則」第十八條、第十八條之一、證交所「營業細則」第二十八條及其他證券管理相關規定之限制。依金融資產證券化條例擔任創始機構，應依主管機關104年1月21日金管證券字第10300522234號令之規定辦理。公司出借有價證券，應訂定相關風險控管措施（註：請公司自訂），公司出借其所持有之有價證券金額仍應分別計入證券商管理規則第十八條、第十八條之一及第十九條規定之相關限額規範。</w:t>
            </w:r>
          </w:p>
        </w:tc>
        <w:tc>
          <w:tcPr>
            <w:tcW w:w="2023" w:type="dxa"/>
            <w:vMerge/>
            <w:tcBorders>
              <w:right w:val="single" w:sz="12" w:space="0" w:color="auto"/>
            </w:tcBorders>
          </w:tcPr>
          <w:p w14:paraId="684250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B1E512" w14:textId="77777777">
        <w:tc>
          <w:tcPr>
            <w:tcW w:w="1384" w:type="dxa"/>
            <w:vMerge/>
            <w:tcBorders>
              <w:left w:val="single" w:sz="12" w:space="0" w:color="auto"/>
            </w:tcBorders>
          </w:tcPr>
          <w:p w14:paraId="79A30B33" w14:textId="77777777" w:rsidR="003B3105" w:rsidRDefault="003B3105" w:rsidP="001E533B">
            <w:pPr>
              <w:rPr>
                <w:rFonts w:ascii="新細明體" w:eastAsia="新細明體" w:hAnsi="新細明體"/>
              </w:rPr>
            </w:pPr>
          </w:p>
        </w:tc>
        <w:tc>
          <w:tcPr>
            <w:tcW w:w="1276" w:type="dxa"/>
            <w:vMerge/>
          </w:tcPr>
          <w:p w14:paraId="7EF18B86" w14:textId="77777777" w:rsidR="003B3105" w:rsidRDefault="003B3105" w:rsidP="001E533B">
            <w:pPr>
              <w:rPr>
                <w:rFonts w:ascii="新細明體" w:eastAsia="新細明體" w:hAnsi="新細明體"/>
              </w:rPr>
            </w:pPr>
          </w:p>
        </w:tc>
        <w:tc>
          <w:tcPr>
            <w:tcW w:w="5386" w:type="dxa"/>
            <w:tcBorders>
              <w:top w:val="nil"/>
              <w:bottom w:val="nil"/>
            </w:tcBorders>
          </w:tcPr>
          <w:p w14:paraId="1382986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(四)公司因遺失客戶股票而取得之上市公司股票，應依規定向證交所報備，經辦理掛失</w:t>
            </w:r>
            <w:r>
              <w:rPr>
                <w:rFonts w:ascii="新細明體" w:eastAsia="新細明體" w:hAnsi="新細明體" w:cs="新細明體" w:hint="eastAsia"/>
              </w:rPr>
              <w:lastRenderedPageBreak/>
              <w:t>取得補發新股票應自取得法院除權判決之日起三個月內處理；其因參與除權所配發之增資新股亦應於發放日起三個月內處理。</w:t>
            </w:r>
          </w:p>
        </w:tc>
        <w:tc>
          <w:tcPr>
            <w:tcW w:w="5387" w:type="dxa"/>
            <w:tcBorders>
              <w:top w:val="nil"/>
              <w:bottom w:val="nil"/>
            </w:tcBorders>
          </w:tcPr>
          <w:p w14:paraId="141C8F1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(四)公司因遺失客戶股票而取得之上市公司股票，應依規定向證交所報備，經辦理掛失</w:t>
            </w:r>
            <w:r>
              <w:rPr>
                <w:rFonts w:ascii="新細明體" w:eastAsia="新細明體" w:hAnsi="新細明體" w:cs="新細明體" w:hint="eastAsia"/>
              </w:rPr>
              <w:lastRenderedPageBreak/>
              <w:t>取得補發新股票應自取得法院除權判決之日起三個月內處理；其因參與除權所配發之增資新股亦應於發放日起三個月內處理。</w:t>
            </w:r>
          </w:p>
        </w:tc>
        <w:tc>
          <w:tcPr>
            <w:tcW w:w="2023" w:type="dxa"/>
            <w:vMerge/>
            <w:tcBorders>
              <w:right w:val="single" w:sz="12" w:space="0" w:color="auto"/>
            </w:tcBorders>
          </w:tcPr>
          <w:p w14:paraId="26AA34A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C58C59" w14:textId="77777777">
        <w:tc>
          <w:tcPr>
            <w:tcW w:w="1384" w:type="dxa"/>
            <w:vMerge/>
            <w:tcBorders>
              <w:left w:val="single" w:sz="12" w:space="0" w:color="auto"/>
            </w:tcBorders>
          </w:tcPr>
          <w:p w14:paraId="45ADC28C" w14:textId="77777777" w:rsidR="003B3105" w:rsidRDefault="003B3105" w:rsidP="001E533B">
            <w:pPr>
              <w:rPr>
                <w:rFonts w:ascii="新細明體" w:eastAsia="新細明體" w:hAnsi="新細明體"/>
              </w:rPr>
            </w:pPr>
          </w:p>
        </w:tc>
        <w:tc>
          <w:tcPr>
            <w:tcW w:w="1276" w:type="dxa"/>
            <w:vMerge/>
          </w:tcPr>
          <w:p w14:paraId="360D5AFD" w14:textId="77777777" w:rsidR="003B3105" w:rsidRDefault="003B3105" w:rsidP="001E533B">
            <w:pPr>
              <w:rPr>
                <w:rFonts w:ascii="新細明體" w:eastAsia="新細明體" w:hAnsi="新細明體"/>
              </w:rPr>
            </w:pPr>
          </w:p>
        </w:tc>
        <w:tc>
          <w:tcPr>
            <w:tcW w:w="5386" w:type="dxa"/>
            <w:tcBorders>
              <w:top w:val="nil"/>
              <w:bottom w:val="nil"/>
            </w:tcBorders>
          </w:tcPr>
          <w:p w14:paraId="3968657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因臨時性大筆資金支出，而現金不敷需求時，財務部門應將有關資料，呈請權責主管核決，將投資中途解約、轉售或質借，以供應急。經核定後，將有價證券取出處理，並將取得款項交由出納存入公司銀行帳戶及通知會計部門作相關帳務處理。</w:t>
            </w:r>
          </w:p>
        </w:tc>
        <w:tc>
          <w:tcPr>
            <w:tcW w:w="5387" w:type="dxa"/>
            <w:tcBorders>
              <w:top w:val="nil"/>
              <w:bottom w:val="nil"/>
            </w:tcBorders>
          </w:tcPr>
          <w:p w14:paraId="750A547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公司因臨時性大筆資金支出，而現金不敷需求時，財務部門應將有關資料，呈請權責主管核決，將投資中途解約、轉售或質借，以供應急。經核定後，將有價證券取出處理，並將取得款項交由出納存入公司銀行帳戶及通知會計部門作相關帳務處理。</w:t>
            </w:r>
          </w:p>
        </w:tc>
        <w:tc>
          <w:tcPr>
            <w:tcW w:w="2023" w:type="dxa"/>
            <w:vMerge/>
            <w:tcBorders>
              <w:right w:val="single" w:sz="12" w:space="0" w:color="auto"/>
            </w:tcBorders>
          </w:tcPr>
          <w:p w14:paraId="2857FE5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45D076" w14:textId="77777777">
        <w:tc>
          <w:tcPr>
            <w:tcW w:w="1384" w:type="dxa"/>
            <w:vMerge/>
            <w:tcBorders>
              <w:left w:val="single" w:sz="12" w:space="0" w:color="auto"/>
            </w:tcBorders>
          </w:tcPr>
          <w:p w14:paraId="7FA6215F" w14:textId="77777777" w:rsidR="003B3105" w:rsidRDefault="003B3105" w:rsidP="001E533B">
            <w:pPr>
              <w:rPr>
                <w:rFonts w:ascii="新細明體" w:eastAsia="新細明體" w:hAnsi="新細明體"/>
              </w:rPr>
            </w:pPr>
          </w:p>
        </w:tc>
        <w:tc>
          <w:tcPr>
            <w:tcW w:w="1276" w:type="dxa"/>
            <w:vMerge/>
          </w:tcPr>
          <w:p w14:paraId="235B410F" w14:textId="77777777" w:rsidR="003B3105" w:rsidRDefault="003B3105" w:rsidP="001E533B">
            <w:pPr>
              <w:rPr>
                <w:rFonts w:ascii="新細明體" w:eastAsia="新細明體" w:hAnsi="新細明體"/>
              </w:rPr>
            </w:pPr>
          </w:p>
        </w:tc>
        <w:tc>
          <w:tcPr>
            <w:tcW w:w="5386" w:type="dxa"/>
            <w:tcBorders>
              <w:top w:val="nil"/>
              <w:bottom w:val="nil"/>
            </w:tcBorders>
          </w:tcPr>
          <w:p w14:paraId="7EDBA68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(六)公司因擴展業務或其他原因，所為對重大長期股權投資之處分，應由董事會核定之。</w:t>
            </w:r>
          </w:p>
        </w:tc>
        <w:tc>
          <w:tcPr>
            <w:tcW w:w="5387" w:type="dxa"/>
            <w:tcBorders>
              <w:top w:val="nil"/>
              <w:bottom w:val="nil"/>
            </w:tcBorders>
          </w:tcPr>
          <w:p w14:paraId="4B9161B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(六)公司因擴展業務或其他原因，所為對重大長期股權投資之處分，應由董事會核定之。</w:t>
            </w:r>
          </w:p>
        </w:tc>
        <w:tc>
          <w:tcPr>
            <w:tcW w:w="2023" w:type="dxa"/>
            <w:vMerge/>
            <w:tcBorders>
              <w:right w:val="single" w:sz="12" w:space="0" w:color="auto"/>
            </w:tcBorders>
          </w:tcPr>
          <w:p w14:paraId="235E71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A36258" w14:textId="77777777">
        <w:tc>
          <w:tcPr>
            <w:tcW w:w="1384" w:type="dxa"/>
            <w:vMerge/>
            <w:tcBorders>
              <w:left w:val="single" w:sz="12" w:space="0" w:color="auto"/>
            </w:tcBorders>
          </w:tcPr>
          <w:p w14:paraId="065B3BA0" w14:textId="77777777" w:rsidR="003B3105" w:rsidRDefault="003B3105" w:rsidP="001E533B">
            <w:pPr>
              <w:rPr>
                <w:rFonts w:ascii="新細明體" w:eastAsia="新細明體" w:hAnsi="新細明體"/>
              </w:rPr>
            </w:pPr>
          </w:p>
        </w:tc>
        <w:tc>
          <w:tcPr>
            <w:tcW w:w="1276" w:type="dxa"/>
            <w:vMerge/>
          </w:tcPr>
          <w:p w14:paraId="750B2D3B" w14:textId="77777777" w:rsidR="003B3105" w:rsidRDefault="003B3105" w:rsidP="001E533B">
            <w:pPr>
              <w:rPr>
                <w:rFonts w:ascii="新細明體" w:eastAsia="新細明體" w:hAnsi="新細明體"/>
              </w:rPr>
            </w:pPr>
          </w:p>
        </w:tc>
        <w:tc>
          <w:tcPr>
            <w:tcW w:w="5386" w:type="dxa"/>
            <w:tcBorders>
              <w:top w:val="nil"/>
              <w:bottom w:val="nil"/>
            </w:tcBorders>
          </w:tcPr>
          <w:p w14:paraId="48D334E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(七)重大長期股權投資之處分，其交易價格之決定原則：</w:t>
            </w:r>
          </w:p>
        </w:tc>
        <w:tc>
          <w:tcPr>
            <w:tcW w:w="5387" w:type="dxa"/>
            <w:tcBorders>
              <w:top w:val="nil"/>
              <w:bottom w:val="nil"/>
            </w:tcBorders>
          </w:tcPr>
          <w:p w14:paraId="69A1878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(七)重大長期股權投資之處分，其交易價格之決定原則：</w:t>
            </w:r>
          </w:p>
        </w:tc>
        <w:tc>
          <w:tcPr>
            <w:tcW w:w="2023" w:type="dxa"/>
            <w:vMerge/>
            <w:tcBorders>
              <w:right w:val="single" w:sz="12" w:space="0" w:color="auto"/>
            </w:tcBorders>
          </w:tcPr>
          <w:p w14:paraId="74D8A7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FC102A" w14:textId="77777777">
        <w:tc>
          <w:tcPr>
            <w:tcW w:w="1384" w:type="dxa"/>
            <w:vMerge/>
            <w:tcBorders>
              <w:left w:val="single" w:sz="12" w:space="0" w:color="auto"/>
            </w:tcBorders>
          </w:tcPr>
          <w:p w14:paraId="35008CE1" w14:textId="77777777" w:rsidR="003B3105" w:rsidRDefault="003B3105" w:rsidP="001E533B">
            <w:pPr>
              <w:rPr>
                <w:rFonts w:ascii="新細明體" w:eastAsia="新細明體" w:hAnsi="新細明體"/>
              </w:rPr>
            </w:pPr>
          </w:p>
        </w:tc>
        <w:tc>
          <w:tcPr>
            <w:tcW w:w="1276" w:type="dxa"/>
            <w:vMerge/>
          </w:tcPr>
          <w:p w14:paraId="71297571" w14:textId="77777777" w:rsidR="003B3105" w:rsidRDefault="003B3105" w:rsidP="001E533B">
            <w:pPr>
              <w:rPr>
                <w:rFonts w:ascii="新細明體" w:eastAsia="新細明體" w:hAnsi="新細明體"/>
              </w:rPr>
            </w:pPr>
          </w:p>
        </w:tc>
        <w:tc>
          <w:tcPr>
            <w:tcW w:w="5386" w:type="dxa"/>
            <w:tcBorders>
              <w:top w:val="nil"/>
              <w:bottom w:val="nil"/>
            </w:tcBorders>
          </w:tcPr>
          <w:p w14:paraId="5E8B6AD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1.需於集中市場或證券商營業處所進行者：</w:t>
            </w:r>
          </w:p>
        </w:tc>
        <w:tc>
          <w:tcPr>
            <w:tcW w:w="5387" w:type="dxa"/>
            <w:tcBorders>
              <w:top w:val="nil"/>
              <w:bottom w:val="nil"/>
            </w:tcBorders>
          </w:tcPr>
          <w:p w14:paraId="258F48A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1.需於集中市場或證券商營業處所進行者：</w:t>
            </w:r>
          </w:p>
        </w:tc>
        <w:tc>
          <w:tcPr>
            <w:tcW w:w="2023" w:type="dxa"/>
            <w:vMerge/>
            <w:tcBorders>
              <w:right w:val="single" w:sz="12" w:space="0" w:color="auto"/>
            </w:tcBorders>
          </w:tcPr>
          <w:p w14:paraId="04E3C4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1F3FFDB" w14:textId="77777777">
        <w:tc>
          <w:tcPr>
            <w:tcW w:w="1384" w:type="dxa"/>
            <w:vMerge/>
            <w:tcBorders>
              <w:left w:val="single" w:sz="12" w:space="0" w:color="auto"/>
            </w:tcBorders>
          </w:tcPr>
          <w:p w14:paraId="5104D866" w14:textId="77777777" w:rsidR="003B3105" w:rsidRDefault="003B3105" w:rsidP="001E533B">
            <w:pPr>
              <w:rPr>
                <w:rFonts w:ascii="新細明體" w:eastAsia="新細明體" w:hAnsi="新細明體"/>
              </w:rPr>
            </w:pPr>
          </w:p>
        </w:tc>
        <w:tc>
          <w:tcPr>
            <w:tcW w:w="1276" w:type="dxa"/>
            <w:vMerge/>
          </w:tcPr>
          <w:p w14:paraId="41EEA349" w14:textId="77777777" w:rsidR="003B3105" w:rsidRDefault="003B3105" w:rsidP="001E533B">
            <w:pPr>
              <w:rPr>
                <w:rFonts w:ascii="新細明體" w:eastAsia="新細明體" w:hAnsi="新細明體"/>
              </w:rPr>
            </w:pPr>
          </w:p>
        </w:tc>
        <w:tc>
          <w:tcPr>
            <w:tcW w:w="5386" w:type="dxa"/>
            <w:tcBorders>
              <w:top w:val="nil"/>
              <w:bottom w:val="nil"/>
            </w:tcBorders>
          </w:tcPr>
          <w:p w14:paraId="7AFB0660"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權責單位應依市場行情研判，呈請權責主管核准決定出售價格。</w:t>
            </w:r>
          </w:p>
        </w:tc>
        <w:tc>
          <w:tcPr>
            <w:tcW w:w="5387" w:type="dxa"/>
            <w:tcBorders>
              <w:top w:val="nil"/>
              <w:bottom w:val="nil"/>
            </w:tcBorders>
          </w:tcPr>
          <w:p w14:paraId="0B308F6F"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權責單位應依市場行情研判，呈請權責主管核准決定出售價格。</w:t>
            </w:r>
          </w:p>
        </w:tc>
        <w:tc>
          <w:tcPr>
            <w:tcW w:w="2023" w:type="dxa"/>
            <w:vMerge/>
            <w:tcBorders>
              <w:right w:val="single" w:sz="12" w:space="0" w:color="auto"/>
            </w:tcBorders>
          </w:tcPr>
          <w:p w14:paraId="60FB40D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06CF61" w14:textId="77777777">
        <w:tc>
          <w:tcPr>
            <w:tcW w:w="1384" w:type="dxa"/>
            <w:vMerge/>
            <w:tcBorders>
              <w:left w:val="single" w:sz="12" w:space="0" w:color="auto"/>
            </w:tcBorders>
          </w:tcPr>
          <w:p w14:paraId="28AB366C" w14:textId="77777777" w:rsidR="003B3105" w:rsidRDefault="003B3105" w:rsidP="001E533B">
            <w:pPr>
              <w:rPr>
                <w:rFonts w:ascii="新細明體" w:eastAsia="新細明體" w:hAnsi="新細明體"/>
              </w:rPr>
            </w:pPr>
          </w:p>
        </w:tc>
        <w:tc>
          <w:tcPr>
            <w:tcW w:w="1276" w:type="dxa"/>
            <w:vMerge/>
          </w:tcPr>
          <w:p w14:paraId="4B539A1C" w14:textId="77777777" w:rsidR="003B3105" w:rsidRDefault="003B3105" w:rsidP="001E533B">
            <w:pPr>
              <w:rPr>
                <w:rFonts w:ascii="新細明體" w:eastAsia="新細明體" w:hAnsi="新細明體"/>
              </w:rPr>
            </w:pPr>
          </w:p>
        </w:tc>
        <w:tc>
          <w:tcPr>
            <w:tcW w:w="5386" w:type="dxa"/>
            <w:tcBorders>
              <w:top w:val="nil"/>
              <w:bottom w:val="nil"/>
            </w:tcBorders>
          </w:tcPr>
          <w:p w14:paraId="614C0B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2.不需於集中市場或證券商營業處所進行者：</w:t>
            </w:r>
          </w:p>
        </w:tc>
        <w:tc>
          <w:tcPr>
            <w:tcW w:w="5387" w:type="dxa"/>
            <w:tcBorders>
              <w:top w:val="nil"/>
              <w:bottom w:val="nil"/>
            </w:tcBorders>
          </w:tcPr>
          <w:p w14:paraId="3D7332B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2.不需於集中市場或證券商營業處所進行者：</w:t>
            </w:r>
          </w:p>
        </w:tc>
        <w:tc>
          <w:tcPr>
            <w:tcW w:w="2023" w:type="dxa"/>
            <w:vMerge/>
            <w:tcBorders>
              <w:right w:val="single" w:sz="12" w:space="0" w:color="auto"/>
            </w:tcBorders>
          </w:tcPr>
          <w:p w14:paraId="076D23E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006F3CA" w14:textId="77777777">
        <w:tc>
          <w:tcPr>
            <w:tcW w:w="1384" w:type="dxa"/>
            <w:vMerge/>
            <w:tcBorders>
              <w:left w:val="single" w:sz="12" w:space="0" w:color="auto"/>
            </w:tcBorders>
          </w:tcPr>
          <w:p w14:paraId="7D4E5EC7" w14:textId="77777777" w:rsidR="003B3105" w:rsidRDefault="003B3105" w:rsidP="001E533B">
            <w:pPr>
              <w:rPr>
                <w:rFonts w:ascii="新細明體" w:eastAsia="新細明體" w:hAnsi="新細明體"/>
              </w:rPr>
            </w:pPr>
          </w:p>
        </w:tc>
        <w:tc>
          <w:tcPr>
            <w:tcW w:w="1276" w:type="dxa"/>
            <w:vMerge/>
          </w:tcPr>
          <w:p w14:paraId="4296EE62" w14:textId="77777777" w:rsidR="003B3105" w:rsidRDefault="003B3105" w:rsidP="001E533B">
            <w:pPr>
              <w:rPr>
                <w:rFonts w:ascii="新細明體" w:eastAsia="新細明體" w:hAnsi="新細明體"/>
              </w:rPr>
            </w:pPr>
          </w:p>
        </w:tc>
        <w:tc>
          <w:tcPr>
            <w:tcW w:w="5386" w:type="dxa"/>
            <w:tcBorders>
              <w:top w:val="nil"/>
              <w:bottom w:val="nil"/>
            </w:tcBorders>
          </w:tcPr>
          <w:p w14:paraId="3343EECF"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權責單位將交易價格之參考依據或計算及交易條件，必要時得洽請證券分析專家，對價格之合理性表示意見，並詳細說明評估之依據，呈請權責主管核准，決定出售價格。</w:t>
            </w:r>
          </w:p>
        </w:tc>
        <w:tc>
          <w:tcPr>
            <w:tcW w:w="5387" w:type="dxa"/>
            <w:tcBorders>
              <w:top w:val="nil"/>
              <w:bottom w:val="nil"/>
            </w:tcBorders>
          </w:tcPr>
          <w:p w14:paraId="502D406F"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權責單位將交易價格之參考依據或計算及交易條件，必要時得洽請證券分析專家，對價格之合理性表示意見，並詳細說明評估之依據，呈請權責主管核准，決定出售價格。</w:t>
            </w:r>
          </w:p>
        </w:tc>
        <w:tc>
          <w:tcPr>
            <w:tcW w:w="2023" w:type="dxa"/>
            <w:vMerge/>
            <w:tcBorders>
              <w:right w:val="single" w:sz="12" w:space="0" w:color="auto"/>
            </w:tcBorders>
          </w:tcPr>
          <w:p w14:paraId="730DB5D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6A327E" w14:textId="77777777">
        <w:tc>
          <w:tcPr>
            <w:tcW w:w="1384" w:type="dxa"/>
            <w:vMerge/>
            <w:tcBorders>
              <w:left w:val="single" w:sz="12" w:space="0" w:color="auto"/>
            </w:tcBorders>
          </w:tcPr>
          <w:p w14:paraId="55C38D2F" w14:textId="77777777" w:rsidR="003B3105" w:rsidRDefault="003B3105" w:rsidP="001E533B">
            <w:pPr>
              <w:rPr>
                <w:rFonts w:ascii="新細明體" w:eastAsia="新細明體" w:hAnsi="新細明體"/>
              </w:rPr>
            </w:pPr>
          </w:p>
        </w:tc>
        <w:tc>
          <w:tcPr>
            <w:tcW w:w="1276" w:type="dxa"/>
            <w:vMerge/>
          </w:tcPr>
          <w:p w14:paraId="4A0C2734" w14:textId="77777777" w:rsidR="003B3105" w:rsidRDefault="003B3105" w:rsidP="001E533B">
            <w:pPr>
              <w:rPr>
                <w:rFonts w:ascii="新細明體" w:eastAsia="新細明體" w:hAnsi="新細明體"/>
              </w:rPr>
            </w:pPr>
          </w:p>
        </w:tc>
        <w:tc>
          <w:tcPr>
            <w:tcW w:w="5386" w:type="dxa"/>
            <w:tcBorders>
              <w:top w:val="nil"/>
              <w:bottom w:val="nil"/>
            </w:tcBorders>
          </w:tcPr>
          <w:p w14:paraId="4F48DBA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(八)公司投資外國事業及大陸地區非證券期貨機構應依「證券商管理規則」第五章、金</w:t>
            </w:r>
            <w:r>
              <w:rPr>
                <w:rFonts w:ascii="新細明體" w:eastAsia="新細明體" w:hAnsi="新細明體" w:cs="新細明體" w:hint="eastAsia"/>
              </w:rPr>
              <w:lastRenderedPageBreak/>
              <w:t>管會113年9月26日金管證券字第11303479011號令及107年6月1日金管證券字第10703209012號令等相關規定辦理。</w:t>
            </w:r>
          </w:p>
        </w:tc>
        <w:tc>
          <w:tcPr>
            <w:tcW w:w="5387" w:type="dxa"/>
            <w:tcBorders>
              <w:top w:val="nil"/>
              <w:bottom w:val="nil"/>
            </w:tcBorders>
          </w:tcPr>
          <w:p w14:paraId="391F160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(八)公司投資外國事業及大陸地區非證券期貨機構應依「證券商管理規則」第五章、金</w:t>
            </w:r>
            <w:r>
              <w:rPr>
                <w:rFonts w:ascii="新細明體" w:eastAsia="新細明體" w:hAnsi="新細明體" w:cs="新細明體" w:hint="eastAsia"/>
              </w:rPr>
              <w:lastRenderedPageBreak/>
              <w:t>管會113年9月26日金管證券字第11303479011號令及107年6月1日金管證券字第10703209012號令等相關規定辦理。</w:t>
            </w:r>
          </w:p>
        </w:tc>
        <w:tc>
          <w:tcPr>
            <w:tcW w:w="2023" w:type="dxa"/>
            <w:vMerge/>
            <w:tcBorders>
              <w:right w:val="single" w:sz="12" w:space="0" w:color="auto"/>
            </w:tcBorders>
          </w:tcPr>
          <w:p w14:paraId="789D7A4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A360D7C" w14:textId="77777777">
        <w:tc>
          <w:tcPr>
            <w:tcW w:w="1384" w:type="dxa"/>
            <w:vMerge/>
            <w:tcBorders>
              <w:left w:val="single" w:sz="12" w:space="0" w:color="auto"/>
            </w:tcBorders>
          </w:tcPr>
          <w:p w14:paraId="211FE71D" w14:textId="77777777" w:rsidR="003B3105" w:rsidRDefault="003B3105" w:rsidP="001E533B">
            <w:pPr>
              <w:rPr>
                <w:rFonts w:ascii="新細明體" w:eastAsia="新細明體" w:hAnsi="新細明體"/>
              </w:rPr>
            </w:pPr>
          </w:p>
        </w:tc>
        <w:tc>
          <w:tcPr>
            <w:tcW w:w="1276" w:type="dxa"/>
            <w:vMerge/>
          </w:tcPr>
          <w:p w14:paraId="5FF2071E" w14:textId="77777777" w:rsidR="003B3105" w:rsidRDefault="003B3105" w:rsidP="001E533B">
            <w:pPr>
              <w:rPr>
                <w:rFonts w:ascii="新細明體" w:eastAsia="新細明體" w:hAnsi="新細明體"/>
              </w:rPr>
            </w:pPr>
          </w:p>
        </w:tc>
        <w:tc>
          <w:tcPr>
            <w:tcW w:w="5386" w:type="dxa"/>
            <w:tcBorders>
              <w:top w:val="nil"/>
              <w:bottom w:val="nil"/>
            </w:tcBorders>
          </w:tcPr>
          <w:p w14:paraId="630803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(九)在香港、澳門設立分支機構或子公司應依「臺灣地區證券及期貨機構在香港、澳門設立分支機構子公司許可辦法」之規定申報；分支機構或子公司轉投資當地證券、期貨相關機構亦應依上開規定辦理。</w:t>
            </w:r>
          </w:p>
        </w:tc>
        <w:tc>
          <w:tcPr>
            <w:tcW w:w="5387" w:type="dxa"/>
            <w:tcBorders>
              <w:top w:val="nil"/>
              <w:bottom w:val="nil"/>
            </w:tcBorders>
          </w:tcPr>
          <w:p w14:paraId="458CA3B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(九)在香港、澳門設立分支機構或子公司應依「臺灣地區證券及期貨機構在香港、澳門設立分支機構子公司許可辦法」之規定申報；分支機構或子公司轉投資當地證券、期貨相關機構亦應依上開規定辦理。</w:t>
            </w:r>
          </w:p>
        </w:tc>
        <w:tc>
          <w:tcPr>
            <w:tcW w:w="2023" w:type="dxa"/>
            <w:vMerge/>
            <w:tcBorders>
              <w:right w:val="single" w:sz="12" w:space="0" w:color="auto"/>
            </w:tcBorders>
          </w:tcPr>
          <w:p w14:paraId="3F71C2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413464" w14:textId="77777777">
        <w:tc>
          <w:tcPr>
            <w:tcW w:w="1384" w:type="dxa"/>
            <w:vMerge/>
            <w:tcBorders>
              <w:left w:val="single" w:sz="12" w:space="0" w:color="auto"/>
            </w:tcBorders>
          </w:tcPr>
          <w:p w14:paraId="56B007AA" w14:textId="77777777" w:rsidR="003B3105" w:rsidRDefault="003B3105" w:rsidP="001E533B">
            <w:pPr>
              <w:rPr>
                <w:rFonts w:ascii="新細明體" w:eastAsia="新細明體" w:hAnsi="新細明體"/>
              </w:rPr>
            </w:pPr>
          </w:p>
        </w:tc>
        <w:tc>
          <w:tcPr>
            <w:tcW w:w="1276" w:type="dxa"/>
            <w:vMerge/>
          </w:tcPr>
          <w:p w14:paraId="3A22F8BF" w14:textId="77777777" w:rsidR="003B3105" w:rsidRDefault="003B3105" w:rsidP="001E533B">
            <w:pPr>
              <w:rPr>
                <w:rFonts w:ascii="新細明體" w:eastAsia="新細明體" w:hAnsi="新細明體"/>
              </w:rPr>
            </w:pPr>
          </w:p>
        </w:tc>
        <w:tc>
          <w:tcPr>
            <w:tcW w:w="5386" w:type="dxa"/>
            <w:tcBorders>
              <w:top w:val="nil"/>
              <w:bottom w:val="nil"/>
            </w:tcBorders>
          </w:tcPr>
          <w:p w14:paraId="6AAD981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在臺灣地區以外之國家或地區設立分支機構(含子公司)如因業務需要需取得大陸地區證券交易所之席位或會員，或與大陸地區之法人、團體、其他機構或其在大陸地區以外國家或地區設立分支機構為證券及期貨業務往來，應依「臺灣地區與大陸地區證券期貨業務往來及投資許可管理辦法」之規定，向主管機關申請許可始得辦理。</w:t>
            </w:r>
          </w:p>
        </w:tc>
        <w:tc>
          <w:tcPr>
            <w:tcW w:w="5387" w:type="dxa"/>
            <w:tcBorders>
              <w:top w:val="nil"/>
              <w:bottom w:val="nil"/>
            </w:tcBorders>
          </w:tcPr>
          <w:p w14:paraId="20B1A3D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在臺灣地區以外之國家或地區設立分支機構(含子公司)如因業務需要需取得大陸地區證券交易所之席位或會員，或與大陸地區之法人、團體、其他機構或其在大陸地區以外國家或地區設立分支機構為證券及期貨業務往來，應依「臺灣地區與大陸地區證券期貨業務往來及投資許可管理辦法」之規定，向主管機關申請許可始得辦理。</w:t>
            </w:r>
          </w:p>
        </w:tc>
        <w:tc>
          <w:tcPr>
            <w:tcW w:w="2023" w:type="dxa"/>
            <w:vMerge/>
            <w:tcBorders>
              <w:right w:val="single" w:sz="12" w:space="0" w:color="auto"/>
            </w:tcBorders>
          </w:tcPr>
          <w:p w14:paraId="59E7735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1429BC" w14:textId="77777777">
        <w:tc>
          <w:tcPr>
            <w:tcW w:w="1384" w:type="dxa"/>
            <w:vMerge/>
            <w:tcBorders>
              <w:left w:val="single" w:sz="12" w:space="0" w:color="auto"/>
            </w:tcBorders>
          </w:tcPr>
          <w:p w14:paraId="23839B00" w14:textId="77777777" w:rsidR="003B3105" w:rsidRDefault="003B3105" w:rsidP="001E533B">
            <w:pPr>
              <w:rPr>
                <w:rFonts w:ascii="新細明體" w:eastAsia="新細明體" w:hAnsi="新細明體"/>
              </w:rPr>
            </w:pPr>
          </w:p>
        </w:tc>
        <w:tc>
          <w:tcPr>
            <w:tcW w:w="1276" w:type="dxa"/>
            <w:vMerge/>
          </w:tcPr>
          <w:p w14:paraId="0ADE0B19" w14:textId="77777777" w:rsidR="003B3105" w:rsidRDefault="003B3105" w:rsidP="001E533B">
            <w:pPr>
              <w:rPr>
                <w:rFonts w:ascii="新細明體" w:eastAsia="新細明體" w:hAnsi="新細明體"/>
              </w:rPr>
            </w:pPr>
          </w:p>
        </w:tc>
        <w:tc>
          <w:tcPr>
            <w:tcW w:w="5386" w:type="dxa"/>
            <w:tcBorders>
              <w:top w:val="nil"/>
              <w:bottom w:val="nil"/>
            </w:tcBorders>
          </w:tcPr>
          <w:p w14:paraId="035C652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依「臺灣地區與大陸地區證券期貨業務往來及投資許可管理辦法」之規定，經向主管機關申請許可在大陸地區直接設立辦事處者，應要求在大陸地區之代表人辦事處每季提交業務報告(包括組織編制及人員配置、業務辦理情形、收支狀況、效益評估等)，並定期派員赴大陸地區進行內部稽核，業務報告及稽核報告應併年度稽核計畫送由證交所轉送主管機關。</w:t>
            </w:r>
          </w:p>
        </w:tc>
        <w:tc>
          <w:tcPr>
            <w:tcW w:w="5387" w:type="dxa"/>
            <w:tcBorders>
              <w:top w:val="nil"/>
              <w:bottom w:val="nil"/>
            </w:tcBorders>
          </w:tcPr>
          <w:p w14:paraId="0AA0221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公司依「臺灣地區與大陸地區證券期貨業務往來及投資許可管理辦法」之規定，經向主管機關申請許可在大陸地區直接設立辦事處者，應要求在大陸地區之代表人辦事處每季提交業務報告(包括組織編制及人員配置、業務辦理情形、收支狀況、效益評估等)，並定期派員赴大陸地區進行內部稽核，業務報告及稽核報告應併年度稽核計畫送由證交所轉送主管機關。</w:t>
            </w:r>
          </w:p>
        </w:tc>
        <w:tc>
          <w:tcPr>
            <w:tcW w:w="2023" w:type="dxa"/>
            <w:vMerge/>
            <w:tcBorders>
              <w:right w:val="single" w:sz="12" w:space="0" w:color="auto"/>
            </w:tcBorders>
          </w:tcPr>
          <w:p w14:paraId="3C489F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8D1895" w14:textId="77777777">
        <w:tc>
          <w:tcPr>
            <w:tcW w:w="1384" w:type="dxa"/>
            <w:vMerge/>
            <w:tcBorders>
              <w:left w:val="single" w:sz="12" w:space="0" w:color="auto"/>
            </w:tcBorders>
          </w:tcPr>
          <w:p w14:paraId="2591E631" w14:textId="77777777" w:rsidR="003B3105" w:rsidRDefault="003B3105" w:rsidP="001E533B">
            <w:pPr>
              <w:rPr>
                <w:rFonts w:ascii="新細明體" w:eastAsia="新細明體" w:hAnsi="新細明體"/>
              </w:rPr>
            </w:pPr>
          </w:p>
        </w:tc>
        <w:tc>
          <w:tcPr>
            <w:tcW w:w="1276" w:type="dxa"/>
            <w:vMerge/>
          </w:tcPr>
          <w:p w14:paraId="6938B7EC" w14:textId="77777777" w:rsidR="003B3105" w:rsidRDefault="003B3105" w:rsidP="001E533B">
            <w:pPr>
              <w:rPr>
                <w:rFonts w:ascii="新細明體" w:eastAsia="新細明體" w:hAnsi="新細明體"/>
              </w:rPr>
            </w:pPr>
          </w:p>
        </w:tc>
        <w:tc>
          <w:tcPr>
            <w:tcW w:w="5386" w:type="dxa"/>
            <w:tcBorders>
              <w:top w:val="nil"/>
              <w:bottom w:val="nil"/>
            </w:tcBorders>
          </w:tcPr>
          <w:p w14:paraId="3FF4B59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轉投資證券投資信託公司經理之債券型基金，應逐案提董事會討論，並經過全體董事過半數支持。投資後應於兩日內向證交所申報。檢具書件如下：董事會議事錄、基金及經理人名稱、購買金額及數量、基金投資組合、符合相關投資額度及資本適足比率之聲明書。</w:t>
            </w:r>
          </w:p>
        </w:tc>
        <w:tc>
          <w:tcPr>
            <w:tcW w:w="5387" w:type="dxa"/>
            <w:tcBorders>
              <w:top w:val="nil"/>
              <w:bottom w:val="nil"/>
            </w:tcBorders>
          </w:tcPr>
          <w:p w14:paraId="29E67DE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轉投資證券投資信託公司經理之債券型基金，應逐案提董事會討論，並經過全體董事過半數支持。投資後應於兩日內向證交所申報。檢具書件如下：董事會議事錄、基金及經理人名稱、購買金額及數量、基金投資組合、符合相關投資額度及資本適足比率之聲明書。</w:t>
            </w:r>
          </w:p>
        </w:tc>
        <w:tc>
          <w:tcPr>
            <w:tcW w:w="2023" w:type="dxa"/>
            <w:vMerge/>
            <w:tcBorders>
              <w:right w:val="single" w:sz="12" w:space="0" w:color="auto"/>
            </w:tcBorders>
          </w:tcPr>
          <w:p w14:paraId="0A78D4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89C179" w14:textId="77777777">
        <w:tc>
          <w:tcPr>
            <w:tcW w:w="1384" w:type="dxa"/>
            <w:vMerge/>
            <w:tcBorders>
              <w:left w:val="single" w:sz="12" w:space="0" w:color="auto"/>
            </w:tcBorders>
          </w:tcPr>
          <w:p w14:paraId="37F4E478" w14:textId="77777777" w:rsidR="003B3105" w:rsidRDefault="003B3105" w:rsidP="001E533B">
            <w:pPr>
              <w:rPr>
                <w:rFonts w:ascii="新細明體" w:eastAsia="新細明體" w:hAnsi="新細明體"/>
              </w:rPr>
            </w:pPr>
          </w:p>
        </w:tc>
        <w:tc>
          <w:tcPr>
            <w:tcW w:w="1276" w:type="dxa"/>
            <w:vMerge/>
          </w:tcPr>
          <w:p w14:paraId="48EDAF5A" w14:textId="77777777" w:rsidR="003B3105" w:rsidRDefault="003B3105" w:rsidP="001E533B">
            <w:pPr>
              <w:rPr>
                <w:rFonts w:ascii="新細明體" w:eastAsia="新細明體" w:hAnsi="新細明體"/>
              </w:rPr>
            </w:pPr>
          </w:p>
        </w:tc>
        <w:tc>
          <w:tcPr>
            <w:tcW w:w="5386" w:type="dxa"/>
            <w:tcBorders>
              <w:top w:val="nil"/>
              <w:bottom w:val="nil"/>
            </w:tcBorders>
          </w:tcPr>
          <w:p w14:paraId="616CEEC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或其第三地區子公司投資大陸地區證券期貨機構，應依「臺灣地區與大陸地區證券期貨業務往來及投資許可管理辦法」之規定辦理。公司或其第三地區子公司經許可在大陸地區投資證券期貨機構之投資總金額，合計不得超過公司淨值百分之四十。</w:t>
            </w:r>
          </w:p>
        </w:tc>
        <w:tc>
          <w:tcPr>
            <w:tcW w:w="5387" w:type="dxa"/>
            <w:tcBorders>
              <w:top w:val="nil"/>
              <w:bottom w:val="nil"/>
            </w:tcBorders>
          </w:tcPr>
          <w:p w14:paraId="2B11356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或其第三地區子公司投資大陸地區證券期貨機構，應依「臺灣地區與大陸地區證券期貨業務往來及投資許可管理辦法」之規定辦理。公司或其第三地區子公司經許可在大陸地區投資證券期貨機構之投資總金額，合計不得超過公司淨值百分之四十。</w:t>
            </w:r>
          </w:p>
        </w:tc>
        <w:tc>
          <w:tcPr>
            <w:tcW w:w="2023" w:type="dxa"/>
            <w:vMerge/>
            <w:tcBorders>
              <w:right w:val="single" w:sz="12" w:space="0" w:color="auto"/>
            </w:tcBorders>
          </w:tcPr>
          <w:p w14:paraId="4E3A02C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B29DD9" w14:textId="77777777">
        <w:tc>
          <w:tcPr>
            <w:tcW w:w="1384" w:type="dxa"/>
            <w:vMerge/>
            <w:tcBorders>
              <w:left w:val="single" w:sz="12" w:space="0" w:color="auto"/>
            </w:tcBorders>
          </w:tcPr>
          <w:p w14:paraId="19CFFA61" w14:textId="77777777" w:rsidR="003B3105" w:rsidRDefault="003B3105" w:rsidP="001E533B">
            <w:pPr>
              <w:rPr>
                <w:rFonts w:ascii="新細明體" w:eastAsia="新細明體" w:hAnsi="新細明體"/>
              </w:rPr>
            </w:pPr>
          </w:p>
        </w:tc>
        <w:tc>
          <w:tcPr>
            <w:tcW w:w="1276" w:type="dxa"/>
            <w:vMerge/>
          </w:tcPr>
          <w:p w14:paraId="5AC51049" w14:textId="77777777" w:rsidR="003B3105" w:rsidRDefault="003B3105" w:rsidP="001E533B">
            <w:pPr>
              <w:rPr>
                <w:rFonts w:ascii="新細明體" w:eastAsia="新細明體" w:hAnsi="新細明體"/>
              </w:rPr>
            </w:pPr>
          </w:p>
        </w:tc>
        <w:tc>
          <w:tcPr>
            <w:tcW w:w="5386" w:type="dxa"/>
            <w:tcBorders>
              <w:top w:val="nil"/>
              <w:bottom w:val="nil"/>
            </w:tcBorders>
          </w:tcPr>
          <w:p w14:paraId="550EB16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公司經主管機關核准之轉投資事項，有營業項目或重大營運政策變更等重大事件時，應依金管會113年9月26日金管證券字第1130347901號令第13點、「證券商管理規則」第53條、「臺灣地區與大陸地區證券期貨業務往來及投資許可管理辦法」第22條、第24-8至24-10條等規定，檢具事由及相關資料向主管機關申報。</w:t>
            </w:r>
          </w:p>
        </w:tc>
        <w:tc>
          <w:tcPr>
            <w:tcW w:w="5387" w:type="dxa"/>
            <w:tcBorders>
              <w:top w:val="nil"/>
              <w:bottom w:val="nil"/>
            </w:tcBorders>
          </w:tcPr>
          <w:p w14:paraId="2FB9E54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公司經主管機關核准之轉投資事項，有營業項目或重大營運政策變更等重大事件時，應依金管會113年9月26日金管證券字第1130347901號令第13點、「證券商管理規則」第53條、「臺灣地區與大陸地區證券期貨業務往來及投資許可管理辦法」第22條、第24-8至24-10條等規定，檢具事由及相關資料向主管機關申報。</w:t>
            </w:r>
          </w:p>
        </w:tc>
        <w:tc>
          <w:tcPr>
            <w:tcW w:w="2023" w:type="dxa"/>
            <w:vMerge/>
            <w:tcBorders>
              <w:right w:val="single" w:sz="12" w:space="0" w:color="auto"/>
            </w:tcBorders>
          </w:tcPr>
          <w:p w14:paraId="099D11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4C5606" w14:textId="77777777">
        <w:tc>
          <w:tcPr>
            <w:tcW w:w="1384" w:type="dxa"/>
            <w:vMerge/>
            <w:tcBorders>
              <w:left w:val="single" w:sz="12" w:space="0" w:color="auto"/>
            </w:tcBorders>
          </w:tcPr>
          <w:p w14:paraId="045E7576" w14:textId="77777777" w:rsidR="003B3105" w:rsidRDefault="003B3105" w:rsidP="001E533B">
            <w:pPr>
              <w:rPr>
                <w:rFonts w:ascii="新細明體" w:eastAsia="新細明體" w:hAnsi="新細明體"/>
              </w:rPr>
            </w:pPr>
          </w:p>
        </w:tc>
        <w:tc>
          <w:tcPr>
            <w:tcW w:w="1276" w:type="dxa"/>
            <w:vMerge/>
          </w:tcPr>
          <w:p w14:paraId="36CCEB5C" w14:textId="77777777" w:rsidR="003B3105" w:rsidRDefault="003B3105" w:rsidP="001E533B">
            <w:pPr>
              <w:rPr>
                <w:rFonts w:ascii="新細明體" w:eastAsia="新細明體" w:hAnsi="新細明體"/>
              </w:rPr>
            </w:pPr>
          </w:p>
        </w:tc>
        <w:tc>
          <w:tcPr>
            <w:tcW w:w="5386" w:type="dxa"/>
            <w:tcBorders>
              <w:top w:val="nil"/>
              <w:bottom w:val="nil"/>
            </w:tcBorders>
          </w:tcPr>
          <w:p w14:paraId="6E6E0AC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(十五)公司經主管機關核准或許可轉投資外國及大陸事業者，應依「證券商管理規則」第53條之1、「臺灣地區與大陸地區證券期貨業務往來及投資許可管理辦法」第</w:t>
            </w:r>
            <w:r>
              <w:rPr>
                <w:rFonts w:ascii="新細明體" w:eastAsia="新細明體" w:hAnsi="新細明體" w:cs="新細明體" w:hint="eastAsia"/>
              </w:rPr>
              <w:lastRenderedPageBreak/>
              <w:t>23條及第24-11條規定，定期向主管機關申報所投資事業之業務辦理情形及營運狀況等資料。</w:t>
            </w:r>
          </w:p>
        </w:tc>
        <w:tc>
          <w:tcPr>
            <w:tcW w:w="5387" w:type="dxa"/>
            <w:tcBorders>
              <w:top w:val="nil"/>
              <w:bottom w:val="nil"/>
            </w:tcBorders>
          </w:tcPr>
          <w:p w14:paraId="0EA1474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(十五)公司經主管機關核准或許可轉投資外國及大陸事業者，應依「證券商管理規則」第53條之1、「臺灣地區與大陸地區證券期貨業務往來及投資許可管理辦法」第</w:t>
            </w:r>
            <w:r>
              <w:rPr>
                <w:rFonts w:ascii="新細明體" w:eastAsia="新細明體" w:hAnsi="新細明體" w:cs="新細明體" w:hint="eastAsia"/>
              </w:rPr>
              <w:lastRenderedPageBreak/>
              <w:t>23條及第24-11條規定，定期向主管機關申報所投資事業之業務辦理情形及營運狀況等資料。</w:t>
            </w:r>
          </w:p>
        </w:tc>
        <w:tc>
          <w:tcPr>
            <w:tcW w:w="2023" w:type="dxa"/>
            <w:vMerge/>
            <w:tcBorders>
              <w:right w:val="single" w:sz="12" w:space="0" w:color="auto"/>
            </w:tcBorders>
          </w:tcPr>
          <w:p w14:paraId="5C37F2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2F4597" w14:textId="77777777">
        <w:tc>
          <w:tcPr>
            <w:tcW w:w="1384" w:type="dxa"/>
            <w:vMerge/>
            <w:tcBorders>
              <w:left w:val="single" w:sz="12" w:space="0" w:color="auto"/>
            </w:tcBorders>
          </w:tcPr>
          <w:p w14:paraId="308D0477" w14:textId="77777777" w:rsidR="003B3105" w:rsidRDefault="003B3105" w:rsidP="001E533B">
            <w:pPr>
              <w:rPr>
                <w:rFonts w:ascii="新細明體" w:eastAsia="新細明體" w:hAnsi="新細明體"/>
              </w:rPr>
            </w:pPr>
          </w:p>
        </w:tc>
        <w:tc>
          <w:tcPr>
            <w:tcW w:w="1276" w:type="dxa"/>
            <w:vMerge/>
          </w:tcPr>
          <w:p w14:paraId="2CF10C5E" w14:textId="77777777" w:rsidR="003B3105" w:rsidRDefault="003B3105" w:rsidP="001E533B">
            <w:pPr>
              <w:rPr>
                <w:rFonts w:ascii="新細明體" w:eastAsia="新細明體" w:hAnsi="新細明體"/>
              </w:rPr>
            </w:pPr>
          </w:p>
        </w:tc>
        <w:tc>
          <w:tcPr>
            <w:tcW w:w="5386" w:type="dxa"/>
            <w:tcBorders>
              <w:top w:val="nil"/>
              <w:bottom w:val="nil"/>
            </w:tcBorders>
          </w:tcPr>
          <w:p w14:paraId="36744266"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(十六)公司因承銷取得或自營持有之公司債部位及依金融資產證券化條例擔任創始機構，因信用增強目的而持有受益證券或資產基礎證券，基於避險需要與經核准辦理新臺幣信用違約交換（Credit Default Swap）業務之金融機構進行新臺幣信用違約交換交易，應依「公開發行公司取得或處分資產處理準則」規定，訂定該類衍生性金融商品交易之處理程序，或納入既有之「從事衍生性商品交易處理程序」辦理。</w:t>
            </w:r>
          </w:p>
        </w:tc>
        <w:tc>
          <w:tcPr>
            <w:tcW w:w="5387" w:type="dxa"/>
            <w:tcBorders>
              <w:top w:val="nil"/>
              <w:bottom w:val="nil"/>
            </w:tcBorders>
          </w:tcPr>
          <w:p w14:paraId="25240B2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(十六)公司因承銷取得或自營持有之公司債部位及依金融資產證券化條例擔任創始機構，因信用增強目的而持有受益證券或資產基礎證券，基於避險需要與經核准辦理新臺幣信用違約交換（Credit Default Swap）業務之金融機構進行新臺幣信用違約交換交易，應依「公開發行公司取得或處分資產處理準則」規定，訂定該類衍生性金融商品交易之處理程序，或納入既有之「從事衍生性商品交易處理程序」辦理。</w:t>
            </w:r>
          </w:p>
        </w:tc>
        <w:tc>
          <w:tcPr>
            <w:tcW w:w="2023" w:type="dxa"/>
            <w:vMerge/>
            <w:tcBorders>
              <w:right w:val="single" w:sz="12" w:space="0" w:color="auto"/>
            </w:tcBorders>
          </w:tcPr>
          <w:p w14:paraId="72CC0D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BE6A5B" w14:textId="77777777">
        <w:tc>
          <w:tcPr>
            <w:tcW w:w="1384" w:type="dxa"/>
            <w:vMerge/>
            <w:tcBorders>
              <w:left w:val="single" w:sz="12" w:space="0" w:color="auto"/>
            </w:tcBorders>
          </w:tcPr>
          <w:p w14:paraId="458D7404" w14:textId="77777777" w:rsidR="003B3105" w:rsidRDefault="003B3105" w:rsidP="001E533B">
            <w:pPr>
              <w:rPr>
                <w:rFonts w:ascii="新細明體" w:eastAsia="新細明體" w:hAnsi="新細明體"/>
              </w:rPr>
            </w:pPr>
          </w:p>
        </w:tc>
        <w:tc>
          <w:tcPr>
            <w:tcW w:w="1276" w:type="dxa"/>
            <w:vMerge/>
          </w:tcPr>
          <w:p w14:paraId="5EA8A634" w14:textId="77777777" w:rsidR="003B3105" w:rsidRDefault="003B3105" w:rsidP="001E533B">
            <w:pPr>
              <w:rPr>
                <w:rFonts w:ascii="新細明體" w:eastAsia="新細明體" w:hAnsi="新細明體"/>
              </w:rPr>
            </w:pPr>
          </w:p>
        </w:tc>
        <w:tc>
          <w:tcPr>
            <w:tcW w:w="5386" w:type="dxa"/>
            <w:tcBorders>
              <w:top w:val="nil"/>
              <w:bottom w:val="nil"/>
            </w:tcBorders>
          </w:tcPr>
          <w:p w14:paraId="06FCF03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(十七)專業經紀商申請以期貨交易人身分從事避險目的之國內期貨及選擇權契約，應依金管會107年7月31日金管證券字第10703249551號令辦理。</w:t>
            </w:r>
          </w:p>
        </w:tc>
        <w:tc>
          <w:tcPr>
            <w:tcW w:w="5387" w:type="dxa"/>
            <w:tcBorders>
              <w:top w:val="nil"/>
              <w:bottom w:val="nil"/>
            </w:tcBorders>
          </w:tcPr>
          <w:p w14:paraId="3097060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(十七)專業經紀商申請以期貨交易人身分從事避險目的之國內期貨及選擇權契約，應依金管會107年7月31日金管證券字第10703249551號令辦理。</w:t>
            </w:r>
          </w:p>
        </w:tc>
        <w:tc>
          <w:tcPr>
            <w:tcW w:w="2023" w:type="dxa"/>
            <w:vMerge/>
            <w:tcBorders>
              <w:right w:val="single" w:sz="12" w:space="0" w:color="auto"/>
            </w:tcBorders>
          </w:tcPr>
          <w:p w14:paraId="2CCE206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0B4B49" w14:textId="77777777">
        <w:tc>
          <w:tcPr>
            <w:tcW w:w="1384" w:type="dxa"/>
            <w:vMerge/>
            <w:tcBorders>
              <w:left w:val="single" w:sz="12" w:space="0" w:color="auto"/>
            </w:tcBorders>
          </w:tcPr>
          <w:p w14:paraId="76031BD1" w14:textId="77777777" w:rsidR="003B3105" w:rsidRDefault="003B3105" w:rsidP="001E533B">
            <w:pPr>
              <w:rPr>
                <w:rFonts w:ascii="新細明體" w:eastAsia="新細明體" w:hAnsi="新細明體"/>
              </w:rPr>
            </w:pPr>
          </w:p>
        </w:tc>
        <w:tc>
          <w:tcPr>
            <w:tcW w:w="1276" w:type="dxa"/>
            <w:vMerge/>
          </w:tcPr>
          <w:p w14:paraId="704F1D61" w14:textId="77777777" w:rsidR="003B3105" w:rsidRDefault="003B3105" w:rsidP="001E533B">
            <w:pPr>
              <w:rPr>
                <w:rFonts w:ascii="新細明體" w:eastAsia="新細明體" w:hAnsi="新細明體"/>
              </w:rPr>
            </w:pPr>
          </w:p>
        </w:tc>
        <w:tc>
          <w:tcPr>
            <w:tcW w:w="5386" w:type="dxa"/>
            <w:tcBorders>
              <w:top w:val="nil"/>
              <w:bottom w:val="nil"/>
            </w:tcBorders>
          </w:tcPr>
          <w:p w14:paraId="2627073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(十八)專營證券經紀業務之證券商僅得依證券商管理規則第十八條第一項第四款或第十八條之一第一項之轉投資方式擇一持有單一公司股份。</w:t>
            </w:r>
          </w:p>
        </w:tc>
        <w:tc>
          <w:tcPr>
            <w:tcW w:w="5387" w:type="dxa"/>
            <w:tcBorders>
              <w:top w:val="nil"/>
              <w:bottom w:val="nil"/>
            </w:tcBorders>
          </w:tcPr>
          <w:p w14:paraId="424C1E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(十八)專營證券經紀業務之證券商僅得依證券商管理規則第十八條第一項第四款或第十八條之一第一項之轉投資方式擇一持有單一公司股份。</w:t>
            </w:r>
          </w:p>
        </w:tc>
        <w:tc>
          <w:tcPr>
            <w:tcW w:w="2023" w:type="dxa"/>
            <w:vMerge/>
            <w:tcBorders>
              <w:right w:val="single" w:sz="12" w:space="0" w:color="auto"/>
            </w:tcBorders>
          </w:tcPr>
          <w:p w14:paraId="7D2F48D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B9C73F" w14:textId="77777777">
        <w:tc>
          <w:tcPr>
            <w:tcW w:w="1384" w:type="dxa"/>
            <w:vMerge/>
            <w:tcBorders>
              <w:left w:val="single" w:sz="12" w:space="0" w:color="auto"/>
            </w:tcBorders>
          </w:tcPr>
          <w:p w14:paraId="3E53F2E1" w14:textId="77777777" w:rsidR="003B3105" w:rsidRDefault="003B3105" w:rsidP="001E533B">
            <w:pPr>
              <w:rPr>
                <w:rFonts w:ascii="新細明體" w:eastAsia="新細明體" w:hAnsi="新細明體"/>
              </w:rPr>
            </w:pPr>
          </w:p>
        </w:tc>
        <w:tc>
          <w:tcPr>
            <w:tcW w:w="1276" w:type="dxa"/>
            <w:vMerge/>
          </w:tcPr>
          <w:p w14:paraId="359986E4" w14:textId="77777777" w:rsidR="003B3105" w:rsidRDefault="003B3105" w:rsidP="001E533B">
            <w:pPr>
              <w:rPr>
                <w:rFonts w:ascii="新細明體" w:eastAsia="新細明體" w:hAnsi="新細明體"/>
              </w:rPr>
            </w:pPr>
          </w:p>
        </w:tc>
        <w:tc>
          <w:tcPr>
            <w:tcW w:w="5386" w:type="dxa"/>
            <w:tcBorders>
              <w:top w:val="nil"/>
              <w:bottom w:val="nil"/>
            </w:tcBorders>
          </w:tcPr>
          <w:p w14:paraId="5DD8BAE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(十九)公司或其直接、間接持股百分之百之子公司，在大陸地區投資創業投資事業、私募股權基金、創業投資管理顧問公司及財務諮詢顧問公司等事業，應向主管機關申請許可，經主管機關核准後再向</w:t>
            </w:r>
            <w:r>
              <w:rPr>
                <w:rFonts w:ascii="新細明體" w:eastAsia="新細明體" w:hAnsi="新細明體" w:cs="新細明體" w:hint="eastAsia"/>
              </w:rPr>
              <w:lastRenderedPageBreak/>
              <w:t>經濟部投資審議委員會申請許可。</w:t>
            </w:r>
          </w:p>
        </w:tc>
        <w:tc>
          <w:tcPr>
            <w:tcW w:w="5387" w:type="dxa"/>
            <w:tcBorders>
              <w:top w:val="nil"/>
              <w:bottom w:val="nil"/>
            </w:tcBorders>
          </w:tcPr>
          <w:p w14:paraId="5E874D9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(十九)公司或其直接、間接持股百分之百之子公司，在大陸地區投資創業投資事業、私募股權基金、創業投資管理顧問公司及財務諮詢顧問公司等事業，應向主管機關申請許可，經主管機關核准後再向</w:t>
            </w:r>
            <w:r>
              <w:rPr>
                <w:rFonts w:ascii="新細明體" w:eastAsia="新細明體" w:hAnsi="新細明體" w:cs="新細明體" w:hint="eastAsia"/>
              </w:rPr>
              <w:lastRenderedPageBreak/>
              <w:t>經濟部投資審議委員會申請許可。</w:t>
            </w:r>
          </w:p>
        </w:tc>
        <w:tc>
          <w:tcPr>
            <w:tcW w:w="2023" w:type="dxa"/>
            <w:vMerge/>
            <w:tcBorders>
              <w:right w:val="single" w:sz="12" w:space="0" w:color="auto"/>
            </w:tcBorders>
          </w:tcPr>
          <w:p w14:paraId="07B7941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0DF677" w14:textId="77777777">
        <w:tc>
          <w:tcPr>
            <w:tcW w:w="1384" w:type="dxa"/>
            <w:vMerge/>
            <w:tcBorders>
              <w:left w:val="single" w:sz="12" w:space="0" w:color="auto"/>
            </w:tcBorders>
          </w:tcPr>
          <w:p w14:paraId="7A1D83E4" w14:textId="77777777" w:rsidR="003B3105" w:rsidRDefault="003B3105" w:rsidP="001E533B">
            <w:pPr>
              <w:rPr>
                <w:rFonts w:ascii="新細明體" w:eastAsia="新細明體" w:hAnsi="新細明體"/>
              </w:rPr>
            </w:pPr>
          </w:p>
        </w:tc>
        <w:tc>
          <w:tcPr>
            <w:tcW w:w="1276" w:type="dxa"/>
            <w:vMerge/>
          </w:tcPr>
          <w:p w14:paraId="5959B105" w14:textId="77777777" w:rsidR="003B3105" w:rsidRDefault="003B3105" w:rsidP="001E533B">
            <w:pPr>
              <w:rPr>
                <w:rFonts w:ascii="新細明體" w:eastAsia="新細明體" w:hAnsi="新細明體"/>
              </w:rPr>
            </w:pPr>
          </w:p>
        </w:tc>
        <w:tc>
          <w:tcPr>
            <w:tcW w:w="5386" w:type="dxa"/>
            <w:tcBorders>
              <w:top w:val="nil"/>
              <w:bottom w:val="nil"/>
            </w:tcBorders>
          </w:tcPr>
          <w:p w14:paraId="60E8FBE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專業經紀商依證券商管理規則第十八條第一項第四款規定購買符合經主管機關規定一定比率之有價證券，若採全權委託方式辦理時，對受託機構之選任應考慮風險分散、經營績效及利益衝突等，明訂於內部控制制度(註：請公司自訂)，並應經董事會通過，另應定期評估受託機構之經營績效。</w:t>
            </w:r>
          </w:p>
        </w:tc>
        <w:tc>
          <w:tcPr>
            <w:tcW w:w="5387" w:type="dxa"/>
            <w:tcBorders>
              <w:top w:val="nil"/>
              <w:bottom w:val="nil"/>
            </w:tcBorders>
          </w:tcPr>
          <w:p w14:paraId="6515E7F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專業經紀商依證券商管理規則第十八條第一項第四款規定購買符合經主管機關規定一定比率之有價證券，若採全權委託方式辦理時，對受託機構之選任應考慮風險分散、經營績效及利益衝突等，明訂於內部控制制度(註：請公司自訂)，並應經董事會通過，另應定期評估受託機構之經營績效。</w:t>
            </w:r>
          </w:p>
        </w:tc>
        <w:tc>
          <w:tcPr>
            <w:tcW w:w="2023" w:type="dxa"/>
            <w:vMerge/>
            <w:tcBorders>
              <w:right w:val="single" w:sz="12" w:space="0" w:color="auto"/>
            </w:tcBorders>
          </w:tcPr>
          <w:p w14:paraId="147127B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D98BB9" w14:textId="77777777">
        <w:tc>
          <w:tcPr>
            <w:tcW w:w="1384" w:type="dxa"/>
            <w:vMerge/>
            <w:tcBorders>
              <w:left w:val="single" w:sz="12" w:space="0" w:color="auto"/>
            </w:tcBorders>
          </w:tcPr>
          <w:p w14:paraId="36B522A6" w14:textId="77777777" w:rsidR="003B3105" w:rsidRDefault="003B3105" w:rsidP="001E533B">
            <w:pPr>
              <w:rPr>
                <w:rFonts w:ascii="新細明體" w:eastAsia="新細明體" w:hAnsi="新細明體"/>
              </w:rPr>
            </w:pPr>
          </w:p>
        </w:tc>
        <w:tc>
          <w:tcPr>
            <w:tcW w:w="1276" w:type="dxa"/>
            <w:vMerge/>
          </w:tcPr>
          <w:p w14:paraId="5DFF17F7" w14:textId="77777777" w:rsidR="003B3105" w:rsidRDefault="003B3105" w:rsidP="001E533B">
            <w:pPr>
              <w:rPr>
                <w:rFonts w:ascii="新細明體" w:eastAsia="新細明體" w:hAnsi="新細明體"/>
              </w:rPr>
            </w:pPr>
          </w:p>
        </w:tc>
        <w:tc>
          <w:tcPr>
            <w:tcW w:w="5386" w:type="dxa"/>
            <w:tcBorders>
              <w:top w:val="nil"/>
              <w:bottom w:val="nil"/>
            </w:tcBorders>
          </w:tcPr>
          <w:p w14:paraId="1E473A8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(二十一)公司依規應提存之營業保證金，應以現金、政府債券或金融債券提存。有關營業保證金之提存、提取及更換事宜，應依金管會103年6月3日金管證券字第1030013323B號令辦理(請公司自訂內部控制制度)。</w:t>
            </w:r>
          </w:p>
        </w:tc>
        <w:tc>
          <w:tcPr>
            <w:tcW w:w="5387" w:type="dxa"/>
            <w:tcBorders>
              <w:top w:val="nil"/>
              <w:bottom w:val="nil"/>
            </w:tcBorders>
          </w:tcPr>
          <w:p w14:paraId="2D9CC75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(二十一)公司依規應提存之營業保證金，應以現金、政府債券或金融債券提存。有關營業保證金之提存、提取及更換事宜，應依金管會103年6月3日金管證券字第1030013323B號令辦理(請公司自訂內部控制制度)。</w:t>
            </w:r>
          </w:p>
        </w:tc>
        <w:tc>
          <w:tcPr>
            <w:tcW w:w="2023" w:type="dxa"/>
            <w:vMerge/>
            <w:tcBorders>
              <w:right w:val="single" w:sz="12" w:space="0" w:color="auto"/>
            </w:tcBorders>
          </w:tcPr>
          <w:p w14:paraId="729882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360EE23" w14:textId="77777777">
        <w:tc>
          <w:tcPr>
            <w:tcW w:w="1384" w:type="dxa"/>
            <w:vMerge/>
            <w:tcBorders>
              <w:left w:val="single" w:sz="12" w:space="0" w:color="auto"/>
              <w:bottom w:val="single" w:sz="12" w:space="0" w:color="auto"/>
            </w:tcBorders>
          </w:tcPr>
          <w:p w14:paraId="37D21BA3"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127B177B"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1740864E" w14:textId="77777777" w:rsidR="003B3105" w:rsidRPr="0068743F" w:rsidRDefault="0027008E" w:rsidP="0027008E">
            <w:pPr>
              <w:ind w:left="703" w:hangingChars="270" w:hanging="703"/>
              <w:rPr>
                <w:rFonts w:ascii="新細明體" w:eastAsia="新細明體" w:hAnsi="新細明體" w:cs="新細明體"/>
              </w:rPr>
            </w:pPr>
            <w:r>
              <w:rPr>
                <w:rFonts w:ascii="新細明體" w:eastAsia="新細明體" w:hAnsi="新細明體" w:cs="新細明體" w:hint="eastAsia"/>
                <w:b/>
                <w:color w:val="FF0000"/>
              </w:rPr>
              <w:t>(二十二)</w:t>
            </w:r>
            <w:r>
              <w:rPr>
                <w:rFonts w:ascii="新細明體" w:eastAsia="新細明體" w:hAnsi="新細明體" w:cs="新細明體" w:hint="eastAsia"/>
                <w:b/>
                <w:color w:val="FF0000"/>
                <w:u w:val="single"/>
              </w:rPr>
              <w:t>依證券交易法第四十三條之一規定，任何人單獨或與他人共同取得任一公開發行公司已發行股份總額超過百分之五之股份者，應向主管機關申報及公告；申報事項如有變動時，亦同。</w:t>
            </w:r>
          </w:p>
        </w:tc>
        <w:tc>
          <w:tcPr>
            <w:tcW w:w="5387" w:type="dxa"/>
            <w:tcBorders>
              <w:top w:val="nil"/>
              <w:bottom w:val="single" w:sz="12" w:space="0" w:color="auto"/>
            </w:tcBorders>
          </w:tcPr>
          <w:p w14:paraId="216D0FCA" w14:textId="77777777" w:rsidR="003B3105" w:rsidRPr="00F6439B" w:rsidRDefault="0027008E" w:rsidP="0027008E">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bottom w:val="single" w:sz="12" w:space="0" w:color="auto"/>
              <w:right w:val="single" w:sz="12" w:space="0" w:color="auto"/>
            </w:tcBorders>
          </w:tcPr>
          <w:p w14:paraId="70038D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89C9F56" w14:textId="77777777" w:rsidR="001E533B" w:rsidRPr="00F6439B" w:rsidRDefault="001E533B" w:rsidP="00A24FFC">
      <w:pPr>
        <w:rPr>
          <w:rFonts w:ascii="新細明體" w:eastAsia="新細明體" w:hAnsi="新細明體"/>
        </w:rPr>
      </w:pPr>
    </w:p>
    <w:p w14:paraId="3B99924A" w14:textId="77777777" w:rsidR="00235BC3" w:rsidRDefault="00000000">
      <w:r>
        <w:br w:type="page"/>
      </w:r>
    </w:p>
    <w:p w14:paraId="0D8DF7E1" w14:textId="3A1998C4"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t>證券商內部控制制度標準規範─內部控制制度依據修正對照表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A943E4" w:rsidRPr="00F6439B" w14:paraId="436F4E71" w14:textId="77777777" w:rsidTr="00C6790C">
        <w:trPr>
          <w:tblHeader/>
        </w:trPr>
        <w:tc>
          <w:tcPr>
            <w:tcW w:w="1384" w:type="dxa"/>
            <w:tcBorders>
              <w:top w:val="single" w:sz="12" w:space="0" w:color="auto"/>
              <w:left w:val="single" w:sz="12" w:space="0" w:color="auto"/>
              <w:bottom w:val="single" w:sz="12" w:space="0" w:color="auto"/>
            </w:tcBorders>
          </w:tcPr>
          <w:p w14:paraId="1A6B21CC"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1AFC4549"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5AFAC182"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60DE76B6"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517CFFD4"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279780BC" w14:textId="77777777">
        <w:tc>
          <w:tcPr>
            <w:tcW w:w="1384" w:type="dxa"/>
            <w:vMerge w:val="restart"/>
            <w:tcBorders>
              <w:top w:val="single" w:sz="12" w:space="0" w:color="auto"/>
              <w:left w:val="single" w:sz="12" w:space="0" w:color="auto"/>
            </w:tcBorders>
          </w:tcPr>
          <w:p w14:paraId="20212A82" w14:textId="77777777" w:rsidR="00A943E4" w:rsidRPr="00F6439B" w:rsidRDefault="00A943E4">
            <w:pPr>
              <w:rPr>
                <w:rFonts w:ascii="新細明體" w:eastAsia="新細明體" w:hAnsi="新細明體"/>
              </w:rPr>
            </w:pPr>
            <w:r>
              <w:rPr>
                <w:rFonts w:ascii="新細明體" w:eastAsia="新細明體" w:hAnsi="新細明體" w:hint="eastAsia"/>
              </w:rPr>
              <w:t>CI-12000</w:t>
            </w:r>
          </w:p>
        </w:tc>
        <w:tc>
          <w:tcPr>
            <w:tcW w:w="1276" w:type="dxa"/>
            <w:vMerge w:val="restart"/>
            <w:tcBorders>
              <w:top w:val="single" w:sz="12" w:space="0" w:color="auto"/>
            </w:tcBorders>
          </w:tcPr>
          <w:p w14:paraId="33686E75" w14:textId="77777777" w:rsidR="00A943E4" w:rsidRPr="00F6439B" w:rsidRDefault="00A943E4">
            <w:pPr>
              <w:rPr>
                <w:rFonts w:ascii="新細明體" w:eastAsia="新細明體" w:hAnsi="新細明體"/>
              </w:rPr>
            </w:pPr>
            <w:r>
              <w:rPr>
                <w:rFonts w:ascii="新細明體" w:eastAsia="新細明體" w:hAnsi="新細明體" w:hint="eastAsia"/>
              </w:rPr>
              <w:t>有價證券投資取得、處分作業</w:t>
            </w:r>
          </w:p>
        </w:tc>
        <w:tc>
          <w:tcPr>
            <w:tcW w:w="5386" w:type="dxa"/>
            <w:tcBorders>
              <w:top w:val="single" w:sz="12" w:space="0" w:color="auto"/>
              <w:bottom w:val="nil"/>
            </w:tcBorders>
          </w:tcPr>
          <w:p w14:paraId="48623EF1"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7C15857B"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60AEA908"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配合證券交易法第43條之1修正，爰予新增。</w:t>
            </w:r>
          </w:p>
        </w:tc>
      </w:tr>
      <w:tr w:rsidR="00A943E4" w:rsidRPr="00F6439B" w14:paraId="7C0C2CE1" w14:textId="77777777">
        <w:tc>
          <w:tcPr>
            <w:tcW w:w="1384" w:type="dxa"/>
            <w:vMerge/>
            <w:tcBorders>
              <w:left w:val="single" w:sz="12" w:space="0" w:color="auto"/>
            </w:tcBorders>
          </w:tcPr>
          <w:p w14:paraId="7A326431" w14:textId="77777777" w:rsidR="00A943E4" w:rsidRDefault="00A943E4">
            <w:pPr>
              <w:rPr>
                <w:rFonts w:ascii="新細明體" w:eastAsia="新細明體" w:hAnsi="新細明體"/>
              </w:rPr>
            </w:pPr>
          </w:p>
        </w:tc>
        <w:tc>
          <w:tcPr>
            <w:tcW w:w="1276" w:type="dxa"/>
            <w:vMerge/>
          </w:tcPr>
          <w:p w14:paraId="7A3A98F8" w14:textId="77777777" w:rsidR="00A943E4" w:rsidRDefault="00A943E4">
            <w:pPr>
              <w:rPr>
                <w:rFonts w:ascii="新細明體" w:eastAsia="新細明體" w:hAnsi="新細明體"/>
              </w:rPr>
            </w:pPr>
          </w:p>
        </w:tc>
        <w:tc>
          <w:tcPr>
            <w:tcW w:w="5386" w:type="dxa"/>
            <w:tcBorders>
              <w:top w:val="nil"/>
              <w:bottom w:val="nil"/>
            </w:tcBorders>
          </w:tcPr>
          <w:p w14:paraId="350B54F6"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(一)證券商管理規則第18條、第18條之1及第五章</w:t>
            </w:r>
          </w:p>
        </w:tc>
        <w:tc>
          <w:tcPr>
            <w:tcW w:w="5387" w:type="dxa"/>
            <w:tcBorders>
              <w:top w:val="nil"/>
              <w:bottom w:val="nil"/>
            </w:tcBorders>
          </w:tcPr>
          <w:p w14:paraId="0EC72661"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(一)證券商管理規則第18條、第18條之1及第五章</w:t>
            </w:r>
          </w:p>
        </w:tc>
        <w:tc>
          <w:tcPr>
            <w:tcW w:w="2023" w:type="dxa"/>
            <w:vMerge/>
            <w:tcBorders>
              <w:right w:val="single" w:sz="12" w:space="0" w:color="auto"/>
            </w:tcBorders>
          </w:tcPr>
          <w:p w14:paraId="091815E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F6AEBA4" w14:textId="77777777">
        <w:tc>
          <w:tcPr>
            <w:tcW w:w="1384" w:type="dxa"/>
            <w:vMerge/>
            <w:tcBorders>
              <w:left w:val="single" w:sz="12" w:space="0" w:color="auto"/>
            </w:tcBorders>
          </w:tcPr>
          <w:p w14:paraId="7A22B343" w14:textId="77777777" w:rsidR="00A943E4" w:rsidRDefault="00A943E4">
            <w:pPr>
              <w:rPr>
                <w:rFonts w:ascii="新細明體" w:eastAsia="新細明體" w:hAnsi="新細明體"/>
              </w:rPr>
            </w:pPr>
          </w:p>
        </w:tc>
        <w:tc>
          <w:tcPr>
            <w:tcW w:w="1276" w:type="dxa"/>
            <w:vMerge/>
          </w:tcPr>
          <w:p w14:paraId="2044178A" w14:textId="77777777" w:rsidR="00A943E4" w:rsidRDefault="00A943E4">
            <w:pPr>
              <w:rPr>
                <w:rFonts w:ascii="新細明體" w:eastAsia="新細明體" w:hAnsi="新細明體"/>
              </w:rPr>
            </w:pPr>
          </w:p>
        </w:tc>
        <w:tc>
          <w:tcPr>
            <w:tcW w:w="5386" w:type="dxa"/>
            <w:tcBorders>
              <w:top w:val="nil"/>
              <w:bottom w:val="nil"/>
            </w:tcBorders>
          </w:tcPr>
          <w:p w14:paraId="6F47C8E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(二)證交所營業細則第25、28條</w:t>
            </w:r>
          </w:p>
        </w:tc>
        <w:tc>
          <w:tcPr>
            <w:tcW w:w="5387" w:type="dxa"/>
            <w:tcBorders>
              <w:top w:val="nil"/>
              <w:bottom w:val="nil"/>
            </w:tcBorders>
          </w:tcPr>
          <w:p w14:paraId="2FF2E92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(二)證交所營業細則第25、28條</w:t>
            </w:r>
          </w:p>
        </w:tc>
        <w:tc>
          <w:tcPr>
            <w:tcW w:w="2023" w:type="dxa"/>
            <w:vMerge/>
            <w:tcBorders>
              <w:right w:val="single" w:sz="12" w:space="0" w:color="auto"/>
            </w:tcBorders>
          </w:tcPr>
          <w:p w14:paraId="14E6A59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0B18C50" w14:textId="77777777">
        <w:tc>
          <w:tcPr>
            <w:tcW w:w="1384" w:type="dxa"/>
            <w:vMerge/>
            <w:tcBorders>
              <w:left w:val="single" w:sz="12" w:space="0" w:color="auto"/>
            </w:tcBorders>
          </w:tcPr>
          <w:p w14:paraId="73DEDA5A" w14:textId="77777777" w:rsidR="00A943E4" w:rsidRDefault="00A943E4">
            <w:pPr>
              <w:rPr>
                <w:rFonts w:ascii="新細明體" w:eastAsia="新細明體" w:hAnsi="新細明體"/>
              </w:rPr>
            </w:pPr>
          </w:p>
        </w:tc>
        <w:tc>
          <w:tcPr>
            <w:tcW w:w="1276" w:type="dxa"/>
            <w:vMerge/>
          </w:tcPr>
          <w:p w14:paraId="476B9E90" w14:textId="77777777" w:rsidR="00A943E4" w:rsidRDefault="00A943E4">
            <w:pPr>
              <w:rPr>
                <w:rFonts w:ascii="新細明體" w:eastAsia="新細明體" w:hAnsi="新細明體"/>
              </w:rPr>
            </w:pPr>
          </w:p>
        </w:tc>
        <w:tc>
          <w:tcPr>
            <w:tcW w:w="5386" w:type="dxa"/>
            <w:tcBorders>
              <w:top w:val="nil"/>
              <w:bottom w:val="nil"/>
            </w:tcBorders>
          </w:tcPr>
          <w:p w14:paraId="06AEDB8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(三)公司法</w:t>
            </w:r>
          </w:p>
        </w:tc>
        <w:tc>
          <w:tcPr>
            <w:tcW w:w="5387" w:type="dxa"/>
            <w:tcBorders>
              <w:top w:val="nil"/>
              <w:bottom w:val="nil"/>
            </w:tcBorders>
          </w:tcPr>
          <w:p w14:paraId="7D27612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(三)公司法</w:t>
            </w:r>
          </w:p>
        </w:tc>
        <w:tc>
          <w:tcPr>
            <w:tcW w:w="2023" w:type="dxa"/>
            <w:vMerge/>
            <w:tcBorders>
              <w:right w:val="single" w:sz="12" w:space="0" w:color="auto"/>
            </w:tcBorders>
          </w:tcPr>
          <w:p w14:paraId="6AC773C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F9B4C65" w14:textId="77777777">
        <w:tc>
          <w:tcPr>
            <w:tcW w:w="1384" w:type="dxa"/>
            <w:vMerge/>
            <w:tcBorders>
              <w:left w:val="single" w:sz="12" w:space="0" w:color="auto"/>
            </w:tcBorders>
          </w:tcPr>
          <w:p w14:paraId="366085A5" w14:textId="77777777" w:rsidR="00A943E4" w:rsidRDefault="00A943E4">
            <w:pPr>
              <w:rPr>
                <w:rFonts w:ascii="新細明體" w:eastAsia="新細明體" w:hAnsi="新細明體"/>
              </w:rPr>
            </w:pPr>
          </w:p>
        </w:tc>
        <w:tc>
          <w:tcPr>
            <w:tcW w:w="1276" w:type="dxa"/>
            <w:vMerge/>
          </w:tcPr>
          <w:p w14:paraId="2FF3E7B5" w14:textId="77777777" w:rsidR="00A943E4" w:rsidRDefault="00A943E4">
            <w:pPr>
              <w:rPr>
                <w:rFonts w:ascii="新細明體" w:eastAsia="新細明體" w:hAnsi="新細明體"/>
              </w:rPr>
            </w:pPr>
          </w:p>
        </w:tc>
        <w:tc>
          <w:tcPr>
            <w:tcW w:w="5386" w:type="dxa"/>
            <w:tcBorders>
              <w:top w:val="nil"/>
              <w:bottom w:val="nil"/>
            </w:tcBorders>
          </w:tcPr>
          <w:p w14:paraId="3B0CC4C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(四)公開發行公司取得或處分資產處理準則及公司自訂之取得或處分資產處理程序</w:t>
            </w:r>
          </w:p>
        </w:tc>
        <w:tc>
          <w:tcPr>
            <w:tcW w:w="5387" w:type="dxa"/>
            <w:tcBorders>
              <w:top w:val="nil"/>
              <w:bottom w:val="nil"/>
            </w:tcBorders>
          </w:tcPr>
          <w:p w14:paraId="73E4C3D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(四)公開發行公司取得或處分資產處理準則及公司自訂之取得或處分資產處理程序</w:t>
            </w:r>
          </w:p>
        </w:tc>
        <w:tc>
          <w:tcPr>
            <w:tcW w:w="2023" w:type="dxa"/>
            <w:vMerge/>
            <w:tcBorders>
              <w:right w:val="single" w:sz="12" w:space="0" w:color="auto"/>
            </w:tcBorders>
          </w:tcPr>
          <w:p w14:paraId="2A3A74B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FC89CB7" w14:textId="77777777">
        <w:tc>
          <w:tcPr>
            <w:tcW w:w="1384" w:type="dxa"/>
            <w:vMerge/>
            <w:tcBorders>
              <w:left w:val="single" w:sz="12" w:space="0" w:color="auto"/>
            </w:tcBorders>
          </w:tcPr>
          <w:p w14:paraId="23CE8AF8" w14:textId="77777777" w:rsidR="00A943E4" w:rsidRDefault="00A943E4">
            <w:pPr>
              <w:rPr>
                <w:rFonts w:ascii="新細明體" w:eastAsia="新細明體" w:hAnsi="新細明體"/>
              </w:rPr>
            </w:pPr>
          </w:p>
        </w:tc>
        <w:tc>
          <w:tcPr>
            <w:tcW w:w="1276" w:type="dxa"/>
            <w:vMerge/>
          </w:tcPr>
          <w:p w14:paraId="45B6227C" w14:textId="77777777" w:rsidR="00A943E4" w:rsidRDefault="00A943E4">
            <w:pPr>
              <w:rPr>
                <w:rFonts w:ascii="新細明體" w:eastAsia="新細明體" w:hAnsi="新細明體"/>
              </w:rPr>
            </w:pPr>
          </w:p>
        </w:tc>
        <w:tc>
          <w:tcPr>
            <w:tcW w:w="5386" w:type="dxa"/>
            <w:tcBorders>
              <w:top w:val="nil"/>
              <w:bottom w:val="nil"/>
            </w:tcBorders>
          </w:tcPr>
          <w:p w14:paraId="7755D971"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(五)證期會78年5月10日(78)台財證(三)第08250號函</w:t>
            </w:r>
          </w:p>
        </w:tc>
        <w:tc>
          <w:tcPr>
            <w:tcW w:w="5387" w:type="dxa"/>
            <w:tcBorders>
              <w:top w:val="nil"/>
              <w:bottom w:val="nil"/>
            </w:tcBorders>
          </w:tcPr>
          <w:p w14:paraId="3383C18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(五)證期會78年5月10日(78)台財證(三)第08250號函</w:t>
            </w:r>
          </w:p>
        </w:tc>
        <w:tc>
          <w:tcPr>
            <w:tcW w:w="2023" w:type="dxa"/>
            <w:vMerge/>
            <w:tcBorders>
              <w:right w:val="single" w:sz="12" w:space="0" w:color="auto"/>
            </w:tcBorders>
          </w:tcPr>
          <w:p w14:paraId="60A5480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9186594" w14:textId="77777777">
        <w:tc>
          <w:tcPr>
            <w:tcW w:w="1384" w:type="dxa"/>
            <w:vMerge/>
            <w:tcBorders>
              <w:left w:val="single" w:sz="12" w:space="0" w:color="auto"/>
            </w:tcBorders>
          </w:tcPr>
          <w:p w14:paraId="0E30FB77" w14:textId="77777777" w:rsidR="00A943E4" w:rsidRDefault="00A943E4">
            <w:pPr>
              <w:rPr>
                <w:rFonts w:ascii="新細明體" w:eastAsia="新細明體" w:hAnsi="新細明體"/>
              </w:rPr>
            </w:pPr>
          </w:p>
        </w:tc>
        <w:tc>
          <w:tcPr>
            <w:tcW w:w="1276" w:type="dxa"/>
            <w:vMerge/>
          </w:tcPr>
          <w:p w14:paraId="082BB5B0" w14:textId="77777777" w:rsidR="00A943E4" w:rsidRDefault="00A943E4">
            <w:pPr>
              <w:rPr>
                <w:rFonts w:ascii="新細明體" w:eastAsia="新細明體" w:hAnsi="新細明體"/>
              </w:rPr>
            </w:pPr>
          </w:p>
        </w:tc>
        <w:tc>
          <w:tcPr>
            <w:tcW w:w="5386" w:type="dxa"/>
            <w:tcBorders>
              <w:top w:val="nil"/>
              <w:bottom w:val="nil"/>
            </w:tcBorders>
          </w:tcPr>
          <w:p w14:paraId="0FE5CFE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(六)證期會81年1月21日(81)台財證(二)第29093號函</w:t>
            </w:r>
          </w:p>
        </w:tc>
        <w:tc>
          <w:tcPr>
            <w:tcW w:w="5387" w:type="dxa"/>
            <w:tcBorders>
              <w:top w:val="nil"/>
              <w:bottom w:val="nil"/>
            </w:tcBorders>
          </w:tcPr>
          <w:p w14:paraId="7E663FF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(六)證期會81年1月21日(81)台財證(二)第29093號函</w:t>
            </w:r>
          </w:p>
        </w:tc>
        <w:tc>
          <w:tcPr>
            <w:tcW w:w="2023" w:type="dxa"/>
            <w:vMerge/>
            <w:tcBorders>
              <w:right w:val="single" w:sz="12" w:space="0" w:color="auto"/>
            </w:tcBorders>
          </w:tcPr>
          <w:p w14:paraId="33AFC4A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517AFF0" w14:textId="77777777">
        <w:tc>
          <w:tcPr>
            <w:tcW w:w="1384" w:type="dxa"/>
            <w:vMerge/>
            <w:tcBorders>
              <w:left w:val="single" w:sz="12" w:space="0" w:color="auto"/>
            </w:tcBorders>
          </w:tcPr>
          <w:p w14:paraId="37FDC4F8" w14:textId="77777777" w:rsidR="00A943E4" w:rsidRDefault="00A943E4">
            <w:pPr>
              <w:rPr>
                <w:rFonts w:ascii="新細明體" w:eastAsia="新細明體" w:hAnsi="新細明體"/>
              </w:rPr>
            </w:pPr>
          </w:p>
        </w:tc>
        <w:tc>
          <w:tcPr>
            <w:tcW w:w="1276" w:type="dxa"/>
            <w:vMerge/>
          </w:tcPr>
          <w:p w14:paraId="1D7A2EA5" w14:textId="77777777" w:rsidR="00A943E4" w:rsidRDefault="00A943E4">
            <w:pPr>
              <w:rPr>
                <w:rFonts w:ascii="新細明體" w:eastAsia="新細明體" w:hAnsi="新細明體"/>
              </w:rPr>
            </w:pPr>
          </w:p>
        </w:tc>
        <w:tc>
          <w:tcPr>
            <w:tcW w:w="5386" w:type="dxa"/>
            <w:tcBorders>
              <w:top w:val="nil"/>
              <w:bottom w:val="nil"/>
            </w:tcBorders>
          </w:tcPr>
          <w:p w14:paraId="735C2D8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(七)證期會84年3月8日(84)台財證(二)第16551號函</w:t>
            </w:r>
          </w:p>
        </w:tc>
        <w:tc>
          <w:tcPr>
            <w:tcW w:w="5387" w:type="dxa"/>
            <w:tcBorders>
              <w:top w:val="nil"/>
              <w:bottom w:val="nil"/>
            </w:tcBorders>
          </w:tcPr>
          <w:p w14:paraId="324BA016"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(七)證期會84年3月8日(84)台財證(二)第16551號函</w:t>
            </w:r>
          </w:p>
        </w:tc>
        <w:tc>
          <w:tcPr>
            <w:tcW w:w="2023" w:type="dxa"/>
            <w:vMerge/>
            <w:tcBorders>
              <w:right w:val="single" w:sz="12" w:space="0" w:color="auto"/>
            </w:tcBorders>
          </w:tcPr>
          <w:p w14:paraId="1A49323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A8D4981" w14:textId="77777777">
        <w:tc>
          <w:tcPr>
            <w:tcW w:w="1384" w:type="dxa"/>
            <w:vMerge/>
            <w:tcBorders>
              <w:left w:val="single" w:sz="12" w:space="0" w:color="auto"/>
            </w:tcBorders>
          </w:tcPr>
          <w:p w14:paraId="78C542C1" w14:textId="77777777" w:rsidR="00A943E4" w:rsidRDefault="00A943E4">
            <w:pPr>
              <w:rPr>
                <w:rFonts w:ascii="新細明體" w:eastAsia="新細明體" w:hAnsi="新細明體"/>
              </w:rPr>
            </w:pPr>
          </w:p>
        </w:tc>
        <w:tc>
          <w:tcPr>
            <w:tcW w:w="1276" w:type="dxa"/>
            <w:vMerge/>
          </w:tcPr>
          <w:p w14:paraId="429EEBA3" w14:textId="77777777" w:rsidR="00A943E4" w:rsidRDefault="00A943E4">
            <w:pPr>
              <w:rPr>
                <w:rFonts w:ascii="新細明體" w:eastAsia="新細明體" w:hAnsi="新細明體"/>
              </w:rPr>
            </w:pPr>
          </w:p>
        </w:tc>
        <w:tc>
          <w:tcPr>
            <w:tcW w:w="5386" w:type="dxa"/>
            <w:tcBorders>
              <w:top w:val="nil"/>
              <w:bottom w:val="nil"/>
            </w:tcBorders>
          </w:tcPr>
          <w:p w14:paraId="65C29A1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(八)證期會85年10月19日(85)台財證(二)第53983號函</w:t>
            </w:r>
          </w:p>
        </w:tc>
        <w:tc>
          <w:tcPr>
            <w:tcW w:w="5387" w:type="dxa"/>
            <w:tcBorders>
              <w:top w:val="nil"/>
              <w:bottom w:val="nil"/>
            </w:tcBorders>
          </w:tcPr>
          <w:p w14:paraId="759D4D7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(八)證期會85年10月19日(85)台財證(二)第53983號函</w:t>
            </w:r>
          </w:p>
        </w:tc>
        <w:tc>
          <w:tcPr>
            <w:tcW w:w="2023" w:type="dxa"/>
            <w:vMerge/>
            <w:tcBorders>
              <w:right w:val="single" w:sz="12" w:space="0" w:color="auto"/>
            </w:tcBorders>
          </w:tcPr>
          <w:p w14:paraId="2EB1155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0DCFDCD" w14:textId="77777777">
        <w:tc>
          <w:tcPr>
            <w:tcW w:w="1384" w:type="dxa"/>
            <w:vMerge/>
            <w:tcBorders>
              <w:left w:val="single" w:sz="12" w:space="0" w:color="auto"/>
            </w:tcBorders>
          </w:tcPr>
          <w:p w14:paraId="7949C6F5" w14:textId="77777777" w:rsidR="00A943E4" w:rsidRDefault="00A943E4">
            <w:pPr>
              <w:rPr>
                <w:rFonts w:ascii="新細明體" w:eastAsia="新細明體" w:hAnsi="新細明體"/>
              </w:rPr>
            </w:pPr>
          </w:p>
        </w:tc>
        <w:tc>
          <w:tcPr>
            <w:tcW w:w="1276" w:type="dxa"/>
            <w:vMerge/>
          </w:tcPr>
          <w:p w14:paraId="1E6290D4" w14:textId="77777777" w:rsidR="00A943E4" w:rsidRDefault="00A943E4">
            <w:pPr>
              <w:rPr>
                <w:rFonts w:ascii="新細明體" w:eastAsia="新細明體" w:hAnsi="新細明體"/>
              </w:rPr>
            </w:pPr>
          </w:p>
        </w:tc>
        <w:tc>
          <w:tcPr>
            <w:tcW w:w="5386" w:type="dxa"/>
            <w:tcBorders>
              <w:top w:val="nil"/>
              <w:bottom w:val="nil"/>
            </w:tcBorders>
          </w:tcPr>
          <w:p w14:paraId="465AD72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(九)證交所81年8月15日台證(81)交字第16378號函</w:t>
            </w:r>
          </w:p>
        </w:tc>
        <w:tc>
          <w:tcPr>
            <w:tcW w:w="5387" w:type="dxa"/>
            <w:tcBorders>
              <w:top w:val="nil"/>
              <w:bottom w:val="nil"/>
            </w:tcBorders>
          </w:tcPr>
          <w:p w14:paraId="25FDC21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(九)證交所81年8月15日台證(81)交字第16378號函</w:t>
            </w:r>
          </w:p>
        </w:tc>
        <w:tc>
          <w:tcPr>
            <w:tcW w:w="2023" w:type="dxa"/>
            <w:vMerge/>
            <w:tcBorders>
              <w:right w:val="single" w:sz="12" w:space="0" w:color="auto"/>
            </w:tcBorders>
          </w:tcPr>
          <w:p w14:paraId="130C106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DAF9761" w14:textId="77777777">
        <w:tc>
          <w:tcPr>
            <w:tcW w:w="1384" w:type="dxa"/>
            <w:vMerge/>
            <w:tcBorders>
              <w:left w:val="single" w:sz="12" w:space="0" w:color="auto"/>
            </w:tcBorders>
          </w:tcPr>
          <w:p w14:paraId="490193E3" w14:textId="77777777" w:rsidR="00A943E4" w:rsidRDefault="00A943E4">
            <w:pPr>
              <w:rPr>
                <w:rFonts w:ascii="新細明體" w:eastAsia="新細明體" w:hAnsi="新細明體"/>
              </w:rPr>
            </w:pPr>
          </w:p>
        </w:tc>
        <w:tc>
          <w:tcPr>
            <w:tcW w:w="1276" w:type="dxa"/>
            <w:vMerge/>
          </w:tcPr>
          <w:p w14:paraId="5C935350" w14:textId="77777777" w:rsidR="00A943E4" w:rsidRDefault="00A943E4">
            <w:pPr>
              <w:rPr>
                <w:rFonts w:ascii="新細明體" w:eastAsia="新細明體" w:hAnsi="新細明體"/>
              </w:rPr>
            </w:pPr>
          </w:p>
        </w:tc>
        <w:tc>
          <w:tcPr>
            <w:tcW w:w="5386" w:type="dxa"/>
            <w:tcBorders>
              <w:top w:val="nil"/>
              <w:bottom w:val="nil"/>
            </w:tcBorders>
          </w:tcPr>
          <w:p w14:paraId="1AF01AD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(十)核決權限一覽表</w:t>
            </w:r>
          </w:p>
        </w:tc>
        <w:tc>
          <w:tcPr>
            <w:tcW w:w="5387" w:type="dxa"/>
            <w:tcBorders>
              <w:top w:val="nil"/>
              <w:bottom w:val="nil"/>
            </w:tcBorders>
          </w:tcPr>
          <w:p w14:paraId="0841E6A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(十)核決權限一覽表</w:t>
            </w:r>
          </w:p>
        </w:tc>
        <w:tc>
          <w:tcPr>
            <w:tcW w:w="2023" w:type="dxa"/>
            <w:vMerge/>
            <w:tcBorders>
              <w:right w:val="single" w:sz="12" w:space="0" w:color="auto"/>
            </w:tcBorders>
          </w:tcPr>
          <w:p w14:paraId="633B1C0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1469D59" w14:textId="77777777">
        <w:tc>
          <w:tcPr>
            <w:tcW w:w="1384" w:type="dxa"/>
            <w:vMerge/>
            <w:tcBorders>
              <w:left w:val="single" w:sz="12" w:space="0" w:color="auto"/>
            </w:tcBorders>
          </w:tcPr>
          <w:p w14:paraId="044F45B9" w14:textId="77777777" w:rsidR="00A943E4" w:rsidRDefault="00A943E4">
            <w:pPr>
              <w:rPr>
                <w:rFonts w:ascii="新細明體" w:eastAsia="新細明體" w:hAnsi="新細明體"/>
              </w:rPr>
            </w:pPr>
          </w:p>
        </w:tc>
        <w:tc>
          <w:tcPr>
            <w:tcW w:w="1276" w:type="dxa"/>
            <w:vMerge/>
          </w:tcPr>
          <w:p w14:paraId="703289D2" w14:textId="77777777" w:rsidR="00A943E4" w:rsidRDefault="00A943E4">
            <w:pPr>
              <w:rPr>
                <w:rFonts w:ascii="新細明體" w:eastAsia="新細明體" w:hAnsi="新細明體"/>
              </w:rPr>
            </w:pPr>
          </w:p>
        </w:tc>
        <w:tc>
          <w:tcPr>
            <w:tcW w:w="5386" w:type="dxa"/>
            <w:tcBorders>
              <w:top w:val="nil"/>
              <w:bottom w:val="nil"/>
            </w:tcBorders>
          </w:tcPr>
          <w:p w14:paraId="5DDE1F4B"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(十一)證期會86年6月21日(86)台財證(二)第44866號函</w:t>
            </w:r>
          </w:p>
        </w:tc>
        <w:tc>
          <w:tcPr>
            <w:tcW w:w="5387" w:type="dxa"/>
            <w:tcBorders>
              <w:top w:val="nil"/>
              <w:bottom w:val="nil"/>
            </w:tcBorders>
          </w:tcPr>
          <w:p w14:paraId="2D637091"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(十一)證期會86年6月21日(86)台財證(二)第44866號函</w:t>
            </w:r>
          </w:p>
        </w:tc>
        <w:tc>
          <w:tcPr>
            <w:tcW w:w="2023" w:type="dxa"/>
            <w:vMerge/>
            <w:tcBorders>
              <w:right w:val="single" w:sz="12" w:space="0" w:color="auto"/>
            </w:tcBorders>
          </w:tcPr>
          <w:p w14:paraId="5AE228D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958A346" w14:textId="77777777">
        <w:tc>
          <w:tcPr>
            <w:tcW w:w="1384" w:type="dxa"/>
            <w:vMerge/>
            <w:tcBorders>
              <w:left w:val="single" w:sz="12" w:space="0" w:color="auto"/>
            </w:tcBorders>
          </w:tcPr>
          <w:p w14:paraId="7D0F2ADB" w14:textId="77777777" w:rsidR="00A943E4" w:rsidRDefault="00A943E4">
            <w:pPr>
              <w:rPr>
                <w:rFonts w:ascii="新細明體" w:eastAsia="新細明體" w:hAnsi="新細明體"/>
              </w:rPr>
            </w:pPr>
          </w:p>
        </w:tc>
        <w:tc>
          <w:tcPr>
            <w:tcW w:w="1276" w:type="dxa"/>
            <w:vMerge/>
          </w:tcPr>
          <w:p w14:paraId="49EC175B" w14:textId="77777777" w:rsidR="00A943E4" w:rsidRDefault="00A943E4">
            <w:pPr>
              <w:rPr>
                <w:rFonts w:ascii="新細明體" w:eastAsia="新細明體" w:hAnsi="新細明體"/>
              </w:rPr>
            </w:pPr>
          </w:p>
        </w:tc>
        <w:tc>
          <w:tcPr>
            <w:tcW w:w="5386" w:type="dxa"/>
            <w:tcBorders>
              <w:top w:val="nil"/>
              <w:bottom w:val="nil"/>
            </w:tcBorders>
          </w:tcPr>
          <w:p w14:paraId="0148EB62"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(十二)臺灣地區證券及期貨機構在香港、澳門設立分支機構子公司許可辦法</w:t>
            </w:r>
          </w:p>
        </w:tc>
        <w:tc>
          <w:tcPr>
            <w:tcW w:w="5387" w:type="dxa"/>
            <w:tcBorders>
              <w:top w:val="nil"/>
              <w:bottom w:val="nil"/>
            </w:tcBorders>
          </w:tcPr>
          <w:p w14:paraId="657AC29A"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(十二)臺灣地區證券及期貨機構在香港、澳門設立分支機構子公司許可辦法</w:t>
            </w:r>
          </w:p>
        </w:tc>
        <w:tc>
          <w:tcPr>
            <w:tcW w:w="2023" w:type="dxa"/>
            <w:vMerge/>
            <w:tcBorders>
              <w:right w:val="single" w:sz="12" w:space="0" w:color="auto"/>
            </w:tcBorders>
          </w:tcPr>
          <w:p w14:paraId="31886A0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2E4D337" w14:textId="77777777">
        <w:tc>
          <w:tcPr>
            <w:tcW w:w="1384" w:type="dxa"/>
            <w:vMerge/>
            <w:tcBorders>
              <w:left w:val="single" w:sz="12" w:space="0" w:color="auto"/>
            </w:tcBorders>
          </w:tcPr>
          <w:p w14:paraId="387CA3A0" w14:textId="77777777" w:rsidR="00A943E4" w:rsidRDefault="00A943E4">
            <w:pPr>
              <w:rPr>
                <w:rFonts w:ascii="新細明體" w:eastAsia="新細明體" w:hAnsi="新細明體"/>
              </w:rPr>
            </w:pPr>
          </w:p>
        </w:tc>
        <w:tc>
          <w:tcPr>
            <w:tcW w:w="1276" w:type="dxa"/>
            <w:vMerge/>
          </w:tcPr>
          <w:p w14:paraId="209DF9E2" w14:textId="77777777" w:rsidR="00A943E4" w:rsidRDefault="00A943E4">
            <w:pPr>
              <w:rPr>
                <w:rFonts w:ascii="新細明體" w:eastAsia="新細明體" w:hAnsi="新細明體"/>
              </w:rPr>
            </w:pPr>
          </w:p>
        </w:tc>
        <w:tc>
          <w:tcPr>
            <w:tcW w:w="5386" w:type="dxa"/>
            <w:tcBorders>
              <w:top w:val="nil"/>
              <w:bottom w:val="nil"/>
            </w:tcBorders>
          </w:tcPr>
          <w:p w14:paraId="678814E3"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(十三)證期會86年9月5日(86)台財證(二)第55583號函</w:t>
            </w:r>
          </w:p>
        </w:tc>
        <w:tc>
          <w:tcPr>
            <w:tcW w:w="5387" w:type="dxa"/>
            <w:tcBorders>
              <w:top w:val="nil"/>
              <w:bottom w:val="nil"/>
            </w:tcBorders>
          </w:tcPr>
          <w:p w14:paraId="6A9634BC"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(十三)證期會86年9月5日(86)台財證(二)第55583號函</w:t>
            </w:r>
          </w:p>
        </w:tc>
        <w:tc>
          <w:tcPr>
            <w:tcW w:w="2023" w:type="dxa"/>
            <w:vMerge/>
            <w:tcBorders>
              <w:right w:val="single" w:sz="12" w:space="0" w:color="auto"/>
            </w:tcBorders>
          </w:tcPr>
          <w:p w14:paraId="1F71FC3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90F885A" w14:textId="77777777">
        <w:tc>
          <w:tcPr>
            <w:tcW w:w="1384" w:type="dxa"/>
            <w:vMerge/>
            <w:tcBorders>
              <w:left w:val="single" w:sz="12" w:space="0" w:color="auto"/>
            </w:tcBorders>
          </w:tcPr>
          <w:p w14:paraId="4F87E901" w14:textId="77777777" w:rsidR="00A943E4" w:rsidRDefault="00A943E4">
            <w:pPr>
              <w:rPr>
                <w:rFonts w:ascii="新細明體" w:eastAsia="新細明體" w:hAnsi="新細明體"/>
              </w:rPr>
            </w:pPr>
          </w:p>
        </w:tc>
        <w:tc>
          <w:tcPr>
            <w:tcW w:w="1276" w:type="dxa"/>
            <w:vMerge/>
          </w:tcPr>
          <w:p w14:paraId="2C02A74D" w14:textId="77777777" w:rsidR="00A943E4" w:rsidRDefault="00A943E4">
            <w:pPr>
              <w:rPr>
                <w:rFonts w:ascii="新細明體" w:eastAsia="新細明體" w:hAnsi="新細明體"/>
              </w:rPr>
            </w:pPr>
          </w:p>
        </w:tc>
        <w:tc>
          <w:tcPr>
            <w:tcW w:w="5386" w:type="dxa"/>
            <w:tcBorders>
              <w:top w:val="nil"/>
              <w:bottom w:val="nil"/>
            </w:tcBorders>
          </w:tcPr>
          <w:p w14:paraId="7CD909F0"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(十四)臺灣地區與大陸地區證券期貨業務往</w:t>
            </w:r>
            <w:r>
              <w:rPr>
                <w:rFonts w:ascii="新細明體" w:eastAsia="新細明體" w:hAnsi="新細明體" w:cs="新細明體" w:hint="eastAsia"/>
              </w:rPr>
              <w:lastRenderedPageBreak/>
              <w:t>來及投資許可管理辦法</w:t>
            </w:r>
          </w:p>
        </w:tc>
        <w:tc>
          <w:tcPr>
            <w:tcW w:w="5387" w:type="dxa"/>
            <w:tcBorders>
              <w:top w:val="nil"/>
              <w:bottom w:val="nil"/>
            </w:tcBorders>
          </w:tcPr>
          <w:p w14:paraId="2D5F3BA4"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lastRenderedPageBreak/>
              <w:t>(十四)臺灣地區與大陸地區證券期貨業務往</w:t>
            </w:r>
            <w:r>
              <w:rPr>
                <w:rFonts w:ascii="新細明體" w:eastAsia="新細明體" w:hAnsi="新細明體" w:cs="新細明體" w:hint="eastAsia"/>
              </w:rPr>
              <w:lastRenderedPageBreak/>
              <w:t>來及投資許可管理辦法</w:t>
            </w:r>
          </w:p>
        </w:tc>
        <w:tc>
          <w:tcPr>
            <w:tcW w:w="2023" w:type="dxa"/>
            <w:vMerge/>
            <w:tcBorders>
              <w:right w:val="single" w:sz="12" w:space="0" w:color="auto"/>
            </w:tcBorders>
          </w:tcPr>
          <w:p w14:paraId="397FDB5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ABA8993" w14:textId="77777777">
        <w:tc>
          <w:tcPr>
            <w:tcW w:w="1384" w:type="dxa"/>
            <w:vMerge/>
            <w:tcBorders>
              <w:left w:val="single" w:sz="12" w:space="0" w:color="auto"/>
            </w:tcBorders>
          </w:tcPr>
          <w:p w14:paraId="63EED16A" w14:textId="77777777" w:rsidR="00A943E4" w:rsidRDefault="00A943E4">
            <w:pPr>
              <w:rPr>
                <w:rFonts w:ascii="新細明體" w:eastAsia="新細明體" w:hAnsi="新細明體"/>
              </w:rPr>
            </w:pPr>
          </w:p>
        </w:tc>
        <w:tc>
          <w:tcPr>
            <w:tcW w:w="1276" w:type="dxa"/>
            <w:vMerge/>
          </w:tcPr>
          <w:p w14:paraId="5BE4BEED" w14:textId="77777777" w:rsidR="00A943E4" w:rsidRDefault="00A943E4">
            <w:pPr>
              <w:rPr>
                <w:rFonts w:ascii="新細明體" w:eastAsia="新細明體" w:hAnsi="新細明體"/>
              </w:rPr>
            </w:pPr>
          </w:p>
        </w:tc>
        <w:tc>
          <w:tcPr>
            <w:tcW w:w="5386" w:type="dxa"/>
            <w:tcBorders>
              <w:top w:val="nil"/>
              <w:bottom w:val="nil"/>
            </w:tcBorders>
          </w:tcPr>
          <w:p w14:paraId="717D67C1"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(十五)金管會105年12月19日金管證券字第1050049197號令</w:t>
            </w:r>
          </w:p>
        </w:tc>
        <w:tc>
          <w:tcPr>
            <w:tcW w:w="5387" w:type="dxa"/>
            <w:tcBorders>
              <w:top w:val="nil"/>
              <w:bottom w:val="nil"/>
            </w:tcBorders>
          </w:tcPr>
          <w:p w14:paraId="73025943"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(十五)金管會105年12月19日金管證券字第1050049197號令</w:t>
            </w:r>
          </w:p>
        </w:tc>
        <w:tc>
          <w:tcPr>
            <w:tcW w:w="2023" w:type="dxa"/>
            <w:vMerge/>
            <w:tcBorders>
              <w:right w:val="single" w:sz="12" w:space="0" w:color="auto"/>
            </w:tcBorders>
          </w:tcPr>
          <w:p w14:paraId="3C274CD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9391A64" w14:textId="77777777">
        <w:tc>
          <w:tcPr>
            <w:tcW w:w="1384" w:type="dxa"/>
            <w:vMerge/>
            <w:tcBorders>
              <w:left w:val="single" w:sz="12" w:space="0" w:color="auto"/>
            </w:tcBorders>
          </w:tcPr>
          <w:p w14:paraId="713CA736" w14:textId="77777777" w:rsidR="00A943E4" w:rsidRDefault="00A943E4">
            <w:pPr>
              <w:rPr>
                <w:rFonts w:ascii="新細明體" w:eastAsia="新細明體" w:hAnsi="新細明體"/>
              </w:rPr>
            </w:pPr>
          </w:p>
        </w:tc>
        <w:tc>
          <w:tcPr>
            <w:tcW w:w="1276" w:type="dxa"/>
            <w:vMerge/>
          </w:tcPr>
          <w:p w14:paraId="3EE7C884" w14:textId="77777777" w:rsidR="00A943E4" w:rsidRDefault="00A943E4">
            <w:pPr>
              <w:rPr>
                <w:rFonts w:ascii="新細明體" w:eastAsia="新細明體" w:hAnsi="新細明體"/>
              </w:rPr>
            </w:pPr>
          </w:p>
        </w:tc>
        <w:tc>
          <w:tcPr>
            <w:tcW w:w="5386" w:type="dxa"/>
            <w:tcBorders>
              <w:top w:val="nil"/>
              <w:bottom w:val="nil"/>
            </w:tcBorders>
          </w:tcPr>
          <w:p w14:paraId="5D043A35"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(十六)證交所89年10月18日台證(89)上字第030160號函</w:t>
            </w:r>
          </w:p>
        </w:tc>
        <w:tc>
          <w:tcPr>
            <w:tcW w:w="5387" w:type="dxa"/>
            <w:tcBorders>
              <w:top w:val="nil"/>
              <w:bottom w:val="nil"/>
            </w:tcBorders>
          </w:tcPr>
          <w:p w14:paraId="0639DD52"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(十六)證交所89年10月18日台證(89)上字第030160號函</w:t>
            </w:r>
          </w:p>
        </w:tc>
        <w:tc>
          <w:tcPr>
            <w:tcW w:w="2023" w:type="dxa"/>
            <w:vMerge/>
            <w:tcBorders>
              <w:right w:val="single" w:sz="12" w:space="0" w:color="auto"/>
            </w:tcBorders>
          </w:tcPr>
          <w:p w14:paraId="74EC530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B91A915" w14:textId="77777777">
        <w:tc>
          <w:tcPr>
            <w:tcW w:w="1384" w:type="dxa"/>
            <w:vMerge/>
            <w:tcBorders>
              <w:left w:val="single" w:sz="12" w:space="0" w:color="auto"/>
            </w:tcBorders>
          </w:tcPr>
          <w:p w14:paraId="0EB63DAE" w14:textId="77777777" w:rsidR="00A943E4" w:rsidRDefault="00A943E4">
            <w:pPr>
              <w:rPr>
                <w:rFonts w:ascii="新細明體" w:eastAsia="新細明體" w:hAnsi="新細明體"/>
              </w:rPr>
            </w:pPr>
          </w:p>
        </w:tc>
        <w:tc>
          <w:tcPr>
            <w:tcW w:w="1276" w:type="dxa"/>
            <w:vMerge/>
          </w:tcPr>
          <w:p w14:paraId="0068FD67" w14:textId="77777777" w:rsidR="00A943E4" w:rsidRDefault="00A943E4">
            <w:pPr>
              <w:rPr>
                <w:rFonts w:ascii="新細明體" w:eastAsia="新細明體" w:hAnsi="新細明體"/>
              </w:rPr>
            </w:pPr>
          </w:p>
        </w:tc>
        <w:tc>
          <w:tcPr>
            <w:tcW w:w="5386" w:type="dxa"/>
            <w:tcBorders>
              <w:top w:val="nil"/>
              <w:bottom w:val="nil"/>
            </w:tcBorders>
          </w:tcPr>
          <w:p w14:paraId="56CE0CF1"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(十七)證期會91年6月10日台財證二字第0910003376號函</w:t>
            </w:r>
          </w:p>
        </w:tc>
        <w:tc>
          <w:tcPr>
            <w:tcW w:w="5387" w:type="dxa"/>
            <w:tcBorders>
              <w:top w:val="nil"/>
              <w:bottom w:val="nil"/>
            </w:tcBorders>
          </w:tcPr>
          <w:p w14:paraId="39D3600E"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(十七)證期會91年6月10日台財證二字第0910003376號函</w:t>
            </w:r>
          </w:p>
        </w:tc>
        <w:tc>
          <w:tcPr>
            <w:tcW w:w="2023" w:type="dxa"/>
            <w:vMerge/>
            <w:tcBorders>
              <w:right w:val="single" w:sz="12" w:space="0" w:color="auto"/>
            </w:tcBorders>
          </w:tcPr>
          <w:p w14:paraId="7D18CD8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5F48133" w14:textId="77777777">
        <w:tc>
          <w:tcPr>
            <w:tcW w:w="1384" w:type="dxa"/>
            <w:vMerge/>
            <w:tcBorders>
              <w:left w:val="single" w:sz="12" w:space="0" w:color="auto"/>
            </w:tcBorders>
          </w:tcPr>
          <w:p w14:paraId="5E1059FA" w14:textId="77777777" w:rsidR="00A943E4" w:rsidRDefault="00A943E4">
            <w:pPr>
              <w:rPr>
                <w:rFonts w:ascii="新細明體" w:eastAsia="新細明體" w:hAnsi="新細明體"/>
              </w:rPr>
            </w:pPr>
          </w:p>
        </w:tc>
        <w:tc>
          <w:tcPr>
            <w:tcW w:w="1276" w:type="dxa"/>
            <w:vMerge/>
          </w:tcPr>
          <w:p w14:paraId="3458B35F" w14:textId="77777777" w:rsidR="00A943E4" w:rsidRDefault="00A943E4">
            <w:pPr>
              <w:rPr>
                <w:rFonts w:ascii="新細明體" w:eastAsia="新細明體" w:hAnsi="新細明體"/>
              </w:rPr>
            </w:pPr>
          </w:p>
        </w:tc>
        <w:tc>
          <w:tcPr>
            <w:tcW w:w="5386" w:type="dxa"/>
            <w:tcBorders>
              <w:top w:val="nil"/>
              <w:bottom w:val="nil"/>
            </w:tcBorders>
          </w:tcPr>
          <w:p w14:paraId="49E61E66"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(十八)證期會91年8月30日台財證二字第0910144303號函</w:t>
            </w:r>
          </w:p>
        </w:tc>
        <w:tc>
          <w:tcPr>
            <w:tcW w:w="5387" w:type="dxa"/>
            <w:tcBorders>
              <w:top w:val="nil"/>
              <w:bottom w:val="nil"/>
            </w:tcBorders>
          </w:tcPr>
          <w:p w14:paraId="1C29158F"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(十八)證期會91年8月30日台財證二字第0910144303號函</w:t>
            </w:r>
          </w:p>
        </w:tc>
        <w:tc>
          <w:tcPr>
            <w:tcW w:w="2023" w:type="dxa"/>
            <w:vMerge/>
            <w:tcBorders>
              <w:right w:val="single" w:sz="12" w:space="0" w:color="auto"/>
            </w:tcBorders>
          </w:tcPr>
          <w:p w14:paraId="6F2CD50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C17CE17" w14:textId="77777777">
        <w:tc>
          <w:tcPr>
            <w:tcW w:w="1384" w:type="dxa"/>
            <w:vMerge/>
            <w:tcBorders>
              <w:left w:val="single" w:sz="12" w:space="0" w:color="auto"/>
            </w:tcBorders>
          </w:tcPr>
          <w:p w14:paraId="300D427E" w14:textId="77777777" w:rsidR="00A943E4" w:rsidRDefault="00A943E4">
            <w:pPr>
              <w:rPr>
                <w:rFonts w:ascii="新細明體" w:eastAsia="新細明體" w:hAnsi="新細明體"/>
              </w:rPr>
            </w:pPr>
          </w:p>
        </w:tc>
        <w:tc>
          <w:tcPr>
            <w:tcW w:w="1276" w:type="dxa"/>
            <w:vMerge/>
          </w:tcPr>
          <w:p w14:paraId="07BCA1C3" w14:textId="77777777" w:rsidR="00A943E4" w:rsidRDefault="00A943E4">
            <w:pPr>
              <w:rPr>
                <w:rFonts w:ascii="新細明體" w:eastAsia="新細明體" w:hAnsi="新細明體"/>
              </w:rPr>
            </w:pPr>
          </w:p>
        </w:tc>
        <w:tc>
          <w:tcPr>
            <w:tcW w:w="5386" w:type="dxa"/>
            <w:tcBorders>
              <w:top w:val="nil"/>
              <w:bottom w:val="nil"/>
            </w:tcBorders>
          </w:tcPr>
          <w:p w14:paraId="6A965BFA"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(十九)證期會91年9月20日台財證二字第0910148434號函</w:t>
            </w:r>
          </w:p>
        </w:tc>
        <w:tc>
          <w:tcPr>
            <w:tcW w:w="5387" w:type="dxa"/>
            <w:tcBorders>
              <w:top w:val="nil"/>
              <w:bottom w:val="nil"/>
            </w:tcBorders>
          </w:tcPr>
          <w:p w14:paraId="2553711F"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(十九)證期會91年9月20日台財證二字第0910148434號函</w:t>
            </w:r>
          </w:p>
        </w:tc>
        <w:tc>
          <w:tcPr>
            <w:tcW w:w="2023" w:type="dxa"/>
            <w:vMerge/>
            <w:tcBorders>
              <w:right w:val="single" w:sz="12" w:space="0" w:color="auto"/>
            </w:tcBorders>
          </w:tcPr>
          <w:p w14:paraId="0D2769F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5846C6C" w14:textId="77777777">
        <w:tc>
          <w:tcPr>
            <w:tcW w:w="1384" w:type="dxa"/>
            <w:vMerge/>
            <w:tcBorders>
              <w:left w:val="single" w:sz="12" w:space="0" w:color="auto"/>
            </w:tcBorders>
          </w:tcPr>
          <w:p w14:paraId="784A2124" w14:textId="77777777" w:rsidR="00A943E4" w:rsidRDefault="00A943E4">
            <w:pPr>
              <w:rPr>
                <w:rFonts w:ascii="新細明體" w:eastAsia="新細明體" w:hAnsi="新細明體"/>
              </w:rPr>
            </w:pPr>
          </w:p>
        </w:tc>
        <w:tc>
          <w:tcPr>
            <w:tcW w:w="1276" w:type="dxa"/>
            <w:vMerge/>
          </w:tcPr>
          <w:p w14:paraId="4EE66BA5" w14:textId="77777777" w:rsidR="00A943E4" w:rsidRDefault="00A943E4">
            <w:pPr>
              <w:rPr>
                <w:rFonts w:ascii="新細明體" w:eastAsia="新細明體" w:hAnsi="新細明體"/>
              </w:rPr>
            </w:pPr>
          </w:p>
        </w:tc>
        <w:tc>
          <w:tcPr>
            <w:tcW w:w="5386" w:type="dxa"/>
            <w:tcBorders>
              <w:top w:val="nil"/>
              <w:bottom w:val="nil"/>
            </w:tcBorders>
          </w:tcPr>
          <w:p w14:paraId="78BC85A9"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(二十)證期會92年3月26日台財證二字第0920001256號函</w:t>
            </w:r>
          </w:p>
        </w:tc>
        <w:tc>
          <w:tcPr>
            <w:tcW w:w="5387" w:type="dxa"/>
            <w:tcBorders>
              <w:top w:val="nil"/>
              <w:bottom w:val="nil"/>
            </w:tcBorders>
          </w:tcPr>
          <w:p w14:paraId="736093BC"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(二十)證期會92年3月26日台財證二字第0920001256號函</w:t>
            </w:r>
          </w:p>
        </w:tc>
        <w:tc>
          <w:tcPr>
            <w:tcW w:w="2023" w:type="dxa"/>
            <w:vMerge/>
            <w:tcBorders>
              <w:right w:val="single" w:sz="12" w:space="0" w:color="auto"/>
            </w:tcBorders>
          </w:tcPr>
          <w:p w14:paraId="5B10908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0728222" w14:textId="77777777">
        <w:tc>
          <w:tcPr>
            <w:tcW w:w="1384" w:type="dxa"/>
            <w:vMerge/>
            <w:tcBorders>
              <w:left w:val="single" w:sz="12" w:space="0" w:color="auto"/>
            </w:tcBorders>
          </w:tcPr>
          <w:p w14:paraId="6440309E" w14:textId="77777777" w:rsidR="00A943E4" w:rsidRDefault="00A943E4">
            <w:pPr>
              <w:rPr>
                <w:rFonts w:ascii="新細明體" w:eastAsia="新細明體" w:hAnsi="新細明體"/>
              </w:rPr>
            </w:pPr>
          </w:p>
        </w:tc>
        <w:tc>
          <w:tcPr>
            <w:tcW w:w="1276" w:type="dxa"/>
            <w:vMerge/>
          </w:tcPr>
          <w:p w14:paraId="0D95FEE2" w14:textId="77777777" w:rsidR="00A943E4" w:rsidRDefault="00A943E4">
            <w:pPr>
              <w:rPr>
                <w:rFonts w:ascii="新細明體" w:eastAsia="新細明體" w:hAnsi="新細明體"/>
              </w:rPr>
            </w:pPr>
          </w:p>
        </w:tc>
        <w:tc>
          <w:tcPr>
            <w:tcW w:w="5386" w:type="dxa"/>
            <w:tcBorders>
              <w:top w:val="nil"/>
              <w:bottom w:val="nil"/>
            </w:tcBorders>
          </w:tcPr>
          <w:p w14:paraId="4E5FE3A4"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(二十一)證交所88年3月29日台證（88）上字第08601號</w:t>
            </w:r>
          </w:p>
        </w:tc>
        <w:tc>
          <w:tcPr>
            <w:tcW w:w="5387" w:type="dxa"/>
            <w:tcBorders>
              <w:top w:val="nil"/>
              <w:bottom w:val="nil"/>
            </w:tcBorders>
          </w:tcPr>
          <w:p w14:paraId="4FACE59E"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(二十一)證交所88年3月29日台證（88）上字第08601號</w:t>
            </w:r>
          </w:p>
        </w:tc>
        <w:tc>
          <w:tcPr>
            <w:tcW w:w="2023" w:type="dxa"/>
            <w:vMerge/>
            <w:tcBorders>
              <w:right w:val="single" w:sz="12" w:space="0" w:color="auto"/>
            </w:tcBorders>
          </w:tcPr>
          <w:p w14:paraId="36F1AC7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014CA94" w14:textId="77777777">
        <w:tc>
          <w:tcPr>
            <w:tcW w:w="1384" w:type="dxa"/>
            <w:vMerge/>
            <w:tcBorders>
              <w:left w:val="single" w:sz="12" w:space="0" w:color="auto"/>
            </w:tcBorders>
          </w:tcPr>
          <w:p w14:paraId="73F74CEE" w14:textId="77777777" w:rsidR="00A943E4" w:rsidRDefault="00A943E4">
            <w:pPr>
              <w:rPr>
                <w:rFonts w:ascii="新細明體" w:eastAsia="新細明體" w:hAnsi="新細明體"/>
              </w:rPr>
            </w:pPr>
          </w:p>
        </w:tc>
        <w:tc>
          <w:tcPr>
            <w:tcW w:w="1276" w:type="dxa"/>
            <w:vMerge/>
          </w:tcPr>
          <w:p w14:paraId="714F4CF4" w14:textId="77777777" w:rsidR="00A943E4" w:rsidRDefault="00A943E4">
            <w:pPr>
              <w:rPr>
                <w:rFonts w:ascii="新細明體" w:eastAsia="新細明體" w:hAnsi="新細明體"/>
              </w:rPr>
            </w:pPr>
          </w:p>
        </w:tc>
        <w:tc>
          <w:tcPr>
            <w:tcW w:w="5386" w:type="dxa"/>
            <w:tcBorders>
              <w:top w:val="nil"/>
              <w:bottom w:val="nil"/>
            </w:tcBorders>
          </w:tcPr>
          <w:p w14:paraId="0A482EA5"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(二十二)金管會94年1月28日金管證二字第0940100562號</w:t>
            </w:r>
          </w:p>
        </w:tc>
        <w:tc>
          <w:tcPr>
            <w:tcW w:w="5387" w:type="dxa"/>
            <w:tcBorders>
              <w:top w:val="nil"/>
              <w:bottom w:val="nil"/>
            </w:tcBorders>
          </w:tcPr>
          <w:p w14:paraId="0E32291D"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(二十二)金管會94年1月28日金管證二字第0940100562號</w:t>
            </w:r>
          </w:p>
        </w:tc>
        <w:tc>
          <w:tcPr>
            <w:tcW w:w="2023" w:type="dxa"/>
            <w:vMerge/>
            <w:tcBorders>
              <w:right w:val="single" w:sz="12" w:space="0" w:color="auto"/>
            </w:tcBorders>
          </w:tcPr>
          <w:p w14:paraId="356007B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D88DB8F" w14:textId="77777777">
        <w:tc>
          <w:tcPr>
            <w:tcW w:w="1384" w:type="dxa"/>
            <w:vMerge/>
            <w:tcBorders>
              <w:left w:val="single" w:sz="12" w:space="0" w:color="auto"/>
            </w:tcBorders>
          </w:tcPr>
          <w:p w14:paraId="78AC5419" w14:textId="77777777" w:rsidR="00A943E4" w:rsidRDefault="00A943E4">
            <w:pPr>
              <w:rPr>
                <w:rFonts w:ascii="新細明體" w:eastAsia="新細明體" w:hAnsi="新細明體"/>
              </w:rPr>
            </w:pPr>
          </w:p>
        </w:tc>
        <w:tc>
          <w:tcPr>
            <w:tcW w:w="1276" w:type="dxa"/>
            <w:vMerge/>
          </w:tcPr>
          <w:p w14:paraId="0623361A" w14:textId="77777777" w:rsidR="00A943E4" w:rsidRDefault="00A943E4">
            <w:pPr>
              <w:rPr>
                <w:rFonts w:ascii="新細明體" w:eastAsia="新細明體" w:hAnsi="新細明體"/>
              </w:rPr>
            </w:pPr>
          </w:p>
        </w:tc>
        <w:tc>
          <w:tcPr>
            <w:tcW w:w="5386" w:type="dxa"/>
            <w:tcBorders>
              <w:top w:val="nil"/>
              <w:bottom w:val="nil"/>
            </w:tcBorders>
          </w:tcPr>
          <w:p w14:paraId="0FDF3008"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(二十三)金管會104年1月21日金管證券字第10300522234號令</w:t>
            </w:r>
          </w:p>
        </w:tc>
        <w:tc>
          <w:tcPr>
            <w:tcW w:w="5387" w:type="dxa"/>
            <w:tcBorders>
              <w:top w:val="nil"/>
              <w:bottom w:val="nil"/>
            </w:tcBorders>
          </w:tcPr>
          <w:p w14:paraId="0042594F"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(二十三)金管會104年1月21日金管證券字第10300522234號令</w:t>
            </w:r>
          </w:p>
        </w:tc>
        <w:tc>
          <w:tcPr>
            <w:tcW w:w="2023" w:type="dxa"/>
            <w:vMerge/>
            <w:tcBorders>
              <w:right w:val="single" w:sz="12" w:space="0" w:color="auto"/>
            </w:tcBorders>
          </w:tcPr>
          <w:p w14:paraId="0C68DA3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64AC311" w14:textId="77777777">
        <w:tc>
          <w:tcPr>
            <w:tcW w:w="1384" w:type="dxa"/>
            <w:vMerge/>
            <w:tcBorders>
              <w:left w:val="single" w:sz="12" w:space="0" w:color="auto"/>
            </w:tcBorders>
          </w:tcPr>
          <w:p w14:paraId="765BC1CC" w14:textId="77777777" w:rsidR="00A943E4" w:rsidRDefault="00A943E4">
            <w:pPr>
              <w:rPr>
                <w:rFonts w:ascii="新細明體" w:eastAsia="新細明體" w:hAnsi="新細明體"/>
              </w:rPr>
            </w:pPr>
          </w:p>
        </w:tc>
        <w:tc>
          <w:tcPr>
            <w:tcW w:w="1276" w:type="dxa"/>
            <w:vMerge/>
          </w:tcPr>
          <w:p w14:paraId="39269D4B" w14:textId="77777777" w:rsidR="00A943E4" w:rsidRDefault="00A943E4">
            <w:pPr>
              <w:rPr>
                <w:rFonts w:ascii="新細明體" w:eastAsia="新細明體" w:hAnsi="新細明體"/>
              </w:rPr>
            </w:pPr>
          </w:p>
        </w:tc>
        <w:tc>
          <w:tcPr>
            <w:tcW w:w="5386" w:type="dxa"/>
            <w:tcBorders>
              <w:top w:val="nil"/>
              <w:bottom w:val="nil"/>
            </w:tcBorders>
          </w:tcPr>
          <w:p w14:paraId="196D10F4"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(二十四)金管會95年2月22日金管證二字第0950000858號函</w:t>
            </w:r>
          </w:p>
        </w:tc>
        <w:tc>
          <w:tcPr>
            <w:tcW w:w="5387" w:type="dxa"/>
            <w:tcBorders>
              <w:top w:val="nil"/>
              <w:bottom w:val="nil"/>
            </w:tcBorders>
          </w:tcPr>
          <w:p w14:paraId="083017CB"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(二十四)金管會95年2月22日金管證二字第0950000858號函</w:t>
            </w:r>
          </w:p>
        </w:tc>
        <w:tc>
          <w:tcPr>
            <w:tcW w:w="2023" w:type="dxa"/>
            <w:vMerge/>
            <w:tcBorders>
              <w:right w:val="single" w:sz="12" w:space="0" w:color="auto"/>
            </w:tcBorders>
          </w:tcPr>
          <w:p w14:paraId="380D6E3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6178EC0" w14:textId="77777777">
        <w:tc>
          <w:tcPr>
            <w:tcW w:w="1384" w:type="dxa"/>
            <w:vMerge/>
            <w:tcBorders>
              <w:left w:val="single" w:sz="12" w:space="0" w:color="auto"/>
            </w:tcBorders>
          </w:tcPr>
          <w:p w14:paraId="2D2A6A20" w14:textId="77777777" w:rsidR="00A943E4" w:rsidRDefault="00A943E4">
            <w:pPr>
              <w:rPr>
                <w:rFonts w:ascii="新細明體" w:eastAsia="新細明體" w:hAnsi="新細明體"/>
              </w:rPr>
            </w:pPr>
          </w:p>
        </w:tc>
        <w:tc>
          <w:tcPr>
            <w:tcW w:w="1276" w:type="dxa"/>
            <w:vMerge/>
          </w:tcPr>
          <w:p w14:paraId="4F360658" w14:textId="77777777" w:rsidR="00A943E4" w:rsidRDefault="00A943E4">
            <w:pPr>
              <w:rPr>
                <w:rFonts w:ascii="新細明體" w:eastAsia="新細明體" w:hAnsi="新細明體"/>
              </w:rPr>
            </w:pPr>
          </w:p>
        </w:tc>
        <w:tc>
          <w:tcPr>
            <w:tcW w:w="5386" w:type="dxa"/>
            <w:tcBorders>
              <w:top w:val="nil"/>
              <w:bottom w:val="nil"/>
            </w:tcBorders>
          </w:tcPr>
          <w:p w14:paraId="669E4B10"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(二十五)證交所 95年6月14日台證稽字第0950300343號函</w:t>
            </w:r>
          </w:p>
        </w:tc>
        <w:tc>
          <w:tcPr>
            <w:tcW w:w="5387" w:type="dxa"/>
            <w:tcBorders>
              <w:top w:val="nil"/>
              <w:bottom w:val="nil"/>
            </w:tcBorders>
          </w:tcPr>
          <w:p w14:paraId="61B290A2"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(二十五)證交所 95年6月14日台證稽字第0950300343號函</w:t>
            </w:r>
          </w:p>
        </w:tc>
        <w:tc>
          <w:tcPr>
            <w:tcW w:w="2023" w:type="dxa"/>
            <w:vMerge/>
            <w:tcBorders>
              <w:right w:val="single" w:sz="12" w:space="0" w:color="auto"/>
            </w:tcBorders>
          </w:tcPr>
          <w:p w14:paraId="1A637F4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A650C33" w14:textId="77777777">
        <w:tc>
          <w:tcPr>
            <w:tcW w:w="1384" w:type="dxa"/>
            <w:vMerge/>
            <w:tcBorders>
              <w:left w:val="single" w:sz="12" w:space="0" w:color="auto"/>
            </w:tcBorders>
          </w:tcPr>
          <w:p w14:paraId="00CC5D88" w14:textId="77777777" w:rsidR="00A943E4" w:rsidRDefault="00A943E4">
            <w:pPr>
              <w:rPr>
                <w:rFonts w:ascii="新細明體" w:eastAsia="新細明體" w:hAnsi="新細明體"/>
              </w:rPr>
            </w:pPr>
          </w:p>
        </w:tc>
        <w:tc>
          <w:tcPr>
            <w:tcW w:w="1276" w:type="dxa"/>
            <w:vMerge/>
          </w:tcPr>
          <w:p w14:paraId="3B2CCE99" w14:textId="77777777" w:rsidR="00A943E4" w:rsidRDefault="00A943E4">
            <w:pPr>
              <w:rPr>
                <w:rFonts w:ascii="新細明體" w:eastAsia="新細明體" w:hAnsi="新細明體"/>
              </w:rPr>
            </w:pPr>
          </w:p>
        </w:tc>
        <w:tc>
          <w:tcPr>
            <w:tcW w:w="5386" w:type="dxa"/>
            <w:tcBorders>
              <w:top w:val="nil"/>
              <w:bottom w:val="nil"/>
            </w:tcBorders>
          </w:tcPr>
          <w:p w14:paraId="40FE9328"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(二十六)證期局97年9月8日證期二字第0970049117號函、證交所97年9月10日臺證交字第0970027151號函</w:t>
            </w:r>
          </w:p>
        </w:tc>
        <w:tc>
          <w:tcPr>
            <w:tcW w:w="5387" w:type="dxa"/>
            <w:tcBorders>
              <w:top w:val="nil"/>
              <w:bottom w:val="nil"/>
            </w:tcBorders>
          </w:tcPr>
          <w:p w14:paraId="01604718"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(二十六)證期局97年9月8日證期二字第0970049117號函、證交所97年9月10日臺證交字第0970027151號函</w:t>
            </w:r>
          </w:p>
        </w:tc>
        <w:tc>
          <w:tcPr>
            <w:tcW w:w="2023" w:type="dxa"/>
            <w:vMerge/>
            <w:tcBorders>
              <w:right w:val="single" w:sz="12" w:space="0" w:color="auto"/>
            </w:tcBorders>
          </w:tcPr>
          <w:p w14:paraId="659403D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C903909" w14:textId="77777777">
        <w:tc>
          <w:tcPr>
            <w:tcW w:w="1384" w:type="dxa"/>
            <w:vMerge/>
            <w:tcBorders>
              <w:left w:val="single" w:sz="12" w:space="0" w:color="auto"/>
            </w:tcBorders>
          </w:tcPr>
          <w:p w14:paraId="119200CF" w14:textId="77777777" w:rsidR="00A943E4" w:rsidRDefault="00A943E4">
            <w:pPr>
              <w:rPr>
                <w:rFonts w:ascii="新細明體" w:eastAsia="新細明體" w:hAnsi="新細明體"/>
              </w:rPr>
            </w:pPr>
          </w:p>
        </w:tc>
        <w:tc>
          <w:tcPr>
            <w:tcW w:w="1276" w:type="dxa"/>
            <w:vMerge/>
          </w:tcPr>
          <w:p w14:paraId="2935B77A" w14:textId="77777777" w:rsidR="00A943E4" w:rsidRDefault="00A943E4">
            <w:pPr>
              <w:rPr>
                <w:rFonts w:ascii="新細明體" w:eastAsia="新細明體" w:hAnsi="新細明體"/>
              </w:rPr>
            </w:pPr>
          </w:p>
        </w:tc>
        <w:tc>
          <w:tcPr>
            <w:tcW w:w="5386" w:type="dxa"/>
            <w:tcBorders>
              <w:top w:val="nil"/>
              <w:bottom w:val="nil"/>
            </w:tcBorders>
          </w:tcPr>
          <w:p w14:paraId="0CCC9898"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(二十七)金管會98年1月19日金管證七字</w:t>
            </w:r>
            <w:r>
              <w:rPr>
                <w:rFonts w:ascii="新細明體" w:eastAsia="新細明體" w:hAnsi="新細明體" w:cs="新細明體" w:hint="eastAsia"/>
              </w:rPr>
              <w:lastRenderedPageBreak/>
              <w:t>第0980001093號令</w:t>
            </w:r>
          </w:p>
        </w:tc>
        <w:tc>
          <w:tcPr>
            <w:tcW w:w="5387" w:type="dxa"/>
            <w:tcBorders>
              <w:top w:val="nil"/>
              <w:bottom w:val="nil"/>
            </w:tcBorders>
          </w:tcPr>
          <w:p w14:paraId="2006A775"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lastRenderedPageBreak/>
              <w:t>(二十七)金管會98年1月19日金管證七字</w:t>
            </w:r>
            <w:r>
              <w:rPr>
                <w:rFonts w:ascii="新細明體" w:eastAsia="新細明體" w:hAnsi="新細明體" w:cs="新細明體" w:hint="eastAsia"/>
              </w:rPr>
              <w:lastRenderedPageBreak/>
              <w:t>第0980001093號令</w:t>
            </w:r>
          </w:p>
        </w:tc>
        <w:tc>
          <w:tcPr>
            <w:tcW w:w="2023" w:type="dxa"/>
            <w:vMerge/>
            <w:tcBorders>
              <w:right w:val="single" w:sz="12" w:space="0" w:color="auto"/>
            </w:tcBorders>
          </w:tcPr>
          <w:p w14:paraId="3A52FBB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207AB0B3" w14:textId="77777777">
        <w:tc>
          <w:tcPr>
            <w:tcW w:w="1384" w:type="dxa"/>
            <w:vMerge/>
            <w:tcBorders>
              <w:left w:val="single" w:sz="12" w:space="0" w:color="auto"/>
            </w:tcBorders>
          </w:tcPr>
          <w:p w14:paraId="63E8CAA9" w14:textId="77777777" w:rsidR="00A943E4" w:rsidRDefault="00A943E4">
            <w:pPr>
              <w:rPr>
                <w:rFonts w:ascii="新細明體" w:eastAsia="新細明體" w:hAnsi="新細明體"/>
              </w:rPr>
            </w:pPr>
          </w:p>
        </w:tc>
        <w:tc>
          <w:tcPr>
            <w:tcW w:w="1276" w:type="dxa"/>
            <w:vMerge/>
          </w:tcPr>
          <w:p w14:paraId="74B39EAA" w14:textId="77777777" w:rsidR="00A943E4" w:rsidRDefault="00A943E4">
            <w:pPr>
              <w:rPr>
                <w:rFonts w:ascii="新細明體" w:eastAsia="新細明體" w:hAnsi="新細明體"/>
              </w:rPr>
            </w:pPr>
          </w:p>
        </w:tc>
        <w:tc>
          <w:tcPr>
            <w:tcW w:w="5386" w:type="dxa"/>
            <w:tcBorders>
              <w:top w:val="nil"/>
              <w:bottom w:val="nil"/>
            </w:tcBorders>
          </w:tcPr>
          <w:p w14:paraId="29DAE7D4"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(二十八)金管會113年9月26日金管證券字第1130347901號令</w:t>
            </w:r>
          </w:p>
        </w:tc>
        <w:tc>
          <w:tcPr>
            <w:tcW w:w="5387" w:type="dxa"/>
            <w:tcBorders>
              <w:top w:val="nil"/>
              <w:bottom w:val="nil"/>
            </w:tcBorders>
          </w:tcPr>
          <w:p w14:paraId="4DFC8476"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(二十八)金管會113年9月26日金管證券字第1130347901號令</w:t>
            </w:r>
          </w:p>
        </w:tc>
        <w:tc>
          <w:tcPr>
            <w:tcW w:w="2023" w:type="dxa"/>
            <w:vMerge/>
            <w:tcBorders>
              <w:right w:val="single" w:sz="12" w:space="0" w:color="auto"/>
            </w:tcBorders>
          </w:tcPr>
          <w:p w14:paraId="6B72718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E96E09E" w14:textId="77777777">
        <w:tc>
          <w:tcPr>
            <w:tcW w:w="1384" w:type="dxa"/>
            <w:vMerge/>
            <w:tcBorders>
              <w:left w:val="single" w:sz="12" w:space="0" w:color="auto"/>
            </w:tcBorders>
          </w:tcPr>
          <w:p w14:paraId="1DD9765B" w14:textId="77777777" w:rsidR="00A943E4" w:rsidRDefault="00A943E4">
            <w:pPr>
              <w:rPr>
                <w:rFonts w:ascii="新細明體" w:eastAsia="新細明體" w:hAnsi="新細明體"/>
              </w:rPr>
            </w:pPr>
          </w:p>
        </w:tc>
        <w:tc>
          <w:tcPr>
            <w:tcW w:w="1276" w:type="dxa"/>
            <w:vMerge/>
          </w:tcPr>
          <w:p w14:paraId="3A9E44CB" w14:textId="77777777" w:rsidR="00A943E4" w:rsidRDefault="00A943E4">
            <w:pPr>
              <w:rPr>
                <w:rFonts w:ascii="新細明體" w:eastAsia="新細明體" w:hAnsi="新細明體"/>
              </w:rPr>
            </w:pPr>
          </w:p>
        </w:tc>
        <w:tc>
          <w:tcPr>
            <w:tcW w:w="5386" w:type="dxa"/>
            <w:tcBorders>
              <w:top w:val="nil"/>
              <w:bottom w:val="nil"/>
            </w:tcBorders>
          </w:tcPr>
          <w:p w14:paraId="64C20160"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(二十九)金管會101年7月2日金管證交字第1010028930號令</w:t>
            </w:r>
          </w:p>
        </w:tc>
        <w:tc>
          <w:tcPr>
            <w:tcW w:w="5387" w:type="dxa"/>
            <w:tcBorders>
              <w:top w:val="nil"/>
              <w:bottom w:val="nil"/>
            </w:tcBorders>
          </w:tcPr>
          <w:p w14:paraId="01BBB3B8"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(二十九)金管會101年7月2日金管證交字第1010028930號令</w:t>
            </w:r>
          </w:p>
        </w:tc>
        <w:tc>
          <w:tcPr>
            <w:tcW w:w="2023" w:type="dxa"/>
            <w:vMerge/>
            <w:tcBorders>
              <w:right w:val="single" w:sz="12" w:space="0" w:color="auto"/>
            </w:tcBorders>
          </w:tcPr>
          <w:p w14:paraId="18EA464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E273F60" w14:textId="77777777">
        <w:tc>
          <w:tcPr>
            <w:tcW w:w="1384" w:type="dxa"/>
            <w:vMerge/>
            <w:tcBorders>
              <w:left w:val="single" w:sz="12" w:space="0" w:color="auto"/>
            </w:tcBorders>
          </w:tcPr>
          <w:p w14:paraId="2D34018A" w14:textId="77777777" w:rsidR="00A943E4" w:rsidRDefault="00A943E4">
            <w:pPr>
              <w:rPr>
                <w:rFonts w:ascii="新細明體" w:eastAsia="新細明體" w:hAnsi="新細明體"/>
              </w:rPr>
            </w:pPr>
          </w:p>
        </w:tc>
        <w:tc>
          <w:tcPr>
            <w:tcW w:w="1276" w:type="dxa"/>
            <w:vMerge/>
          </w:tcPr>
          <w:p w14:paraId="3F2BD397" w14:textId="77777777" w:rsidR="00A943E4" w:rsidRDefault="00A943E4">
            <w:pPr>
              <w:rPr>
                <w:rFonts w:ascii="新細明體" w:eastAsia="新細明體" w:hAnsi="新細明體"/>
              </w:rPr>
            </w:pPr>
          </w:p>
        </w:tc>
        <w:tc>
          <w:tcPr>
            <w:tcW w:w="5386" w:type="dxa"/>
            <w:tcBorders>
              <w:top w:val="nil"/>
              <w:bottom w:val="nil"/>
            </w:tcBorders>
          </w:tcPr>
          <w:p w14:paraId="0F611423"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(三十)金管會107年7月31日金管證券字第10703249551號令</w:t>
            </w:r>
          </w:p>
        </w:tc>
        <w:tc>
          <w:tcPr>
            <w:tcW w:w="5387" w:type="dxa"/>
            <w:tcBorders>
              <w:top w:val="nil"/>
              <w:bottom w:val="nil"/>
            </w:tcBorders>
          </w:tcPr>
          <w:p w14:paraId="1A4E32BF"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(三十)金管會107年7月31日金管證券字第10703249551號令</w:t>
            </w:r>
          </w:p>
        </w:tc>
        <w:tc>
          <w:tcPr>
            <w:tcW w:w="2023" w:type="dxa"/>
            <w:vMerge/>
            <w:tcBorders>
              <w:right w:val="single" w:sz="12" w:space="0" w:color="auto"/>
            </w:tcBorders>
          </w:tcPr>
          <w:p w14:paraId="44FD8D6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C4EC669" w14:textId="77777777">
        <w:tc>
          <w:tcPr>
            <w:tcW w:w="1384" w:type="dxa"/>
            <w:vMerge/>
            <w:tcBorders>
              <w:left w:val="single" w:sz="12" w:space="0" w:color="auto"/>
            </w:tcBorders>
          </w:tcPr>
          <w:p w14:paraId="52B7293B" w14:textId="77777777" w:rsidR="00A943E4" w:rsidRDefault="00A943E4">
            <w:pPr>
              <w:rPr>
                <w:rFonts w:ascii="新細明體" w:eastAsia="新細明體" w:hAnsi="新細明體"/>
              </w:rPr>
            </w:pPr>
          </w:p>
        </w:tc>
        <w:tc>
          <w:tcPr>
            <w:tcW w:w="1276" w:type="dxa"/>
            <w:vMerge/>
          </w:tcPr>
          <w:p w14:paraId="57B590BA" w14:textId="77777777" w:rsidR="00A943E4" w:rsidRDefault="00A943E4">
            <w:pPr>
              <w:rPr>
                <w:rFonts w:ascii="新細明體" w:eastAsia="新細明體" w:hAnsi="新細明體"/>
              </w:rPr>
            </w:pPr>
          </w:p>
        </w:tc>
        <w:tc>
          <w:tcPr>
            <w:tcW w:w="5386" w:type="dxa"/>
            <w:tcBorders>
              <w:top w:val="nil"/>
              <w:bottom w:val="nil"/>
            </w:tcBorders>
          </w:tcPr>
          <w:p w14:paraId="6B7E16AB"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(三十一)金管會107年6月1日金管證券字第10703209012號令</w:t>
            </w:r>
          </w:p>
        </w:tc>
        <w:tc>
          <w:tcPr>
            <w:tcW w:w="5387" w:type="dxa"/>
            <w:tcBorders>
              <w:top w:val="nil"/>
              <w:bottom w:val="nil"/>
            </w:tcBorders>
          </w:tcPr>
          <w:p w14:paraId="5F389BED"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(三十一)金管會107年6月1日金管證券字第10703209012號令</w:t>
            </w:r>
          </w:p>
        </w:tc>
        <w:tc>
          <w:tcPr>
            <w:tcW w:w="2023" w:type="dxa"/>
            <w:vMerge/>
            <w:tcBorders>
              <w:right w:val="single" w:sz="12" w:space="0" w:color="auto"/>
            </w:tcBorders>
          </w:tcPr>
          <w:p w14:paraId="19C2AC0A"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D8A5203" w14:textId="77777777">
        <w:tc>
          <w:tcPr>
            <w:tcW w:w="1384" w:type="dxa"/>
            <w:vMerge/>
            <w:tcBorders>
              <w:left w:val="single" w:sz="12" w:space="0" w:color="auto"/>
            </w:tcBorders>
          </w:tcPr>
          <w:p w14:paraId="551E8E9F" w14:textId="77777777" w:rsidR="00A943E4" w:rsidRDefault="00A943E4">
            <w:pPr>
              <w:rPr>
                <w:rFonts w:ascii="新細明體" w:eastAsia="新細明體" w:hAnsi="新細明體"/>
              </w:rPr>
            </w:pPr>
          </w:p>
        </w:tc>
        <w:tc>
          <w:tcPr>
            <w:tcW w:w="1276" w:type="dxa"/>
            <w:vMerge/>
          </w:tcPr>
          <w:p w14:paraId="105259DC" w14:textId="77777777" w:rsidR="00A943E4" w:rsidRDefault="00A943E4">
            <w:pPr>
              <w:rPr>
                <w:rFonts w:ascii="新細明體" w:eastAsia="新細明體" w:hAnsi="新細明體"/>
              </w:rPr>
            </w:pPr>
          </w:p>
        </w:tc>
        <w:tc>
          <w:tcPr>
            <w:tcW w:w="5386" w:type="dxa"/>
            <w:tcBorders>
              <w:top w:val="nil"/>
              <w:bottom w:val="nil"/>
            </w:tcBorders>
          </w:tcPr>
          <w:p w14:paraId="424DF635"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(三十二)金管會113年9月26日金管證券字第11303479011號令</w:t>
            </w:r>
          </w:p>
        </w:tc>
        <w:tc>
          <w:tcPr>
            <w:tcW w:w="5387" w:type="dxa"/>
            <w:tcBorders>
              <w:top w:val="nil"/>
              <w:bottom w:val="nil"/>
            </w:tcBorders>
          </w:tcPr>
          <w:p w14:paraId="43EB2C51"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(三十二)金管會113年9月26日金管證券字第11303479011號令</w:t>
            </w:r>
          </w:p>
        </w:tc>
        <w:tc>
          <w:tcPr>
            <w:tcW w:w="2023" w:type="dxa"/>
            <w:vMerge/>
            <w:tcBorders>
              <w:right w:val="single" w:sz="12" w:space="0" w:color="auto"/>
            </w:tcBorders>
          </w:tcPr>
          <w:p w14:paraId="300FE9D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27B9D78" w14:textId="77777777">
        <w:tc>
          <w:tcPr>
            <w:tcW w:w="1384" w:type="dxa"/>
            <w:vMerge/>
            <w:tcBorders>
              <w:left w:val="single" w:sz="12" w:space="0" w:color="auto"/>
            </w:tcBorders>
          </w:tcPr>
          <w:p w14:paraId="6E7941C9" w14:textId="77777777" w:rsidR="00A943E4" w:rsidRDefault="00A943E4">
            <w:pPr>
              <w:rPr>
                <w:rFonts w:ascii="新細明體" w:eastAsia="新細明體" w:hAnsi="新細明體"/>
              </w:rPr>
            </w:pPr>
          </w:p>
        </w:tc>
        <w:tc>
          <w:tcPr>
            <w:tcW w:w="1276" w:type="dxa"/>
            <w:vMerge/>
          </w:tcPr>
          <w:p w14:paraId="3CDDB03C" w14:textId="77777777" w:rsidR="00A943E4" w:rsidRDefault="00A943E4">
            <w:pPr>
              <w:rPr>
                <w:rFonts w:ascii="新細明體" w:eastAsia="新細明體" w:hAnsi="新細明體"/>
              </w:rPr>
            </w:pPr>
          </w:p>
        </w:tc>
        <w:tc>
          <w:tcPr>
            <w:tcW w:w="5386" w:type="dxa"/>
            <w:tcBorders>
              <w:top w:val="nil"/>
              <w:bottom w:val="nil"/>
            </w:tcBorders>
          </w:tcPr>
          <w:p w14:paraId="1FBEBD26"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(三十三)金管會103年3月6日金管證券字第1020051856號令</w:t>
            </w:r>
          </w:p>
        </w:tc>
        <w:tc>
          <w:tcPr>
            <w:tcW w:w="5387" w:type="dxa"/>
            <w:tcBorders>
              <w:top w:val="nil"/>
              <w:bottom w:val="nil"/>
            </w:tcBorders>
          </w:tcPr>
          <w:p w14:paraId="736B1BFD"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(三十三)金管會103年3月6日金管證券字第1020051856號令</w:t>
            </w:r>
          </w:p>
        </w:tc>
        <w:tc>
          <w:tcPr>
            <w:tcW w:w="2023" w:type="dxa"/>
            <w:vMerge/>
            <w:tcBorders>
              <w:right w:val="single" w:sz="12" w:space="0" w:color="auto"/>
            </w:tcBorders>
          </w:tcPr>
          <w:p w14:paraId="6F1DBA2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556C7C5" w14:textId="77777777">
        <w:tc>
          <w:tcPr>
            <w:tcW w:w="1384" w:type="dxa"/>
            <w:vMerge/>
            <w:tcBorders>
              <w:left w:val="single" w:sz="12" w:space="0" w:color="auto"/>
            </w:tcBorders>
          </w:tcPr>
          <w:p w14:paraId="3B54F80F" w14:textId="77777777" w:rsidR="00A943E4" w:rsidRDefault="00A943E4">
            <w:pPr>
              <w:rPr>
                <w:rFonts w:ascii="新細明體" w:eastAsia="新細明體" w:hAnsi="新細明體"/>
              </w:rPr>
            </w:pPr>
          </w:p>
        </w:tc>
        <w:tc>
          <w:tcPr>
            <w:tcW w:w="1276" w:type="dxa"/>
            <w:vMerge/>
          </w:tcPr>
          <w:p w14:paraId="45BD2DC4" w14:textId="77777777" w:rsidR="00A943E4" w:rsidRDefault="00A943E4">
            <w:pPr>
              <w:rPr>
                <w:rFonts w:ascii="新細明體" w:eastAsia="新細明體" w:hAnsi="新細明體"/>
              </w:rPr>
            </w:pPr>
          </w:p>
        </w:tc>
        <w:tc>
          <w:tcPr>
            <w:tcW w:w="5386" w:type="dxa"/>
            <w:tcBorders>
              <w:top w:val="nil"/>
              <w:bottom w:val="nil"/>
            </w:tcBorders>
          </w:tcPr>
          <w:p w14:paraId="05919BA3"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(三十四)金管會103年6月3日金管證券字第1030013323B號令</w:t>
            </w:r>
          </w:p>
        </w:tc>
        <w:tc>
          <w:tcPr>
            <w:tcW w:w="5387" w:type="dxa"/>
            <w:tcBorders>
              <w:top w:val="nil"/>
              <w:bottom w:val="nil"/>
            </w:tcBorders>
          </w:tcPr>
          <w:p w14:paraId="3E0C711D" w14:textId="77777777" w:rsidR="00A943E4" w:rsidRPr="00F6439B" w:rsidRDefault="0027008E">
            <w:pPr>
              <w:spacing w:line="360" w:lineRule="exact"/>
              <w:ind w:leftChars="99" w:left="1219" w:hangingChars="370" w:hanging="962"/>
              <w:rPr>
                <w:rFonts w:ascii="新細明體" w:eastAsia="新細明體" w:hAnsi="新細明體" w:cs="新細明體"/>
              </w:rPr>
            </w:pPr>
            <w:r>
              <w:rPr>
                <w:rFonts w:ascii="新細明體" w:eastAsia="新細明體" w:hAnsi="新細明體" w:cs="新細明體" w:hint="eastAsia"/>
              </w:rPr>
              <w:t>(三十四)金管會103年6月3日金管證券字第1030013323B號令</w:t>
            </w:r>
          </w:p>
        </w:tc>
        <w:tc>
          <w:tcPr>
            <w:tcW w:w="2023" w:type="dxa"/>
            <w:vMerge/>
            <w:tcBorders>
              <w:right w:val="single" w:sz="12" w:space="0" w:color="auto"/>
            </w:tcBorders>
          </w:tcPr>
          <w:p w14:paraId="7E5C4883"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48868E7" w14:textId="77777777">
        <w:tc>
          <w:tcPr>
            <w:tcW w:w="1384" w:type="dxa"/>
            <w:vMerge/>
            <w:tcBorders>
              <w:left w:val="single" w:sz="12" w:space="0" w:color="auto"/>
            </w:tcBorders>
          </w:tcPr>
          <w:p w14:paraId="5D3AA5E9" w14:textId="77777777" w:rsidR="00A943E4" w:rsidRDefault="00A943E4">
            <w:pPr>
              <w:rPr>
                <w:rFonts w:ascii="新細明體" w:eastAsia="新細明體" w:hAnsi="新細明體"/>
              </w:rPr>
            </w:pPr>
          </w:p>
        </w:tc>
        <w:tc>
          <w:tcPr>
            <w:tcW w:w="1276" w:type="dxa"/>
            <w:vMerge/>
          </w:tcPr>
          <w:p w14:paraId="2DFBB137" w14:textId="77777777" w:rsidR="00A943E4" w:rsidRDefault="00A943E4">
            <w:pPr>
              <w:rPr>
                <w:rFonts w:ascii="新細明體" w:eastAsia="新細明體" w:hAnsi="新細明體"/>
              </w:rPr>
            </w:pPr>
          </w:p>
        </w:tc>
        <w:tc>
          <w:tcPr>
            <w:tcW w:w="5386" w:type="dxa"/>
            <w:tcBorders>
              <w:top w:val="nil"/>
              <w:bottom w:val="nil"/>
            </w:tcBorders>
          </w:tcPr>
          <w:p w14:paraId="2BCA4F18" w14:textId="77777777" w:rsidR="00A943E4" w:rsidRPr="00F6439B" w:rsidRDefault="0027008E">
            <w:pPr>
              <w:spacing w:line="360" w:lineRule="exact"/>
              <w:ind w:leftChars="99" w:left="1220" w:hangingChars="370" w:hanging="963"/>
              <w:rPr>
                <w:rFonts w:ascii="新細明體" w:eastAsia="新細明體" w:hAnsi="新細明體" w:cs="新細明體"/>
              </w:rPr>
            </w:pPr>
            <w:r>
              <w:rPr>
                <w:rFonts w:ascii="新細明體" w:eastAsia="新細明體" w:hAnsi="新細明體" w:cs="新細明體" w:hint="eastAsia"/>
                <w:b/>
                <w:color w:val="FF0000"/>
              </w:rPr>
              <w:t>(三十五)</w:t>
            </w:r>
            <w:r>
              <w:rPr>
                <w:rFonts w:ascii="新細明體" w:eastAsia="新細明體" w:hAnsi="新細明體" w:cs="新細明體" w:hint="eastAsia"/>
                <w:b/>
                <w:color w:val="FF0000"/>
                <w:u w:val="single"/>
              </w:rPr>
              <w:t>證券交易法第43條之1</w:t>
            </w:r>
          </w:p>
        </w:tc>
        <w:tc>
          <w:tcPr>
            <w:tcW w:w="5387" w:type="dxa"/>
            <w:tcBorders>
              <w:top w:val="nil"/>
              <w:bottom w:val="nil"/>
            </w:tcBorders>
          </w:tcPr>
          <w:p w14:paraId="0B490378" w14:textId="77777777" w:rsidR="00A943E4" w:rsidRPr="00F6439B" w:rsidRDefault="0027008E">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0B16CB78"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626085B" w14:textId="77777777">
        <w:tc>
          <w:tcPr>
            <w:tcW w:w="1384" w:type="dxa"/>
            <w:vMerge/>
            <w:tcBorders>
              <w:left w:val="single" w:sz="12" w:space="0" w:color="auto"/>
            </w:tcBorders>
          </w:tcPr>
          <w:p w14:paraId="002D2323" w14:textId="77777777" w:rsidR="00A943E4" w:rsidRDefault="00A943E4">
            <w:pPr>
              <w:rPr>
                <w:rFonts w:ascii="新細明體" w:eastAsia="新細明體" w:hAnsi="新細明體"/>
              </w:rPr>
            </w:pPr>
          </w:p>
        </w:tc>
        <w:tc>
          <w:tcPr>
            <w:tcW w:w="1276" w:type="dxa"/>
            <w:vMerge/>
          </w:tcPr>
          <w:p w14:paraId="5EA9B88D" w14:textId="77777777" w:rsidR="00A943E4" w:rsidRDefault="00A943E4">
            <w:pPr>
              <w:rPr>
                <w:rFonts w:ascii="新細明體" w:eastAsia="新細明體" w:hAnsi="新細明體"/>
              </w:rPr>
            </w:pPr>
          </w:p>
        </w:tc>
        <w:tc>
          <w:tcPr>
            <w:tcW w:w="5386" w:type="dxa"/>
            <w:tcBorders>
              <w:top w:val="nil"/>
              <w:bottom w:val="nil"/>
            </w:tcBorders>
          </w:tcPr>
          <w:p w14:paraId="3019D3F7"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5387" w:type="dxa"/>
            <w:tcBorders>
              <w:top w:val="nil"/>
              <w:bottom w:val="nil"/>
            </w:tcBorders>
          </w:tcPr>
          <w:p w14:paraId="69E56B51"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2023" w:type="dxa"/>
            <w:vMerge/>
            <w:tcBorders>
              <w:right w:val="single" w:sz="12" w:space="0" w:color="auto"/>
            </w:tcBorders>
          </w:tcPr>
          <w:p w14:paraId="2152F24C"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684E72C8" w14:textId="77777777">
        <w:tc>
          <w:tcPr>
            <w:tcW w:w="1384" w:type="dxa"/>
            <w:vMerge/>
            <w:tcBorders>
              <w:left w:val="single" w:sz="12" w:space="0" w:color="auto"/>
            </w:tcBorders>
          </w:tcPr>
          <w:p w14:paraId="7C1B4E1E" w14:textId="77777777" w:rsidR="00A943E4" w:rsidRDefault="00A943E4">
            <w:pPr>
              <w:rPr>
                <w:rFonts w:ascii="新細明體" w:eastAsia="新細明體" w:hAnsi="新細明體"/>
              </w:rPr>
            </w:pPr>
          </w:p>
        </w:tc>
        <w:tc>
          <w:tcPr>
            <w:tcW w:w="1276" w:type="dxa"/>
            <w:vMerge/>
          </w:tcPr>
          <w:p w14:paraId="3E90C48B" w14:textId="77777777" w:rsidR="00A943E4" w:rsidRDefault="00A943E4">
            <w:pPr>
              <w:rPr>
                <w:rFonts w:ascii="新細明體" w:eastAsia="新細明體" w:hAnsi="新細明體"/>
              </w:rPr>
            </w:pPr>
          </w:p>
        </w:tc>
        <w:tc>
          <w:tcPr>
            <w:tcW w:w="5386" w:type="dxa"/>
            <w:tcBorders>
              <w:top w:val="nil"/>
              <w:bottom w:val="nil"/>
            </w:tcBorders>
          </w:tcPr>
          <w:p w14:paraId="52D0D4D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(一)短期資金運用核示單</w:t>
            </w:r>
          </w:p>
        </w:tc>
        <w:tc>
          <w:tcPr>
            <w:tcW w:w="5387" w:type="dxa"/>
            <w:tcBorders>
              <w:top w:val="nil"/>
              <w:bottom w:val="nil"/>
            </w:tcBorders>
          </w:tcPr>
          <w:p w14:paraId="3082663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(一)短期資金運用核示單</w:t>
            </w:r>
          </w:p>
        </w:tc>
        <w:tc>
          <w:tcPr>
            <w:tcW w:w="2023" w:type="dxa"/>
            <w:vMerge/>
            <w:tcBorders>
              <w:right w:val="single" w:sz="12" w:space="0" w:color="auto"/>
            </w:tcBorders>
          </w:tcPr>
          <w:p w14:paraId="15974C1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E262319" w14:textId="77777777">
        <w:tc>
          <w:tcPr>
            <w:tcW w:w="1384" w:type="dxa"/>
            <w:vMerge/>
            <w:tcBorders>
              <w:left w:val="single" w:sz="12" w:space="0" w:color="auto"/>
              <w:bottom w:val="single" w:sz="12" w:space="0" w:color="auto"/>
            </w:tcBorders>
          </w:tcPr>
          <w:p w14:paraId="2496427E" w14:textId="77777777" w:rsidR="00A943E4" w:rsidRDefault="00A943E4">
            <w:pPr>
              <w:rPr>
                <w:rFonts w:ascii="新細明體" w:eastAsia="新細明體" w:hAnsi="新細明體"/>
              </w:rPr>
            </w:pPr>
          </w:p>
        </w:tc>
        <w:tc>
          <w:tcPr>
            <w:tcW w:w="1276" w:type="dxa"/>
            <w:vMerge/>
            <w:tcBorders>
              <w:bottom w:val="single" w:sz="12" w:space="0" w:color="auto"/>
            </w:tcBorders>
          </w:tcPr>
          <w:p w14:paraId="33819B77" w14:textId="77777777" w:rsidR="00A943E4" w:rsidRDefault="00A943E4">
            <w:pPr>
              <w:rPr>
                <w:rFonts w:ascii="新細明體" w:eastAsia="新細明體" w:hAnsi="新細明體"/>
              </w:rPr>
            </w:pPr>
          </w:p>
        </w:tc>
        <w:tc>
          <w:tcPr>
            <w:tcW w:w="5386" w:type="dxa"/>
            <w:tcBorders>
              <w:top w:val="nil"/>
              <w:bottom w:val="single" w:sz="12" w:space="0" w:color="auto"/>
            </w:tcBorders>
          </w:tcPr>
          <w:p w14:paraId="0E35E6D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(二)有價證券明細表</w:t>
            </w:r>
          </w:p>
        </w:tc>
        <w:tc>
          <w:tcPr>
            <w:tcW w:w="5387" w:type="dxa"/>
            <w:tcBorders>
              <w:top w:val="nil"/>
              <w:bottom w:val="single" w:sz="12" w:space="0" w:color="auto"/>
            </w:tcBorders>
          </w:tcPr>
          <w:p w14:paraId="44E5B24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(二)有價證券明細表</w:t>
            </w:r>
          </w:p>
        </w:tc>
        <w:tc>
          <w:tcPr>
            <w:tcW w:w="2023" w:type="dxa"/>
            <w:vMerge/>
            <w:tcBorders>
              <w:bottom w:val="single" w:sz="12" w:space="0" w:color="auto"/>
              <w:right w:val="single" w:sz="12" w:space="0" w:color="auto"/>
            </w:tcBorders>
          </w:tcPr>
          <w:p w14:paraId="3AF618E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681D2D01"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C97D5" w14:textId="77777777" w:rsidR="00664718" w:rsidRDefault="00664718" w:rsidP="00E87601">
      <w:pPr>
        <w:spacing w:line="240" w:lineRule="auto"/>
      </w:pPr>
      <w:r>
        <w:separator/>
      </w:r>
    </w:p>
  </w:endnote>
  <w:endnote w:type="continuationSeparator" w:id="0">
    <w:p w14:paraId="2CF933B5" w14:textId="77777777" w:rsidR="00664718" w:rsidRDefault="00664718"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BDD34" w14:textId="77777777" w:rsidR="00664718" w:rsidRDefault="00664718" w:rsidP="00E87601">
      <w:pPr>
        <w:spacing w:line="240" w:lineRule="auto"/>
      </w:pPr>
      <w:r>
        <w:separator/>
      </w:r>
    </w:p>
  </w:footnote>
  <w:footnote w:type="continuationSeparator" w:id="0">
    <w:p w14:paraId="47A11B15" w14:textId="77777777" w:rsidR="00664718" w:rsidRDefault="00664718"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revisionView w:inkAnnotations="0"/>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3954"/>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35BC3"/>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4718"/>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00501"/>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0DC407"/>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1198</Words>
  <Characters>6835</Characters>
  <Application>Microsoft Office Word</Application>
  <DocSecurity>0</DocSecurity>
  <Lines>56</Lines>
  <Paragraphs>16</Paragraphs>
  <ScaleCrop>false</ScaleCrop>
  <Company>Hewlett-Packard Company</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14</cp:revision>
  <cp:lastPrinted>2004-03-09T19:20:00Z</cp:lastPrinted>
  <dcterms:created xsi:type="dcterms:W3CDTF">2025-04-18T10:47:00Z</dcterms:created>
  <dcterms:modified xsi:type="dcterms:W3CDTF">2026-05-19T03:09:00Z</dcterms:modified>
</cp:coreProperties>
</file>