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5FA14" w14:textId="0E882E00" w:rsidR="00A24FFC" w:rsidRPr="00FB3CAF" w:rsidRDefault="00E87601" w:rsidP="00FB3CAF">
      <w:pPr>
        <w:pStyle w:val="1"/>
        <w:spacing w:line="360" w:lineRule="exact"/>
        <w:rPr>
          <w:rFonts w:ascii="新細明體" w:eastAsia="新細明體" w:hAnsi="新細明體" w:cs="新細明體"/>
          <w:color w:val="000000"/>
        </w:rPr>
      </w:pPr>
      <w:bookmarkStart w:id="0" w:name="Std_Type2"/>
      <w:r w:rsidRPr="00F6439B">
        <w:rPr>
          <w:rFonts w:ascii="新細明體" w:eastAsia="新細明體" w:hAnsi="新細明體" w:cs="新細明體" w:hint="eastAsia"/>
          <w:color w:val="000000"/>
        </w:rPr>
        <w:t>證券商內部控制制度標準規範</w:t>
      </w:r>
      <w:bookmarkEnd w:id="0"/>
      <w:r w:rsidRPr="00F6439B">
        <w:rPr>
          <w:rFonts w:ascii="新細明體" w:eastAsia="新細明體" w:hAnsi="新細明體" w:cs="新細明體" w:hint="eastAsia"/>
          <w:color w:val="000000"/>
        </w:rPr>
        <w:t>─內部控制制度修</w:t>
      </w:r>
      <w:r w:rsidR="00D25C08" w:rsidRPr="00F6439B">
        <w:rPr>
          <w:rFonts w:ascii="新細明體" w:eastAsia="新細明體" w:hAnsi="新細明體" w:cs="新細明體" w:hint="eastAsia"/>
          <w:color w:val="000000"/>
        </w:rPr>
        <w:t>正</w:t>
      </w:r>
      <w:r w:rsidRPr="00F6439B">
        <w:rPr>
          <w:rFonts w:ascii="新細明體" w:eastAsia="新細明體" w:hAnsi="新細明體" w:cs="新細明體" w:hint="eastAsia"/>
          <w:color w:val="000000"/>
        </w:rPr>
        <w:t>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1E533B" w:rsidRPr="00F6439B" w14:paraId="2F39A16E" w14:textId="77777777" w:rsidTr="004A29F0">
        <w:trPr>
          <w:tblHeader/>
        </w:trPr>
        <w:tc>
          <w:tcPr>
            <w:tcW w:w="1384" w:type="dxa"/>
            <w:tcBorders>
              <w:top w:val="single" w:sz="12" w:space="0" w:color="auto"/>
              <w:left w:val="single" w:sz="12" w:space="0" w:color="auto"/>
              <w:bottom w:val="single" w:sz="12" w:space="0" w:color="auto"/>
            </w:tcBorders>
          </w:tcPr>
          <w:p w14:paraId="36E775E8" w14:textId="77777777" w:rsidR="001E533B" w:rsidRPr="00F6439B" w:rsidRDefault="00FB3CAF" w:rsidP="00F6439B">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68A3184D" w14:textId="77777777" w:rsidR="00A24FFC" w:rsidRPr="00F6439B" w:rsidRDefault="001E533B" w:rsidP="001E533B">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53E825B4"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修正後內容</w:t>
            </w:r>
          </w:p>
        </w:tc>
        <w:tc>
          <w:tcPr>
            <w:tcW w:w="5387" w:type="dxa"/>
            <w:tcBorders>
              <w:top w:val="single" w:sz="12" w:space="0" w:color="auto"/>
              <w:bottom w:val="single" w:sz="12" w:space="0" w:color="auto"/>
            </w:tcBorders>
          </w:tcPr>
          <w:p w14:paraId="0BFB3B2B" w14:textId="77777777" w:rsidR="00A24FFC" w:rsidRPr="00F6439B" w:rsidRDefault="001E533B" w:rsidP="00F6439B">
            <w:pPr>
              <w:jc w:val="center"/>
              <w:rPr>
                <w:rFonts w:ascii="新細明體" w:eastAsia="新細明體" w:hAnsi="新細明體"/>
              </w:rPr>
            </w:pPr>
            <w:r w:rsidRPr="00F6439B">
              <w:rPr>
                <w:rFonts w:ascii="新細明體" w:eastAsia="新細明體" w:hAnsi="新細明體" w:cs="新細明體" w:hint="eastAsia"/>
                <w:color w:val="000000"/>
              </w:rPr>
              <w:t>修正前內容</w:t>
            </w:r>
          </w:p>
        </w:tc>
        <w:tc>
          <w:tcPr>
            <w:tcW w:w="2023" w:type="dxa"/>
            <w:tcBorders>
              <w:top w:val="single" w:sz="12" w:space="0" w:color="auto"/>
              <w:bottom w:val="single" w:sz="12" w:space="0" w:color="auto"/>
              <w:right w:val="single" w:sz="12" w:space="0" w:color="auto"/>
            </w:tcBorders>
          </w:tcPr>
          <w:p w14:paraId="40198CC1" w14:textId="77777777" w:rsidR="00A24FFC" w:rsidRPr="00F6439B" w:rsidRDefault="00C904D3" w:rsidP="00F6439B">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3B3105" w:rsidRPr="00F6439B" w14:paraId="523CD7FE" w14:textId="77777777">
        <w:tc>
          <w:tcPr>
            <w:tcW w:w="1384" w:type="dxa"/>
            <w:vMerge w:val="restart"/>
            <w:tcBorders>
              <w:top w:val="single" w:sz="12" w:space="0" w:color="auto"/>
              <w:left w:val="single" w:sz="12" w:space="0" w:color="auto"/>
            </w:tcBorders>
          </w:tcPr>
          <w:p w14:paraId="50F2C038" w14:textId="77777777" w:rsidR="003B3105" w:rsidRPr="00F6439B" w:rsidRDefault="003B3105" w:rsidP="001E533B">
            <w:pPr>
              <w:rPr>
                <w:rFonts w:ascii="新細明體" w:eastAsia="新細明體" w:hAnsi="新細明體"/>
              </w:rPr>
            </w:pPr>
            <w:r>
              <w:rPr>
                <w:rFonts w:ascii="新細明體" w:eastAsia="新細明體" w:hAnsi="新細明體" w:hint="eastAsia"/>
              </w:rPr>
              <w:t>CM-13000</w:t>
            </w:r>
          </w:p>
        </w:tc>
        <w:tc>
          <w:tcPr>
            <w:tcW w:w="1276" w:type="dxa"/>
            <w:vMerge w:val="restart"/>
            <w:tcBorders>
              <w:top w:val="single" w:sz="12" w:space="0" w:color="auto"/>
            </w:tcBorders>
          </w:tcPr>
          <w:p w14:paraId="0BC4F439" w14:textId="77777777" w:rsidR="003B3105" w:rsidRPr="00F6439B" w:rsidRDefault="003B3105" w:rsidP="001E533B">
            <w:pPr>
              <w:rPr>
                <w:rFonts w:ascii="新細明體" w:eastAsia="新細明體" w:hAnsi="新細明體"/>
              </w:rPr>
            </w:pPr>
            <w:r>
              <w:rPr>
                <w:rFonts w:ascii="新細明體" w:eastAsia="新細明體" w:hAnsi="新細明體" w:hint="eastAsia"/>
              </w:rPr>
              <w:t>負債承諾及或有事項管理</w:t>
            </w:r>
          </w:p>
        </w:tc>
        <w:tc>
          <w:tcPr>
            <w:tcW w:w="5386" w:type="dxa"/>
            <w:tcBorders>
              <w:top w:val="single" w:sz="12" w:space="0" w:color="auto"/>
              <w:bottom w:val="nil"/>
            </w:tcBorders>
          </w:tcPr>
          <w:p w14:paraId="1DD9D3F3"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5387" w:type="dxa"/>
            <w:tcBorders>
              <w:top w:val="single" w:sz="12" w:space="0" w:color="auto"/>
              <w:bottom w:val="nil"/>
            </w:tcBorders>
          </w:tcPr>
          <w:p w14:paraId="48A4CF51" w14:textId="77777777" w:rsidR="003B3105" w:rsidRPr="003B3105" w:rsidRDefault="003B3105" w:rsidP="003B3105">
            <w:pPr>
              <w:spacing w:line="360" w:lineRule="exact"/>
              <w:rPr>
                <w:rFonts w:ascii="新細明體" w:eastAsia="新細明體" w:hAnsi="新細明體" w:cs="Times New Roman"/>
              </w:rPr>
            </w:pPr>
            <w:r w:rsidRPr="00F6439B">
              <w:rPr>
                <w:rFonts w:ascii="新細明體" w:eastAsia="新細明體" w:hAnsi="新細明體" w:cs="新細明體" w:hint="eastAsia"/>
              </w:rPr>
              <w:t>作業程序及控制重點：</w:t>
            </w:r>
          </w:p>
        </w:tc>
        <w:tc>
          <w:tcPr>
            <w:tcW w:w="2023" w:type="dxa"/>
            <w:vMerge w:val="restart"/>
            <w:tcBorders>
              <w:top w:val="single" w:sz="12" w:space="0" w:color="auto"/>
              <w:right w:val="single" w:sz="12" w:space="0" w:color="auto"/>
            </w:tcBorders>
          </w:tcPr>
          <w:p w14:paraId="75B23F8C" w14:textId="77777777" w:rsidR="003B3105" w:rsidRPr="00F6439B" w:rsidRDefault="003B3105" w:rsidP="003B3105">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一、配合證券商設置標準修訂，開放證券商得設置簡易分支機構或將一般分支機構變更為簡易分支機構，爰修正之。 二、配合主管機關函令修正。</w:t>
            </w:r>
          </w:p>
        </w:tc>
      </w:tr>
      <w:tr w:rsidR="003B3105" w:rsidRPr="00F6439B" w14:paraId="242E6DB2" w14:textId="77777777">
        <w:tc>
          <w:tcPr>
            <w:tcW w:w="1384" w:type="dxa"/>
            <w:vMerge/>
            <w:tcBorders>
              <w:left w:val="single" w:sz="12" w:space="0" w:color="auto"/>
            </w:tcBorders>
          </w:tcPr>
          <w:p w14:paraId="0337081D" w14:textId="77777777" w:rsidR="003B3105" w:rsidRDefault="003B3105" w:rsidP="001E533B">
            <w:pPr>
              <w:rPr>
                <w:rFonts w:ascii="新細明體" w:eastAsia="新細明體" w:hAnsi="新細明體"/>
              </w:rPr>
            </w:pPr>
          </w:p>
        </w:tc>
        <w:tc>
          <w:tcPr>
            <w:tcW w:w="1276" w:type="dxa"/>
            <w:vMerge/>
          </w:tcPr>
          <w:p w14:paraId="713EF608" w14:textId="77777777" w:rsidR="003B3105" w:rsidRDefault="003B3105" w:rsidP="001E533B">
            <w:pPr>
              <w:rPr>
                <w:rFonts w:ascii="新細明體" w:eastAsia="新細明體" w:hAnsi="新細明體"/>
              </w:rPr>
            </w:pPr>
          </w:p>
        </w:tc>
        <w:tc>
          <w:tcPr>
            <w:tcW w:w="5386" w:type="dxa"/>
            <w:tcBorders>
              <w:top w:val="nil"/>
              <w:bottom w:val="nil"/>
            </w:tcBorders>
          </w:tcPr>
          <w:p w14:paraId="1771854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應經權責單位授權、簽約，若承諾契約須於未來支付資產或提供勞務償還者，公司宜建檔控管、追蹤。</w:t>
            </w:r>
          </w:p>
        </w:tc>
        <w:tc>
          <w:tcPr>
            <w:tcW w:w="5387" w:type="dxa"/>
            <w:tcBorders>
              <w:top w:val="nil"/>
              <w:bottom w:val="nil"/>
            </w:tcBorders>
          </w:tcPr>
          <w:p w14:paraId="79129C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一)公司與他人訂定契約，承諾於未來期間按照特定條件執行交易事項，且不論經濟情況如何應於未來期間中按固定條件履行義務者，該契約應經權責單位授權、簽約，若承諾契約須於未來支付資產或提供勞務償還者，公司宜建檔控管、追蹤。</w:t>
            </w:r>
          </w:p>
        </w:tc>
        <w:tc>
          <w:tcPr>
            <w:tcW w:w="2023" w:type="dxa"/>
            <w:vMerge/>
            <w:tcBorders>
              <w:right w:val="single" w:sz="12" w:space="0" w:color="auto"/>
            </w:tcBorders>
          </w:tcPr>
          <w:p w14:paraId="5A02456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D7B079" w14:textId="77777777">
        <w:tc>
          <w:tcPr>
            <w:tcW w:w="1384" w:type="dxa"/>
            <w:vMerge/>
            <w:tcBorders>
              <w:left w:val="single" w:sz="12" w:space="0" w:color="auto"/>
            </w:tcBorders>
          </w:tcPr>
          <w:p w14:paraId="24330C40" w14:textId="77777777" w:rsidR="003B3105" w:rsidRDefault="003B3105" w:rsidP="001E533B">
            <w:pPr>
              <w:rPr>
                <w:rFonts w:ascii="新細明體" w:eastAsia="新細明體" w:hAnsi="新細明體"/>
              </w:rPr>
            </w:pPr>
          </w:p>
        </w:tc>
        <w:tc>
          <w:tcPr>
            <w:tcW w:w="1276" w:type="dxa"/>
            <w:vMerge/>
          </w:tcPr>
          <w:p w14:paraId="5569AAC5" w14:textId="77777777" w:rsidR="003B3105" w:rsidRDefault="003B3105" w:rsidP="001E533B">
            <w:pPr>
              <w:rPr>
                <w:rFonts w:ascii="新細明體" w:eastAsia="新細明體" w:hAnsi="新細明體"/>
              </w:rPr>
            </w:pPr>
          </w:p>
        </w:tc>
        <w:tc>
          <w:tcPr>
            <w:tcW w:w="5386" w:type="dxa"/>
            <w:tcBorders>
              <w:top w:val="nil"/>
              <w:bottom w:val="nil"/>
            </w:tcBorders>
          </w:tcPr>
          <w:p w14:paraId="51C9384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(二)決算日前已存在之事實或狀況，若認為其可能對公司已產生利得或損失，惟其確切結果有賴於未來不確定事項的發生或不發生者，公司宜將上開事實或狀況予以建檔控管、追蹤。</w:t>
            </w:r>
          </w:p>
        </w:tc>
        <w:tc>
          <w:tcPr>
            <w:tcW w:w="5387" w:type="dxa"/>
            <w:tcBorders>
              <w:top w:val="nil"/>
              <w:bottom w:val="nil"/>
            </w:tcBorders>
          </w:tcPr>
          <w:p w14:paraId="2F801D0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(二)決算日前已存在之事實或狀況，若認為其可能對公司已產生利得或損失，惟其確切結果有賴於未來不確定事項的發生或不發生者，公司宜將上開事實或狀況予以建檔控管、追蹤。</w:t>
            </w:r>
          </w:p>
        </w:tc>
        <w:tc>
          <w:tcPr>
            <w:tcW w:w="2023" w:type="dxa"/>
            <w:vMerge/>
            <w:tcBorders>
              <w:right w:val="single" w:sz="12" w:space="0" w:color="auto"/>
            </w:tcBorders>
          </w:tcPr>
          <w:p w14:paraId="60E5B82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782E153" w14:textId="77777777">
        <w:tc>
          <w:tcPr>
            <w:tcW w:w="1384" w:type="dxa"/>
            <w:vMerge/>
            <w:tcBorders>
              <w:left w:val="single" w:sz="12" w:space="0" w:color="auto"/>
            </w:tcBorders>
          </w:tcPr>
          <w:p w14:paraId="589A0426" w14:textId="77777777" w:rsidR="003B3105" w:rsidRDefault="003B3105" w:rsidP="001E533B">
            <w:pPr>
              <w:rPr>
                <w:rFonts w:ascii="新細明體" w:eastAsia="新細明體" w:hAnsi="新細明體"/>
              </w:rPr>
            </w:pPr>
          </w:p>
        </w:tc>
        <w:tc>
          <w:tcPr>
            <w:tcW w:w="1276" w:type="dxa"/>
            <w:vMerge/>
          </w:tcPr>
          <w:p w14:paraId="279DF8C1" w14:textId="77777777" w:rsidR="003B3105" w:rsidRDefault="003B3105" w:rsidP="001E533B">
            <w:pPr>
              <w:rPr>
                <w:rFonts w:ascii="新細明體" w:eastAsia="新細明體" w:hAnsi="新細明體"/>
              </w:rPr>
            </w:pPr>
          </w:p>
        </w:tc>
        <w:tc>
          <w:tcPr>
            <w:tcW w:w="5386" w:type="dxa"/>
            <w:tcBorders>
              <w:top w:val="nil"/>
              <w:bottom w:val="nil"/>
            </w:tcBorders>
          </w:tcPr>
          <w:p w14:paraId="725CBA8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(三)借款合約、租賃合約、其他重要合約和保證等事項宜分別予以建檔管理。</w:t>
            </w:r>
          </w:p>
        </w:tc>
        <w:tc>
          <w:tcPr>
            <w:tcW w:w="5387" w:type="dxa"/>
            <w:tcBorders>
              <w:top w:val="nil"/>
              <w:bottom w:val="nil"/>
            </w:tcBorders>
          </w:tcPr>
          <w:p w14:paraId="6A6C08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(三)借款合約、租賃合約、其他重要合約和保證等事項宜分別予以建檔管理。</w:t>
            </w:r>
          </w:p>
        </w:tc>
        <w:tc>
          <w:tcPr>
            <w:tcW w:w="2023" w:type="dxa"/>
            <w:vMerge/>
            <w:tcBorders>
              <w:right w:val="single" w:sz="12" w:space="0" w:color="auto"/>
            </w:tcBorders>
          </w:tcPr>
          <w:p w14:paraId="4D8E4F3E"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5F4DEC2" w14:textId="77777777">
        <w:tc>
          <w:tcPr>
            <w:tcW w:w="1384" w:type="dxa"/>
            <w:vMerge/>
            <w:tcBorders>
              <w:left w:val="single" w:sz="12" w:space="0" w:color="auto"/>
            </w:tcBorders>
          </w:tcPr>
          <w:p w14:paraId="230B2B42" w14:textId="77777777" w:rsidR="003B3105" w:rsidRDefault="003B3105" w:rsidP="001E533B">
            <w:pPr>
              <w:rPr>
                <w:rFonts w:ascii="新細明體" w:eastAsia="新細明體" w:hAnsi="新細明體"/>
              </w:rPr>
            </w:pPr>
          </w:p>
        </w:tc>
        <w:tc>
          <w:tcPr>
            <w:tcW w:w="1276" w:type="dxa"/>
            <w:vMerge/>
          </w:tcPr>
          <w:p w14:paraId="7E875159" w14:textId="77777777" w:rsidR="003B3105" w:rsidRDefault="003B3105" w:rsidP="001E533B">
            <w:pPr>
              <w:rPr>
                <w:rFonts w:ascii="新細明體" w:eastAsia="新細明體" w:hAnsi="新細明體"/>
              </w:rPr>
            </w:pPr>
          </w:p>
        </w:tc>
        <w:tc>
          <w:tcPr>
            <w:tcW w:w="5386" w:type="dxa"/>
            <w:tcBorders>
              <w:top w:val="nil"/>
              <w:bottom w:val="nil"/>
            </w:tcBorders>
          </w:tcPr>
          <w:p w14:paraId="2848C363"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(四)董事會及股東會議事錄宜予建檔。</w:t>
            </w:r>
          </w:p>
        </w:tc>
        <w:tc>
          <w:tcPr>
            <w:tcW w:w="5387" w:type="dxa"/>
            <w:tcBorders>
              <w:top w:val="nil"/>
              <w:bottom w:val="nil"/>
            </w:tcBorders>
          </w:tcPr>
          <w:p w14:paraId="0A7C70C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(四)董事會及股東會議事錄宜予建檔。</w:t>
            </w:r>
          </w:p>
        </w:tc>
        <w:tc>
          <w:tcPr>
            <w:tcW w:w="2023" w:type="dxa"/>
            <w:vMerge/>
            <w:tcBorders>
              <w:right w:val="single" w:sz="12" w:space="0" w:color="auto"/>
            </w:tcBorders>
          </w:tcPr>
          <w:p w14:paraId="62FF44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A492227" w14:textId="77777777">
        <w:tc>
          <w:tcPr>
            <w:tcW w:w="1384" w:type="dxa"/>
            <w:vMerge/>
            <w:tcBorders>
              <w:left w:val="single" w:sz="12" w:space="0" w:color="auto"/>
            </w:tcBorders>
          </w:tcPr>
          <w:p w14:paraId="4E12B202" w14:textId="77777777" w:rsidR="003B3105" w:rsidRDefault="003B3105" w:rsidP="001E533B">
            <w:pPr>
              <w:rPr>
                <w:rFonts w:ascii="新細明體" w:eastAsia="新細明體" w:hAnsi="新細明體"/>
              </w:rPr>
            </w:pPr>
          </w:p>
        </w:tc>
        <w:tc>
          <w:tcPr>
            <w:tcW w:w="1276" w:type="dxa"/>
            <w:vMerge/>
          </w:tcPr>
          <w:p w14:paraId="3E43E88B" w14:textId="77777777" w:rsidR="003B3105" w:rsidRDefault="003B3105" w:rsidP="001E533B">
            <w:pPr>
              <w:rPr>
                <w:rFonts w:ascii="新細明體" w:eastAsia="新細明體" w:hAnsi="新細明體"/>
              </w:rPr>
            </w:pPr>
          </w:p>
        </w:tc>
        <w:tc>
          <w:tcPr>
            <w:tcW w:w="5386" w:type="dxa"/>
            <w:tcBorders>
              <w:top w:val="nil"/>
              <w:bottom w:val="nil"/>
            </w:tcBorders>
          </w:tcPr>
          <w:p w14:paraId="4E3CF2F6"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(五)未決訟案及已決訟案宜分別予以建檔控管、追蹤，並將公司可能負擔之重大金額、可能之利得或損失及律師之重要說明予以建檔。( 含稅捐之行政救濟案件 )</w:t>
            </w:r>
          </w:p>
        </w:tc>
        <w:tc>
          <w:tcPr>
            <w:tcW w:w="5387" w:type="dxa"/>
            <w:tcBorders>
              <w:top w:val="nil"/>
              <w:bottom w:val="nil"/>
            </w:tcBorders>
          </w:tcPr>
          <w:p w14:paraId="1341B8BD"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(五)未決訟案及已決訟案宜分別予以建檔控管、追蹤，並將公司可能負擔之重大金額、可能之利得或損失及律師之重要說明予以建檔。( 含稅捐之行政救濟案件 )</w:t>
            </w:r>
          </w:p>
        </w:tc>
        <w:tc>
          <w:tcPr>
            <w:tcW w:w="2023" w:type="dxa"/>
            <w:vMerge/>
            <w:tcBorders>
              <w:right w:val="single" w:sz="12" w:space="0" w:color="auto"/>
            </w:tcBorders>
          </w:tcPr>
          <w:p w14:paraId="5B58D75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4FF66A03" w14:textId="77777777">
        <w:tc>
          <w:tcPr>
            <w:tcW w:w="1384" w:type="dxa"/>
            <w:vMerge/>
            <w:tcBorders>
              <w:left w:val="single" w:sz="12" w:space="0" w:color="auto"/>
            </w:tcBorders>
          </w:tcPr>
          <w:p w14:paraId="62B0294D" w14:textId="77777777" w:rsidR="003B3105" w:rsidRDefault="003B3105" w:rsidP="001E533B">
            <w:pPr>
              <w:rPr>
                <w:rFonts w:ascii="新細明體" w:eastAsia="新細明體" w:hAnsi="新細明體"/>
              </w:rPr>
            </w:pPr>
          </w:p>
        </w:tc>
        <w:tc>
          <w:tcPr>
            <w:tcW w:w="1276" w:type="dxa"/>
            <w:vMerge/>
          </w:tcPr>
          <w:p w14:paraId="1B2D67FC" w14:textId="77777777" w:rsidR="003B3105" w:rsidRDefault="003B3105" w:rsidP="001E533B">
            <w:pPr>
              <w:rPr>
                <w:rFonts w:ascii="新細明體" w:eastAsia="新細明體" w:hAnsi="新細明體"/>
              </w:rPr>
            </w:pPr>
          </w:p>
        </w:tc>
        <w:tc>
          <w:tcPr>
            <w:tcW w:w="5386" w:type="dxa"/>
            <w:tcBorders>
              <w:top w:val="nil"/>
              <w:bottom w:val="nil"/>
            </w:tcBorders>
          </w:tcPr>
          <w:p w14:paraId="37FAEF70"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(六)對於負債承諾及或有事項之會計處理應依一般公認會計原則予以妥適分類、紀錄及揭露。</w:t>
            </w:r>
          </w:p>
        </w:tc>
        <w:tc>
          <w:tcPr>
            <w:tcW w:w="5387" w:type="dxa"/>
            <w:tcBorders>
              <w:top w:val="nil"/>
              <w:bottom w:val="nil"/>
            </w:tcBorders>
          </w:tcPr>
          <w:p w14:paraId="30C05AB4"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(六)對於負債承諾及或有事項之會計處理應依一般公認會計原則予以妥適分類、紀錄及揭露。</w:t>
            </w:r>
          </w:p>
        </w:tc>
        <w:tc>
          <w:tcPr>
            <w:tcW w:w="2023" w:type="dxa"/>
            <w:vMerge/>
            <w:tcBorders>
              <w:right w:val="single" w:sz="12" w:space="0" w:color="auto"/>
            </w:tcBorders>
          </w:tcPr>
          <w:p w14:paraId="5E647C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443AB5" w14:textId="77777777">
        <w:tc>
          <w:tcPr>
            <w:tcW w:w="1384" w:type="dxa"/>
            <w:vMerge/>
            <w:tcBorders>
              <w:left w:val="single" w:sz="12" w:space="0" w:color="auto"/>
            </w:tcBorders>
          </w:tcPr>
          <w:p w14:paraId="3B4DD6A6" w14:textId="77777777" w:rsidR="003B3105" w:rsidRDefault="003B3105" w:rsidP="001E533B">
            <w:pPr>
              <w:rPr>
                <w:rFonts w:ascii="新細明體" w:eastAsia="新細明體" w:hAnsi="新細明體"/>
              </w:rPr>
            </w:pPr>
          </w:p>
        </w:tc>
        <w:tc>
          <w:tcPr>
            <w:tcW w:w="1276" w:type="dxa"/>
            <w:vMerge/>
          </w:tcPr>
          <w:p w14:paraId="343064D0" w14:textId="77777777" w:rsidR="003B3105" w:rsidRDefault="003B3105" w:rsidP="001E533B">
            <w:pPr>
              <w:rPr>
                <w:rFonts w:ascii="新細明體" w:eastAsia="新細明體" w:hAnsi="新細明體"/>
              </w:rPr>
            </w:pPr>
          </w:p>
        </w:tc>
        <w:tc>
          <w:tcPr>
            <w:tcW w:w="5386" w:type="dxa"/>
            <w:tcBorders>
              <w:top w:val="nil"/>
              <w:bottom w:val="nil"/>
            </w:tcBorders>
          </w:tcPr>
          <w:p w14:paraId="3F98567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(七)增設分支機構</w:t>
            </w:r>
            <w:r>
              <w:rPr>
                <w:rFonts w:ascii="新細明體" w:eastAsia="新細明體" w:hAnsi="新細明體" w:cs="新細明體" w:hint="eastAsia"/>
                <w:b/>
                <w:color w:val="FF0000"/>
                <w:u w:val="single"/>
              </w:rPr>
              <w:t>、簡易分支機構</w:t>
            </w:r>
            <w:r>
              <w:rPr>
                <w:rFonts w:ascii="新細明體" w:eastAsia="新細明體" w:hAnsi="新細明體" w:cs="新細明體" w:hint="eastAsia"/>
              </w:rPr>
              <w:t>或增加業務時，提出經會計師核閱之財務報告揭露事項應依規定辦理。</w:t>
            </w:r>
          </w:p>
        </w:tc>
        <w:tc>
          <w:tcPr>
            <w:tcW w:w="5387" w:type="dxa"/>
            <w:tcBorders>
              <w:top w:val="nil"/>
              <w:bottom w:val="nil"/>
            </w:tcBorders>
          </w:tcPr>
          <w:p w14:paraId="523A7B22"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(七)增設分支機構或增加業務時，提出經會計師核閱之財務報告揭露事項應依規定辦理。</w:t>
            </w:r>
          </w:p>
        </w:tc>
        <w:tc>
          <w:tcPr>
            <w:tcW w:w="2023" w:type="dxa"/>
            <w:vMerge/>
            <w:tcBorders>
              <w:right w:val="single" w:sz="12" w:space="0" w:color="auto"/>
            </w:tcBorders>
          </w:tcPr>
          <w:p w14:paraId="2892A80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13A75BA" w14:textId="77777777">
        <w:tc>
          <w:tcPr>
            <w:tcW w:w="1384" w:type="dxa"/>
            <w:vMerge/>
            <w:tcBorders>
              <w:left w:val="single" w:sz="12" w:space="0" w:color="auto"/>
            </w:tcBorders>
          </w:tcPr>
          <w:p w14:paraId="5D8CED65" w14:textId="77777777" w:rsidR="003B3105" w:rsidRDefault="003B3105" w:rsidP="001E533B">
            <w:pPr>
              <w:rPr>
                <w:rFonts w:ascii="新細明體" w:eastAsia="新細明體" w:hAnsi="新細明體"/>
              </w:rPr>
            </w:pPr>
          </w:p>
        </w:tc>
        <w:tc>
          <w:tcPr>
            <w:tcW w:w="1276" w:type="dxa"/>
            <w:vMerge/>
          </w:tcPr>
          <w:p w14:paraId="027C2C03" w14:textId="77777777" w:rsidR="003B3105" w:rsidRDefault="003B3105" w:rsidP="001E533B">
            <w:pPr>
              <w:rPr>
                <w:rFonts w:ascii="新細明體" w:eastAsia="新細明體" w:hAnsi="新細明體"/>
              </w:rPr>
            </w:pPr>
          </w:p>
        </w:tc>
        <w:tc>
          <w:tcPr>
            <w:tcW w:w="5386" w:type="dxa"/>
            <w:tcBorders>
              <w:top w:val="nil"/>
              <w:bottom w:val="nil"/>
            </w:tcBorders>
          </w:tcPr>
          <w:p w14:paraId="70B12D47"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t>(八)公司得為直接或間接持有已發行有表決權</w:t>
            </w:r>
            <w:r>
              <w:rPr>
                <w:rFonts w:ascii="新細明體" w:eastAsia="新細明體" w:hAnsi="新細明體" w:cs="新細明體" w:hint="eastAsia"/>
              </w:rPr>
              <w:lastRenderedPageBreak/>
              <w:t>之股份超過百分之五十之海外子公司因下列需要，為保證人、票據轉讓之背書或提供財產供設定擔保：</w:t>
            </w:r>
          </w:p>
        </w:tc>
        <w:tc>
          <w:tcPr>
            <w:tcW w:w="5387" w:type="dxa"/>
            <w:tcBorders>
              <w:top w:val="nil"/>
              <w:bottom w:val="nil"/>
            </w:tcBorders>
          </w:tcPr>
          <w:p w14:paraId="5822F3DB" w14:textId="77777777" w:rsidR="003B3105" w:rsidRPr="00F6439B" w:rsidRDefault="0027008E" w:rsidP="003B3105">
            <w:pPr>
              <w:spacing w:line="360" w:lineRule="exact"/>
              <w:ind w:left="429" w:hangingChars="165" w:hanging="429"/>
              <w:rPr>
                <w:rFonts w:ascii="新細明體" w:eastAsia="新細明體" w:hAnsi="新細明體" w:cs="新細明體"/>
              </w:rPr>
            </w:pPr>
            <w:r>
              <w:rPr>
                <w:rFonts w:ascii="新細明體" w:eastAsia="新細明體" w:hAnsi="新細明體" w:cs="新細明體" w:hint="eastAsia"/>
              </w:rPr>
              <w:lastRenderedPageBreak/>
              <w:t>(八)公司得為直接或間接持有已發行有表決權</w:t>
            </w:r>
            <w:r>
              <w:rPr>
                <w:rFonts w:ascii="新細明體" w:eastAsia="新細明體" w:hAnsi="新細明體" w:cs="新細明體" w:hint="eastAsia"/>
              </w:rPr>
              <w:lastRenderedPageBreak/>
              <w:t>之股份超過百分之五十之海外子公司因下列需要，為保證人、票據轉讓之背書或提供財產供設定擔保：</w:t>
            </w:r>
          </w:p>
        </w:tc>
        <w:tc>
          <w:tcPr>
            <w:tcW w:w="2023" w:type="dxa"/>
            <w:vMerge/>
            <w:tcBorders>
              <w:right w:val="single" w:sz="12" w:space="0" w:color="auto"/>
            </w:tcBorders>
          </w:tcPr>
          <w:p w14:paraId="4FF1FB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0CF74EBF" w14:textId="77777777">
        <w:tc>
          <w:tcPr>
            <w:tcW w:w="1384" w:type="dxa"/>
            <w:vMerge/>
            <w:tcBorders>
              <w:left w:val="single" w:sz="12" w:space="0" w:color="auto"/>
            </w:tcBorders>
          </w:tcPr>
          <w:p w14:paraId="0AC32848" w14:textId="77777777" w:rsidR="003B3105" w:rsidRDefault="003B3105" w:rsidP="001E533B">
            <w:pPr>
              <w:rPr>
                <w:rFonts w:ascii="新細明體" w:eastAsia="新細明體" w:hAnsi="新細明體"/>
              </w:rPr>
            </w:pPr>
          </w:p>
        </w:tc>
        <w:tc>
          <w:tcPr>
            <w:tcW w:w="1276" w:type="dxa"/>
            <w:vMerge/>
          </w:tcPr>
          <w:p w14:paraId="7BECFF1C" w14:textId="77777777" w:rsidR="003B3105" w:rsidRDefault="003B3105" w:rsidP="001E533B">
            <w:pPr>
              <w:rPr>
                <w:rFonts w:ascii="新細明體" w:eastAsia="新細明體" w:hAnsi="新細明體"/>
              </w:rPr>
            </w:pPr>
          </w:p>
        </w:tc>
        <w:tc>
          <w:tcPr>
            <w:tcW w:w="5386" w:type="dxa"/>
            <w:tcBorders>
              <w:top w:val="nil"/>
              <w:bottom w:val="nil"/>
            </w:tcBorders>
          </w:tcPr>
          <w:p w14:paraId="4E03D4C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1.因辦理證券承銷業務之需要。</w:t>
            </w:r>
          </w:p>
        </w:tc>
        <w:tc>
          <w:tcPr>
            <w:tcW w:w="5387" w:type="dxa"/>
            <w:tcBorders>
              <w:top w:val="nil"/>
              <w:bottom w:val="nil"/>
            </w:tcBorders>
          </w:tcPr>
          <w:p w14:paraId="040696A9"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1.因辦理證券承銷業務之需要。</w:t>
            </w:r>
          </w:p>
        </w:tc>
        <w:tc>
          <w:tcPr>
            <w:tcW w:w="2023" w:type="dxa"/>
            <w:vMerge/>
            <w:tcBorders>
              <w:right w:val="single" w:sz="12" w:space="0" w:color="auto"/>
            </w:tcBorders>
          </w:tcPr>
          <w:p w14:paraId="0BCE85FF"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4D068C" w14:textId="77777777">
        <w:tc>
          <w:tcPr>
            <w:tcW w:w="1384" w:type="dxa"/>
            <w:vMerge/>
            <w:tcBorders>
              <w:left w:val="single" w:sz="12" w:space="0" w:color="auto"/>
            </w:tcBorders>
          </w:tcPr>
          <w:p w14:paraId="0694B754" w14:textId="77777777" w:rsidR="003B3105" w:rsidRDefault="003B3105" w:rsidP="001E533B">
            <w:pPr>
              <w:rPr>
                <w:rFonts w:ascii="新細明體" w:eastAsia="新細明體" w:hAnsi="新細明體"/>
              </w:rPr>
            </w:pPr>
          </w:p>
        </w:tc>
        <w:tc>
          <w:tcPr>
            <w:tcW w:w="1276" w:type="dxa"/>
            <w:vMerge/>
          </w:tcPr>
          <w:p w14:paraId="1249BF00" w14:textId="77777777" w:rsidR="003B3105" w:rsidRDefault="003B3105" w:rsidP="001E533B">
            <w:pPr>
              <w:rPr>
                <w:rFonts w:ascii="新細明體" w:eastAsia="新細明體" w:hAnsi="新細明體"/>
              </w:rPr>
            </w:pPr>
          </w:p>
        </w:tc>
        <w:tc>
          <w:tcPr>
            <w:tcW w:w="5386" w:type="dxa"/>
            <w:tcBorders>
              <w:top w:val="nil"/>
              <w:bottom w:val="nil"/>
            </w:tcBorders>
          </w:tcPr>
          <w:p w14:paraId="3231204B"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5387" w:type="dxa"/>
            <w:tcBorders>
              <w:top w:val="nil"/>
              <w:bottom w:val="nil"/>
            </w:tcBorders>
          </w:tcPr>
          <w:p w14:paraId="21B0A70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2.於海外發行認購(售)權證。</w:t>
            </w:r>
          </w:p>
        </w:tc>
        <w:tc>
          <w:tcPr>
            <w:tcW w:w="2023" w:type="dxa"/>
            <w:vMerge/>
            <w:tcBorders>
              <w:right w:val="single" w:sz="12" w:space="0" w:color="auto"/>
            </w:tcBorders>
          </w:tcPr>
          <w:p w14:paraId="11057458"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BA66087" w14:textId="77777777">
        <w:tc>
          <w:tcPr>
            <w:tcW w:w="1384" w:type="dxa"/>
            <w:vMerge/>
            <w:tcBorders>
              <w:left w:val="single" w:sz="12" w:space="0" w:color="auto"/>
            </w:tcBorders>
          </w:tcPr>
          <w:p w14:paraId="3B00F3A3" w14:textId="77777777" w:rsidR="003B3105" w:rsidRDefault="003B3105" w:rsidP="001E533B">
            <w:pPr>
              <w:rPr>
                <w:rFonts w:ascii="新細明體" w:eastAsia="新細明體" w:hAnsi="新細明體"/>
              </w:rPr>
            </w:pPr>
          </w:p>
        </w:tc>
        <w:tc>
          <w:tcPr>
            <w:tcW w:w="1276" w:type="dxa"/>
            <w:vMerge/>
          </w:tcPr>
          <w:p w14:paraId="2E8F98B2" w14:textId="77777777" w:rsidR="003B3105" w:rsidRDefault="003B3105" w:rsidP="001E533B">
            <w:pPr>
              <w:rPr>
                <w:rFonts w:ascii="新細明體" w:eastAsia="新細明體" w:hAnsi="新細明體"/>
              </w:rPr>
            </w:pPr>
          </w:p>
        </w:tc>
        <w:tc>
          <w:tcPr>
            <w:tcW w:w="5386" w:type="dxa"/>
            <w:tcBorders>
              <w:top w:val="nil"/>
              <w:bottom w:val="nil"/>
            </w:tcBorders>
          </w:tcPr>
          <w:p w14:paraId="55E1AE64"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3.因擔任境外結構型商品發行機構或保證機構，依境外結構型商品管理規則於中華民國境內銷售，且由國內母公司擔任總代理人者。</w:t>
            </w:r>
          </w:p>
        </w:tc>
        <w:tc>
          <w:tcPr>
            <w:tcW w:w="5387" w:type="dxa"/>
            <w:tcBorders>
              <w:top w:val="nil"/>
              <w:bottom w:val="nil"/>
            </w:tcBorders>
          </w:tcPr>
          <w:p w14:paraId="4DEC2857"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3.因擔任境外結構型商品發行機構或保證機構，依境外結構型商品管理規則於中華民國境內銷售，且由國內母公司擔任總代理人者。</w:t>
            </w:r>
          </w:p>
        </w:tc>
        <w:tc>
          <w:tcPr>
            <w:tcW w:w="2023" w:type="dxa"/>
            <w:vMerge/>
            <w:tcBorders>
              <w:right w:val="single" w:sz="12" w:space="0" w:color="auto"/>
            </w:tcBorders>
          </w:tcPr>
          <w:p w14:paraId="77D46EAA"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A8D7A6F" w14:textId="77777777">
        <w:tc>
          <w:tcPr>
            <w:tcW w:w="1384" w:type="dxa"/>
            <w:vMerge/>
            <w:tcBorders>
              <w:left w:val="single" w:sz="12" w:space="0" w:color="auto"/>
            </w:tcBorders>
          </w:tcPr>
          <w:p w14:paraId="28D1DCC2" w14:textId="77777777" w:rsidR="003B3105" w:rsidRDefault="003B3105" w:rsidP="001E533B">
            <w:pPr>
              <w:rPr>
                <w:rFonts w:ascii="新細明體" w:eastAsia="新細明體" w:hAnsi="新細明體"/>
              </w:rPr>
            </w:pPr>
          </w:p>
        </w:tc>
        <w:tc>
          <w:tcPr>
            <w:tcW w:w="1276" w:type="dxa"/>
            <w:vMerge/>
          </w:tcPr>
          <w:p w14:paraId="160EBD6B" w14:textId="77777777" w:rsidR="003B3105" w:rsidRDefault="003B3105" w:rsidP="001E533B">
            <w:pPr>
              <w:rPr>
                <w:rFonts w:ascii="新細明體" w:eastAsia="新細明體" w:hAnsi="新細明體"/>
              </w:rPr>
            </w:pPr>
          </w:p>
        </w:tc>
        <w:tc>
          <w:tcPr>
            <w:tcW w:w="5386" w:type="dxa"/>
            <w:tcBorders>
              <w:top w:val="nil"/>
              <w:bottom w:val="nil"/>
            </w:tcBorders>
          </w:tcPr>
          <w:p w14:paraId="4E857B86"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5387" w:type="dxa"/>
            <w:tcBorders>
              <w:top w:val="nil"/>
              <w:bottom w:val="nil"/>
            </w:tcBorders>
          </w:tcPr>
          <w:p w14:paraId="71E0B2B8"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4.因發行境外結構型商品，透過證券商或銀行於中華民國境內銷售予各業務法令所定之高資產客戶，且由國內母公司擔任境內代理人者。</w:t>
            </w:r>
          </w:p>
        </w:tc>
        <w:tc>
          <w:tcPr>
            <w:tcW w:w="2023" w:type="dxa"/>
            <w:vMerge/>
            <w:tcBorders>
              <w:right w:val="single" w:sz="12" w:space="0" w:color="auto"/>
            </w:tcBorders>
          </w:tcPr>
          <w:p w14:paraId="54354463"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5939D602" w14:textId="77777777">
        <w:tc>
          <w:tcPr>
            <w:tcW w:w="1384" w:type="dxa"/>
            <w:vMerge/>
            <w:tcBorders>
              <w:left w:val="single" w:sz="12" w:space="0" w:color="auto"/>
            </w:tcBorders>
          </w:tcPr>
          <w:p w14:paraId="409EC074" w14:textId="77777777" w:rsidR="003B3105" w:rsidRDefault="003B3105" w:rsidP="001E533B">
            <w:pPr>
              <w:rPr>
                <w:rFonts w:ascii="新細明體" w:eastAsia="新細明體" w:hAnsi="新細明體"/>
              </w:rPr>
            </w:pPr>
          </w:p>
        </w:tc>
        <w:tc>
          <w:tcPr>
            <w:tcW w:w="1276" w:type="dxa"/>
            <w:vMerge/>
          </w:tcPr>
          <w:p w14:paraId="2549EA99" w14:textId="77777777" w:rsidR="003B3105" w:rsidRDefault="003B3105" w:rsidP="001E533B">
            <w:pPr>
              <w:rPr>
                <w:rFonts w:ascii="新細明體" w:eastAsia="新細明體" w:hAnsi="新細明體"/>
              </w:rPr>
            </w:pPr>
          </w:p>
        </w:tc>
        <w:tc>
          <w:tcPr>
            <w:tcW w:w="5386" w:type="dxa"/>
            <w:tcBorders>
              <w:top w:val="nil"/>
              <w:bottom w:val="nil"/>
            </w:tcBorders>
          </w:tcPr>
          <w:p w14:paraId="1FB9BBDD"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5387" w:type="dxa"/>
            <w:tcBorders>
              <w:top w:val="nil"/>
              <w:bottom w:val="nil"/>
            </w:tcBorders>
          </w:tcPr>
          <w:p w14:paraId="3368BD5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5.因發行公司債之需要。</w:t>
            </w:r>
          </w:p>
        </w:tc>
        <w:tc>
          <w:tcPr>
            <w:tcW w:w="2023" w:type="dxa"/>
            <w:vMerge/>
            <w:tcBorders>
              <w:right w:val="single" w:sz="12" w:space="0" w:color="auto"/>
            </w:tcBorders>
          </w:tcPr>
          <w:p w14:paraId="54339076"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5AA3C5C" w14:textId="77777777">
        <w:tc>
          <w:tcPr>
            <w:tcW w:w="1384" w:type="dxa"/>
            <w:vMerge/>
            <w:tcBorders>
              <w:left w:val="single" w:sz="12" w:space="0" w:color="auto"/>
            </w:tcBorders>
          </w:tcPr>
          <w:p w14:paraId="1AD3EE16" w14:textId="77777777" w:rsidR="003B3105" w:rsidRDefault="003B3105" w:rsidP="001E533B">
            <w:pPr>
              <w:rPr>
                <w:rFonts w:ascii="新細明體" w:eastAsia="新細明體" w:hAnsi="新細明體"/>
              </w:rPr>
            </w:pPr>
          </w:p>
        </w:tc>
        <w:tc>
          <w:tcPr>
            <w:tcW w:w="1276" w:type="dxa"/>
            <w:vMerge/>
          </w:tcPr>
          <w:p w14:paraId="4F616FEC" w14:textId="77777777" w:rsidR="003B3105" w:rsidRDefault="003B3105" w:rsidP="001E533B">
            <w:pPr>
              <w:rPr>
                <w:rFonts w:ascii="新細明體" w:eastAsia="新細明體" w:hAnsi="新細明體"/>
              </w:rPr>
            </w:pPr>
          </w:p>
        </w:tc>
        <w:tc>
          <w:tcPr>
            <w:tcW w:w="5386" w:type="dxa"/>
            <w:tcBorders>
              <w:top w:val="nil"/>
              <w:bottom w:val="nil"/>
            </w:tcBorders>
          </w:tcPr>
          <w:p w14:paraId="680F97D5"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6.因業務需要而於當地金融機構融資者。</w:t>
            </w:r>
          </w:p>
        </w:tc>
        <w:tc>
          <w:tcPr>
            <w:tcW w:w="5387" w:type="dxa"/>
            <w:tcBorders>
              <w:top w:val="nil"/>
              <w:bottom w:val="nil"/>
            </w:tcBorders>
          </w:tcPr>
          <w:p w14:paraId="3940C42F"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6.因業務需要而於當地金融機構融資者。</w:t>
            </w:r>
          </w:p>
        </w:tc>
        <w:tc>
          <w:tcPr>
            <w:tcW w:w="2023" w:type="dxa"/>
            <w:vMerge/>
            <w:tcBorders>
              <w:right w:val="single" w:sz="12" w:space="0" w:color="auto"/>
            </w:tcBorders>
          </w:tcPr>
          <w:p w14:paraId="04B317F1"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2085A69A" w14:textId="77777777">
        <w:tc>
          <w:tcPr>
            <w:tcW w:w="1384" w:type="dxa"/>
            <w:vMerge/>
            <w:tcBorders>
              <w:left w:val="single" w:sz="12" w:space="0" w:color="auto"/>
            </w:tcBorders>
          </w:tcPr>
          <w:p w14:paraId="4EDA7E05" w14:textId="77777777" w:rsidR="003B3105" w:rsidRDefault="003B3105" w:rsidP="001E533B">
            <w:pPr>
              <w:rPr>
                <w:rFonts w:ascii="新細明體" w:eastAsia="新細明體" w:hAnsi="新細明體"/>
              </w:rPr>
            </w:pPr>
          </w:p>
        </w:tc>
        <w:tc>
          <w:tcPr>
            <w:tcW w:w="1276" w:type="dxa"/>
            <w:vMerge/>
          </w:tcPr>
          <w:p w14:paraId="2F217589" w14:textId="77777777" w:rsidR="003B3105" w:rsidRDefault="003B3105" w:rsidP="001E533B">
            <w:pPr>
              <w:rPr>
                <w:rFonts w:ascii="新細明體" w:eastAsia="新細明體" w:hAnsi="新細明體"/>
              </w:rPr>
            </w:pPr>
          </w:p>
        </w:tc>
        <w:tc>
          <w:tcPr>
            <w:tcW w:w="5386" w:type="dxa"/>
            <w:tcBorders>
              <w:top w:val="nil"/>
              <w:bottom w:val="nil"/>
            </w:tcBorders>
          </w:tcPr>
          <w:p w14:paraId="31A6DBF1"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7.公司辦理對海外子公司背書保證，應符合下列規定：</w:t>
            </w:r>
          </w:p>
        </w:tc>
        <w:tc>
          <w:tcPr>
            <w:tcW w:w="5387" w:type="dxa"/>
            <w:tcBorders>
              <w:top w:val="nil"/>
              <w:bottom w:val="nil"/>
            </w:tcBorders>
          </w:tcPr>
          <w:p w14:paraId="695077DA" w14:textId="77777777" w:rsidR="003B3105" w:rsidRPr="00F6439B" w:rsidRDefault="0027008E" w:rsidP="003B3105">
            <w:pPr>
              <w:spacing w:line="360" w:lineRule="exact"/>
              <w:ind w:leftChars="165" w:left="634" w:hangingChars="79" w:hanging="205"/>
              <w:rPr>
                <w:rFonts w:ascii="新細明體" w:eastAsia="新細明體" w:hAnsi="新細明體" w:cs="新細明體"/>
              </w:rPr>
            </w:pPr>
            <w:r>
              <w:rPr>
                <w:rFonts w:ascii="新細明體" w:eastAsia="新細明體" w:hAnsi="新細明體" w:cs="新細明體" w:hint="eastAsia"/>
              </w:rPr>
              <w:t>7.公司辦理對海外子公司背書保證，應符合下列規定：</w:t>
            </w:r>
          </w:p>
        </w:tc>
        <w:tc>
          <w:tcPr>
            <w:tcW w:w="2023" w:type="dxa"/>
            <w:vMerge/>
            <w:tcBorders>
              <w:right w:val="single" w:sz="12" w:space="0" w:color="auto"/>
            </w:tcBorders>
          </w:tcPr>
          <w:p w14:paraId="4F12D51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79718488" w14:textId="77777777">
        <w:tc>
          <w:tcPr>
            <w:tcW w:w="1384" w:type="dxa"/>
            <w:vMerge/>
            <w:tcBorders>
              <w:left w:val="single" w:sz="12" w:space="0" w:color="auto"/>
            </w:tcBorders>
          </w:tcPr>
          <w:p w14:paraId="42553437" w14:textId="77777777" w:rsidR="003B3105" w:rsidRDefault="003B3105" w:rsidP="001E533B">
            <w:pPr>
              <w:rPr>
                <w:rFonts w:ascii="新細明體" w:eastAsia="新細明體" w:hAnsi="新細明體"/>
              </w:rPr>
            </w:pPr>
          </w:p>
        </w:tc>
        <w:tc>
          <w:tcPr>
            <w:tcW w:w="1276" w:type="dxa"/>
            <w:vMerge/>
          </w:tcPr>
          <w:p w14:paraId="59C10CC1" w14:textId="77777777" w:rsidR="003B3105" w:rsidRDefault="003B3105" w:rsidP="001E533B">
            <w:pPr>
              <w:rPr>
                <w:rFonts w:ascii="新細明體" w:eastAsia="新細明體" w:hAnsi="新細明體"/>
              </w:rPr>
            </w:pPr>
          </w:p>
        </w:tc>
        <w:tc>
          <w:tcPr>
            <w:tcW w:w="5386" w:type="dxa"/>
            <w:tcBorders>
              <w:top w:val="nil"/>
              <w:bottom w:val="nil"/>
            </w:tcBorders>
          </w:tcPr>
          <w:p w14:paraId="5E131BBB"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5387" w:type="dxa"/>
            <w:tcBorders>
              <w:top w:val="nil"/>
              <w:bottom w:val="nil"/>
            </w:tcBorders>
          </w:tcPr>
          <w:p w14:paraId="1E1BCA0D"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(1)依前述4規定為未受海外金融監督管理機關監理之海外子公司背書保證及辦理前述5、6之背書保證應先經主管機關核准，且對單一海外子公司辦理前述5、6之背書保證金額合計不得超過證券商淨值之百分之五（但經專案核准者，不在此限）。</w:t>
            </w:r>
          </w:p>
        </w:tc>
        <w:tc>
          <w:tcPr>
            <w:tcW w:w="2023" w:type="dxa"/>
            <w:vMerge/>
            <w:tcBorders>
              <w:right w:val="single" w:sz="12" w:space="0" w:color="auto"/>
            </w:tcBorders>
          </w:tcPr>
          <w:p w14:paraId="2B230487"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9D77D5C" w14:textId="77777777">
        <w:tc>
          <w:tcPr>
            <w:tcW w:w="1384" w:type="dxa"/>
            <w:vMerge/>
            <w:tcBorders>
              <w:left w:val="single" w:sz="12" w:space="0" w:color="auto"/>
            </w:tcBorders>
          </w:tcPr>
          <w:p w14:paraId="12F65F47" w14:textId="77777777" w:rsidR="003B3105" w:rsidRDefault="003B3105" w:rsidP="001E533B">
            <w:pPr>
              <w:rPr>
                <w:rFonts w:ascii="新細明體" w:eastAsia="新細明體" w:hAnsi="新細明體"/>
              </w:rPr>
            </w:pPr>
          </w:p>
        </w:tc>
        <w:tc>
          <w:tcPr>
            <w:tcW w:w="1276" w:type="dxa"/>
            <w:vMerge/>
          </w:tcPr>
          <w:p w14:paraId="10B1E2AA" w14:textId="77777777" w:rsidR="003B3105" w:rsidRDefault="003B3105" w:rsidP="001E533B">
            <w:pPr>
              <w:rPr>
                <w:rFonts w:ascii="新細明體" w:eastAsia="新細明體" w:hAnsi="新細明體"/>
              </w:rPr>
            </w:pPr>
          </w:p>
        </w:tc>
        <w:tc>
          <w:tcPr>
            <w:tcW w:w="5386" w:type="dxa"/>
            <w:tcBorders>
              <w:top w:val="nil"/>
              <w:bottom w:val="nil"/>
            </w:tcBorders>
          </w:tcPr>
          <w:p w14:paraId="13514C42"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t>(2)依前述3、4規定為其海外子公司背書保證，應設立商品審查小組審查境外結構型商品，並應就商品審查小組之組成</w:t>
            </w:r>
            <w:r>
              <w:rPr>
                <w:rFonts w:ascii="新細明體" w:eastAsia="新細明體" w:hAnsi="新細明體" w:cs="新細明體" w:hint="eastAsia"/>
              </w:rPr>
              <w:lastRenderedPageBreak/>
              <w:t>及運作訂定相關內部控制制度（註：請公司自訂）。</w:t>
            </w:r>
          </w:p>
        </w:tc>
        <w:tc>
          <w:tcPr>
            <w:tcW w:w="5387" w:type="dxa"/>
            <w:tcBorders>
              <w:top w:val="nil"/>
              <w:bottom w:val="nil"/>
            </w:tcBorders>
          </w:tcPr>
          <w:p w14:paraId="30E731CE"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rPr>
              <w:lastRenderedPageBreak/>
              <w:t>(2)依前述3、4規定為其海外子公司背書保證，應設立商品審查小組審查境外結構型商品，並應就商品審查小組之組成</w:t>
            </w:r>
            <w:r>
              <w:rPr>
                <w:rFonts w:ascii="新細明體" w:eastAsia="新細明體" w:hAnsi="新細明體" w:cs="新細明體" w:hint="eastAsia"/>
              </w:rPr>
              <w:lastRenderedPageBreak/>
              <w:t>及運作訂定相關內部控制制度（註：請公司自訂）。</w:t>
            </w:r>
          </w:p>
        </w:tc>
        <w:tc>
          <w:tcPr>
            <w:tcW w:w="2023" w:type="dxa"/>
            <w:vMerge/>
            <w:tcBorders>
              <w:right w:val="single" w:sz="12" w:space="0" w:color="auto"/>
            </w:tcBorders>
          </w:tcPr>
          <w:p w14:paraId="306E7DA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1D809108" w14:textId="77777777">
        <w:tc>
          <w:tcPr>
            <w:tcW w:w="1384" w:type="dxa"/>
            <w:vMerge/>
            <w:tcBorders>
              <w:left w:val="single" w:sz="12" w:space="0" w:color="auto"/>
            </w:tcBorders>
          </w:tcPr>
          <w:p w14:paraId="7AF0F867" w14:textId="77777777" w:rsidR="003B3105" w:rsidRDefault="003B3105" w:rsidP="001E533B">
            <w:pPr>
              <w:rPr>
                <w:rFonts w:ascii="新細明體" w:eastAsia="新細明體" w:hAnsi="新細明體"/>
              </w:rPr>
            </w:pPr>
          </w:p>
        </w:tc>
        <w:tc>
          <w:tcPr>
            <w:tcW w:w="1276" w:type="dxa"/>
            <w:vMerge/>
          </w:tcPr>
          <w:p w14:paraId="09767A49" w14:textId="77777777" w:rsidR="003B3105" w:rsidRDefault="003B3105" w:rsidP="001E533B">
            <w:pPr>
              <w:rPr>
                <w:rFonts w:ascii="新細明體" w:eastAsia="新細明體" w:hAnsi="新細明體"/>
              </w:rPr>
            </w:pPr>
          </w:p>
        </w:tc>
        <w:tc>
          <w:tcPr>
            <w:tcW w:w="5386" w:type="dxa"/>
            <w:tcBorders>
              <w:top w:val="nil"/>
              <w:bottom w:val="nil"/>
            </w:tcBorders>
          </w:tcPr>
          <w:p w14:paraId="213E0788" w14:textId="77777777" w:rsidR="003B3105" w:rsidRPr="00F6439B" w:rsidRDefault="0027008E" w:rsidP="003B3105">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b/>
                <w:color w:val="FF0000"/>
                <w:u w:val="single"/>
              </w:rPr>
              <w:t>公司為外國金融控股公司、外國銀行、外國證券商或外國保險公司直接或間接持有已發行有表決權之股份超過百分之五十之國內子公司，並經主管機關核准設立，得因外國母公司擔任境外結構型商品發行機構或保證機構，依境外結構型商品管理規則或依契約於中華民國境內銷售，且由公司擔任總代理人者，得由公司就外國母公司所負境外結構型商品之義務負連帶責任。</w:t>
            </w:r>
          </w:p>
        </w:tc>
        <w:tc>
          <w:tcPr>
            <w:tcW w:w="5387" w:type="dxa"/>
            <w:tcBorders>
              <w:top w:val="nil"/>
              <w:bottom w:val="nil"/>
            </w:tcBorders>
          </w:tcPr>
          <w:p w14:paraId="63B3AB0B" w14:textId="77777777" w:rsidR="003B3105" w:rsidRPr="00F6439B" w:rsidRDefault="0027008E" w:rsidP="003B3105">
            <w:pPr>
              <w:spacing w:line="360" w:lineRule="exact"/>
              <w:rPr>
                <w:rFonts w:ascii="新細明體" w:eastAsia="新細明體" w:hAnsi="新細明體" w:cs="新細明體"/>
              </w:rPr>
            </w:pPr>
            <w:r>
              <w:rPr>
                <w:rFonts w:ascii="新細明體" w:eastAsia="新細明體" w:hAnsi="新細明體" w:cs="新細明體" w:hint="eastAsia"/>
                <w:b/>
                <w:color w:val="FF0000"/>
              </w:rPr>
              <w:t>(新增)</w:t>
            </w:r>
          </w:p>
        </w:tc>
        <w:tc>
          <w:tcPr>
            <w:tcW w:w="2023" w:type="dxa"/>
            <w:vMerge/>
            <w:tcBorders>
              <w:right w:val="single" w:sz="12" w:space="0" w:color="auto"/>
            </w:tcBorders>
          </w:tcPr>
          <w:p w14:paraId="7EB5BF80"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r w:rsidR="003B3105" w:rsidRPr="00F6439B" w14:paraId="6359473F" w14:textId="77777777">
        <w:tc>
          <w:tcPr>
            <w:tcW w:w="1384" w:type="dxa"/>
            <w:vMerge/>
            <w:tcBorders>
              <w:left w:val="single" w:sz="12" w:space="0" w:color="auto"/>
              <w:bottom w:val="single" w:sz="12" w:space="0" w:color="auto"/>
            </w:tcBorders>
          </w:tcPr>
          <w:p w14:paraId="68489960" w14:textId="77777777" w:rsidR="003B3105" w:rsidRDefault="003B3105" w:rsidP="001E533B">
            <w:pPr>
              <w:rPr>
                <w:rFonts w:ascii="新細明體" w:eastAsia="新細明體" w:hAnsi="新細明體"/>
              </w:rPr>
            </w:pPr>
          </w:p>
        </w:tc>
        <w:tc>
          <w:tcPr>
            <w:tcW w:w="1276" w:type="dxa"/>
            <w:vMerge/>
            <w:tcBorders>
              <w:bottom w:val="single" w:sz="12" w:space="0" w:color="auto"/>
            </w:tcBorders>
          </w:tcPr>
          <w:p w14:paraId="4430DDED" w14:textId="77777777" w:rsidR="003B3105" w:rsidRDefault="003B3105" w:rsidP="001E533B">
            <w:pPr>
              <w:rPr>
                <w:rFonts w:ascii="新細明體" w:eastAsia="新細明體" w:hAnsi="新細明體"/>
              </w:rPr>
            </w:pPr>
          </w:p>
        </w:tc>
        <w:tc>
          <w:tcPr>
            <w:tcW w:w="5386" w:type="dxa"/>
            <w:tcBorders>
              <w:top w:val="nil"/>
              <w:bottom w:val="single" w:sz="12" w:space="0" w:color="auto"/>
            </w:tcBorders>
          </w:tcPr>
          <w:p w14:paraId="21BEB613" w14:textId="77777777" w:rsidR="003B3105" w:rsidRPr="0068743F" w:rsidRDefault="0027008E" w:rsidP="0027008E">
            <w:pPr>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(4)</w:t>
            </w:r>
            <w:r>
              <w:rPr>
                <w:rFonts w:ascii="新細明體" w:eastAsia="新細明體" w:hAnsi="新細明體" w:cs="新細明體" w:hint="eastAsia"/>
              </w:rPr>
              <w:t>應依金管會1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4號令及公開發行公司資金貸與及背書保證處理準則辦理。</w:t>
            </w:r>
          </w:p>
        </w:tc>
        <w:tc>
          <w:tcPr>
            <w:tcW w:w="5387" w:type="dxa"/>
            <w:tcBorders>
              <w:top w:val="nil"/>
              <w:bottom w:val="single" w:sz="12" w:space="0" w:color="auto"/>
            </w:tcBorders>
          </w:tcPr>
          <w:p w14:paraId="2C5BBCBD" w14:textId="77777777" w:rsidR="003B3105" w:rsidRPr="00F6439B" w:rsidRDefault="0027008E" w:rsidP="0027008E">
            <w:pPr>
              <w:spacing w:line="360" w:lineRule="exact"/>
              <w:ind w:leftChars="208" w:left="840" w:hangingChars="115" w:hanging="299"/>
              <w:rPr>
                <w:rFonts w:ascii="新細明體" w:eastAsia="新細明體" w:hAnsi="新細明體" w:cs="新細明體"/>
              </w:rPr>
            </w:pPr>
            <w:r>
              <w:rPr>
                <w:rFonts w:ascii="新細明體" w:eastAsia="新細明體" w:hAnsi="新細明體" w:cs="新細明體" w:hint="eastAsia"/>
                <w:b/>
                <w:color w:val="FF0000"/>
              </w:rPr>
              <w:t>(3)</w:t>
            </w:r>
            <w:r>
              <w:rPr>
                <w:rFonts w:ascii="新細明體" w:eastAsia="新細明體" w:hAnsi="新細明體" w:cs="新細明體" w:hint="eastAsia"/>
              </w:rPr>
              <w:t>應依金管會1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號令及公開發行公司資金貸與及背書保證處理準則辦理。</w:t>
            </w:r>
          </w:p>
        </w:tc>
        <w:tc>
          <w:tcPr>
            <w:tcW w:w="2023" w:type="dxa"/>
            <w:vMerge/>
            <w:tcBorders>
              <w:bottom w:val="single" w:sz="12" w:space="0" w:color="auto"/>
              <w:right w:val="single" w:sz="12" w:space="0" w:color="auto"/>
            </w:tcBorders>
          </w:tcPr>
          <w:p w14:paraId="56645D39" w14:textId="77777777" w:rsidR="003B3105" w:rsidRDefault="003B3105" w:rsidP="003B3105">
            <w:pPr>
              <w:spacing w:line="360" w:lineRule="exact"/>
              <w:ind w:left="28" w:right="28"/>
              <w:rPr>
                <w:rFonts w:ascii="新細明體" w:eastAsia="新細明體" w:hAnsi="新細明體" w:cs="Times New Roman"/>
                <w:color w:val="FF0000"/>
                <w:spacing w:val="20"/>
                <w:szCs w:val="20"/>
                <w:u w:val="single"/>
              </w:rPr>
            </w:pPr>
          </w:p>
        </w:tc>
      </w:tr>
    </w:tbl>
    <w:p w14:paraId="730F192B" w14:textId="77777777" w:rsidR="001E533B" w:rsidRPr="00F6439B" w:rsidRDefault="001E533B" w:rsidP="00A24FFC">
      <w:pPr>
        <w:rPr>
          <w:rFonts w:ascii="新細明體" w:eastAsia="新細明體" w:hAnsi="新細明體"/>
        </w:rPr>
      </w:pPr>
    </w:p>
    <w:p w14:paraId="25458C4C" w14:textId="77777777" w:rsidR="00470098" w:rsidRDefault="00000000">
      <w:r>
        <w:br w:type="page"/>
      </w:r>
    </w:p>
    <w:p w14:paraId="7823F4E1" w14:textId="19523AEA" w:rsidR="00FB3CAF" w:rsidRPr="008D1BB1" w:rsidRDefault="00FB3CAF" w:rsidP="00FB3CAF">
      <w:pPr>
        <w:pStyle w:val="1"/>
        <w:spacing w:line="360" w:lineRule="exact"/>
        <w:rPr>
          <w:rFonts w:ascii="新細明體" w:eastAsia="新細明體" w:hAnsi="新細明體" w:cs="新細明體"/>
          <w:color w:val="000000"/>
        </w:rPr>
      </w:pPr>
      <w:r w:rsidRPr="00903DE7">
        <w:rPr>
          <w:rFonts w:ascii="新細明體" w:eastAsia="新細明體" w:hAnsi="新細明體" w:cs="新細明體" w:hint="eastAsia"/>
          <w:color w:val="000000"/>
        </w:rPr>
        <w:t>證券商內部控制制度標準規範─內部控制制度依據修正對照表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276"/>
        <w:gridCol w:w="5386"/>
        <w:gridCol w:w="5387"/>
        <w:gridCol w:w="2023"/>
      </w:tblGrid>
      <w:tr w:rsidR="00A943E4" w:rsidRPr="00F6439B" w14:paraId="067C37B7" w14:textId="77777777" w:rsidTr="00C6790C">
        <w:trPr>
          <w:tblHeader/>
        </w:trPr>
        <w:tc>
          <w:tcPr>
            <w:tcW w:w="1384" w:type="dxa"/>
            <w:tcBorders>
              <w:top w:val="single" w:sz="12" w:space="0" w:color="auto"/>
              <w:left w:val="single" w:sz="12" w:space="0" w:color="auto"/>
              <w:bottom w:val="single" w:sz="12" w:space="0" w:color="auto"/>
            </w:tcBorders>
          </w:tcPr>
          <w:p w14:paraId="16766190" w14:textId="77777777" w:rsidR="00A943E4" w:rsidRPr="00F6439B" w:rsidRDefault="00A943E4">
            <w:pPr>
              <w:jc w:val="center"/>
              <w:rPr>
                <w:rFonts w:ascii="新細明體" w:eastAsia="新細明體" w:hAnsi="新細明體"/>
              </w:rPr>
            </w:pPr>
            <w:r w:rsidRPr="00F6439B">
              <w:rPr>
                <w:rFonts w:ascii="新細明體" w:eastAsia="新細明體" w:hAnsi="新細明體" w:hint="eastAsia"/>
              </w:rPr>
              <w:t>編號</w:t>
            </w:r>
          </w:p>
        </w:tc>
        <w:tc>
          <w:tcPr>
            <w:tcW w:w="1276" w:type="dxa"/>
            <w:tcBorders>
              <w:top w:val="single" w:sz="12" w:space="0" w:color="auto"/>
              <w:bottom w:val="single" w:sz="12" w:space="0" w:color="auto"/>
            </w:tcBorders>
          </w:tcPr>
          <w:p w14:paraId="568994AC" w14:textId="77777777" w:rsidR="00A943E4" w:rsidRPr="00F6439B" w:rsidRDefault="00A943E4">
            <w:pPr>
              <w:rPr>
                <w:rFonts w:ascii="新細明體" w:eastAsia="新細明體" w:hAnsi="新細明體"/>
              </w:rPr>
            </w:pPr>
            <w:r w:rsidRPr="00F6439B">
              <w:rPr>
                <w:rFonts w:ascii="新細明體" w:eastAsia="新細明體" w:hAnsi="新細明體" w:hint="eastAsia"/>
              </w:rPr>
              <w:t>作業項目</w:t>
            </w:r>
          </w:p>
        </w:tc>
        <w:tc>
          <w:tcPr>
            <w:tcW w:w="5386" w:type="dxa"/>
            <w:tcBorders>
              <w:top w:val="single" w:sz="12" w:space="0" w:color="auto"/>
              <w:bottom w:val="single" w:sz="12" w:space="0" w:color="auto"/>
            </w:tcBorders>
          </w:tcPr>
          <w:p w14:paraId="77196FA2"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修正後</w:t>
            </w:r>
            <w:r>
              <w:rPr>
                <w:rFonts w:ascii="新細明體" w:eastAsia="新細明體" w:hAnsi="新細明體" w:cs="新細明體" w:hint="eastAsia"/>
                <w:color w:val="000000"/>
              </w:rPr>
              <w:t>依據資料</w:t>
            </w:r>
          </w:p>
        </w:tc>
        <w:tc>
          <w:tcPr>
            <w:tcW w:w="5387" w:type="dxa"/>
            <w:tcBorders>
              <w:top w:val="single" w:sz="12" w:space="0" w:color="auto"/>
              <w:bottom w:val="single" w:sz="12" w:space="0" w:color="auto"/>
            </w:tcBorders>
          </w:tcPr>
          <w:p w14:paraId="25DCA24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修正前</w:t>
            </w:r>
            <w:r>
              <w:rPr>
                <w:rFonts w:ascii="新細明體" w:eastAsia="新細明體" w:hAnsi="新細明體" w:cs="新細明體" w:hint="eastAsia"/>
                <w:color w:val="000000"/>
              </w:rPr>
              <w:t>依據資料</w:t>
            </w:r>
          </w:p>
        </w:tc>
        <w:tc>
          <w:tcPr>
            <w:tcW w:w="2023" w:type="dxa"/>
            <w:tcBorders>
              <w:top w:val="single" w:sz="12" w:space="0" w:color="auto"/>
              <w:bottom w:val="single" w:sz="12" w:space="0" w:color="auto"/>
              <w:right w:val="single" w:sz="12" w:space="0" w:color="auto"/>
            </w:tcBorders>
          </w:tcPr>
          <w:p w14:paraId="1C4B0E9C" w14:textId="77777777" w:rsidR="00A943E4" w:rsidRPr="00F6439B" w:rsidRDefault="00A943E4">
            <w:pPr>
              <w:jc w:val="center"/>
              <w:rPr>
                <w:rFonts w:ascii="新細明體" w:eastAsia="新細明體" w:hAnsi="新細明體"/>
              </w:rPr>
            </w:pPr>
            <w:r w:rsidRPr="00F6439B">
              <w:rPr>
                <w:rFonts w:ascii="新細明體" w:eastAsia="新細明體" w:hAnsi="新細明體" w:cs="新細明體" w:hint="eastAsia"/>
                <w:color w:val="000000"/>
              </w:rPr>
              <w:t>修正說明</w:t>
            </w:r>
          </w:p>
        </w:tc>
      </w:tr>
      <w:tr w:rsidR="00A943E4" w:rsidRPr="00F6439B" w14:paraId="639BE1FC" w14:textId="77777777">
        <w:tc>
          <w:tcPr>
            <w:tcW w:w="1384" w:type="dxa"/>
            <w:vMerge w:val="restart"/>
            <w:tcBorders>
              <w:top w:val="single" w:sz="12" w:space="0" w:color="auto"/>
              <w:left w:val="single" w:sz="12" w:space="0" w:color="auto"/>
            </w:tcBorders>
          </w:tcPr>
          <w:p w14:paraId="66720E11" w14:textId="77777777" w:rsidR="00A943E4" w:rsidRPr="00F6439B" w:rsidRDefault="00A943E4">
            <w:pPr>
              <w:rPr>
                <w:rFonts w:ascii="新細明體" w:eastAsia="新細明體" w:hAnsi="新細明體"/>
              </w:rPr>
            </w:pPr>
            <w:r>
              <w:rPr>
                <w:rFonts w:ascii="新細明體" w:eastAsia="新細明體" w:hAnsi="新細明體" w:hint="eastAsia"/>
              </w:rPr>
              <w:t>CM-13000</w:t>
            </w:r>
          </w:p>
        </w:tc>
        <w:tc>
          <w:tcPr>
            <w:tcW w:w="1276" w:type="dxa"/>
            <w:vMerge w:val="restart"/>
            <w:tcBorders>
              <w:top w:val="single" w:sz="12" w:space="0" w:color="auto"/>
            </w:tcBorders>
          </w:tcPr>
          <w:p w14:paraId="409290EC" w14:textId="77777777" w:rsidR="00A943E4" w:rsidRPr="00F6439B" w:rsidRDefault="00A943E4">
            <w:pPr>
              <w:rPr>
                <w:rFonts w:ascii="新細明體" w:eastAsia="新細明體" w:hAnsi="新細明體"/>
              </w:rPr>
            </w:pPr>
            <w:r>
              <w:rPr>
                <w:rFonts w:ascii="新細明體" w:eastAsia="新細明體" w:hAnsi="新細明體" w:hint="eastAsia"/>
              </w:rPr>
              <w:t>負債承諾及或有事項管理</w:t>
            </w:r>
          </w:p>
        </w:tc>
        <w:tc>
          <w:tcPr>
            <w:tcW w:w="5386" w:type="dxa"/>
            <w:tcBorders>
              <w:top w:val="single" w:sz="12" w:space="0" w:color="auto"/>
              <w:bottom w:val="nil"/>
            </w:tcBorders>
          </w:tcPr>
          <w:p w14:paraId="51CE730B"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5387" w:type="dxa"/>
            <w:tcBorders>
              <w:top w:val="single" w:sz="12" w:space="0" w:color="auto"/>
              <w:bottom w:val="nil"/>
            </w:tcBorders>
          </w:tcPr>
          <w:p w14:paraId="78204782" w14:textId="77777777" w:rsidR="00A943E4" w:rsidRPr="003B3105" w:rsidRDefault="0027008E">
            <w:pPr>
              <w:spacing w:line="360" w:lineRule="exact"/>
              <w:ind w:left="486" w:hangingChars="187" w:hanging="486"/>
              <w:rPr>
                <w:rFonts w:ascii="新細明體" w:eastAsia="新細明體" w:hAnsi="新細明體" w:cs="Times New Roman"/>
              </w:rPr>
            </w:pPr>
            <w:r>
              <w:rPr>
                <w:rFonts w:ascii="新細明體" w:eastAsia="新細明體" w:hAnsi="新細明體" w:cs="新細明體" w:hint="eastAsia"/>
                <w:color w:val="000000"/>
              </w:rPr>
              <w:t>一、法令規章：</w:t>
            </w:r>
          </w:p>
        </w:tc>
        <w:tc>
          <w:tcPr>
            <w:tcW w:w="2023" w:type="dxa"/>
            <w:vMerge w:val="restart"/>
            <w:tcBorders>
              <w:top w:val="single" w:sz="12" w:space="0" w:color="auto"/>
              <w:right w:val="single" w:sz="12" w:space="0" w:color="auto"/>
            </w:tcBorders>
          </w:tcPr>
          <w:p w14:paraId="09643041" w14:textId="77777777" w:rsidR="00A943E4" w:rsidRPr="00F6439B" w:rsidRDefault="00A943E4">
            <w:pPr>
              <w:spacing w:line="360" w:lineRule="exact"/>
              <w:ind w:left="28" w:right="28"/>
              <w:rPr>
                <w:rFonts w:ascii="新細明體" w:eastAsia="新細明體" w:hAnsi="新細明體"/>
              </w:rPr>
            </w:pPr>
            <w:r>
              <w:rPr>
                <w:rFonts w:ascii="新細明體" w:eastAsia="新細明體" w:hAnsi="新細明體" w:cs="Times New Roman" w:hint="eastAsia"/>
                <w:color w:val="FF0000"/>
                <w:spacing w:val="20"/>
                <w:szCs w:val="20"/>
                <w:u w:val="single"/>
              </w:rPr>
              <w:t>配合主管機關函令修正。</w:t>
            </w:r>
          </w:p>
        </w:tc>
      </w:tr>
      <w:tr w:rsidR="00A943E4" w:rsidRPr="00F6439B" w14:paraId="1A27058D" w14:textId="77777777">
        <w:tc>
          <w:tcPr>
            <w:tcW w:w="1384" w:type="dxa"/>
            <w:vMerge/>
            <w:tcBorders>
              <w:left w:val="single" w:sz="12" w:space="0" w:color="auto"/>
            </w:tcBorders>
          </w:tcPr>
          <w:p w14:paraId="6E397F79" w14:textId="77777777" w:rsidR="00A943E4" w:rsidRDefault="00A943E4">
            <w:pPr>
              <w:rPr>
                <w:rFonts w:ascii="新細明體" w:eastAsia="新細明體" w:hAnsi="新細明體"/>
              </w:rPr>
            </w:pPr>
          </w:p>
        </w:tc>
        <w:tc>
          <w:tcPr>
            <w:tcW w:w="1276" w:type="dxa"/>
            <w:vMerge/>
          </w:tcPr>
          <w:p w14:paraId="2EDC399F" w14:textId="77777777" w:rsidR="00A943E4" w:rsidRDefault="00A943E4">
            <w:pPr>
              <w:rPr>
                <w:rFonts w:ascii="新細明體" w:eastAsia="新細明體" w:hAnsi="新細明體"/>
              </w:rPr>
            </w:pPr>
          </w:p>
        </w:tc>
        <w:tc>
          <w:tcPr>
            <w:tcW w:w="5386" w:type="dxa"/>
            <w:tcBorders>
              <w:top w:val="nil"/>
              <w:bottom w:val="nil"/>
            </w:tcBorders>
          </w:tcPr>
          <w:p w14:paraId="519B5B8F"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(一)刪除</w:t>
            </w:r>
          </w:p>
        </w:tc>
        <w:tc>
          <w:tcPr>
            <w:tcW w:w="5387" w:type="dxa"/>
            <w:tcBorders>
              <w:top w:val="nil"/>
              <w:bottom w:val="nil"/>
            </w:tcBorders>
          </w:tcPr>
          <w:p w14:paraId="50144BC6"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(一)刪除</w:t>
            </w:r>
          </w:p>
        </w:tc>
        <w:tc>
          <w:tcPr>
            <w:tcW w:w="2023" w:type="dxa"/>
            <w:vMerge/>
            <w:tcBorders>
              <w:right w:val="single" w:sz="12" w:space="0" w:color="auto"/>
            </w:tcBorders>
          </w:tcPr>
          <w:p w14:paraId="35ABC811"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18F1D52F" w14:textId="77777777">
        <w:tc>
          <w:tcPr>
            <w:tcW w:w="1384" w:type="dxa"/>
            <w:vMerge/>
            <w:tcBorders>
              <w:left w:val="single" w:sz="12" w:space="0" w:color="auto"/>
            </w:tcBorders>
          </w:tcPr>
          <w:p w14:paraId="660CAFBD" w14:textId="77777777" w:rsidR="00A943E4" w:rsidRDefault="00A943E4">
            <w:pPr>
              <w:rPr>
                <w:rFonts w:ascii="新細明體" w:eastAsia="新細明體" w:hAnsi="新細明體"/>
              </w:rPr>
            </w:pPr>
          </w:p>
        </w:tc>
        <w:tc>
          <w:tcPr>
            <w:tcW w:w="1276" w:type="dxa"/>
            <w:vMerge/>
          </w:tcPr>
          <w:p w14:paraId="0FBEC45F" w14:textId="77777777" w:rsidR="00A943E4" w:rsidRDefault="00A943E4">
            <w:pPr>
              <w:rPr>
                <w:rFonts w:ascii="新細明體" w:eastAsia="新細明體" w:hAnsi="新細明體"/>
              </w:rPr>
            </w:pPr>
          </w:p>
        </w:tc>
        <w:tc>
          <w:tcPr>
            <w:tcW w:w="5386" w:type="dxa"/>
            <w:tcBorders>
              <w:top w:val="nil"/>
              <w:bottom w:val="nil"/>
            </w:tcBorders>
          </w:tcPr>
          <w:p w14:paraId="24803AC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(二)證期會80年 3月 2日(80)台財證(一)第00447號函</w:t>
            </w:r>
          </w:p>
        </w:tc>
        <w:tc>
          <w:tcPr>
            <w:tcW w:w="5387" w:type="dxa"/>
            <w:tcBorders>
              <w:top w:val="nil"/>
              <w:bottom w:val="nil"/>
            </w:tcBorders>
          </w:tcPr>
          <w:p w14:paraId="665B4B44"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(二)證期會80年 3月 2日(80)台財證(一)第00447號函</w:t>
            </w:r>
          </w:p>
        </w:tc>
        <w:tc>
          <w:tcPr>
            <w:tcW w:w="2023" w:type="dxa"/>
            <w:vMerge/>
            <w:tcBorders>
              <w:right w:val="single" w:sz="12" w:space="0" w:color="auto"/>
            </w:tcBorders>
          </w:tcPr>
          <w:p w14:paraId="5763564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77F659A0" w14:textId="77777777">
        <w:tc>
          <w:tcPr>
            <w:tcW w:w="1384" w:type="dxa"/>
            <w:vMerge/>
            <w:tcBorders>
              <w:left w:val="single" w:sz="12" w:space="0" w:color="auto"/>
            </w:tcBorders>
          </w:tcPr>
          <w:p w14:paraId="108C3B6D" w14:textId="77777777" w:rsidR="00A943E4" w:rsidRDefault="00A943E4">
            <w:pPr>
              <w:rPr>
                <w:rFonts w:ascii="新細明體" w:eastAsia="新細明體" w:hAnsi="新細明體"/>
              </w:rPr>
            </w:pPr>
          </w:p>
        </w:tc>
        <w:tc>
          <w:tcPr>
            <w:tcW w:w="1276" w:type="dxa"/>
            <w:vMerge/>
          </w:tcPr>
          <w:p w14:paraId="6ED085C8" w14:textId="77777777" w:rsidR="00A943E4" w:rsidRDefault="00A943E4">
            <w:pPr>
              <w:rPr>
                <w:rFonts w:ascii="新細明體" w:eastAsia="新細明體" w:hAnsi="新細明體"/>
              </w:rPr>
            </w:pPr>
          </w:p>
        </w:tc>
        <w:tc>
          <w:tcPr>
            <w:tcW w:w="5386" w:type="dxa"/>
            <w:tcBorders>
              <w:top w:val="nil"/>
              <w:bottom w:val="nil"/>
            </w:tcBorders>
          </w:tcPr>
          <w:p w14:paraId="50A94AE8"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(三)審計準則560號、501號</w:t>
            </w:r>
          </w:p>
        </w:tc>
        <w:tc>
          <w:tcPr>
            <w:tcW w:w="5387" w:type="dxa"/>
            <w:tcBorders>
              <w:top w:val="nil"/>
              <w:bottom w:val="nil"/>
            </w:tcBorders>
          </w:tcPr>
          <w:p w14:paraId="09AB8CDD"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(三)審計準則560號、501號</w:t>
            </w:r>
          </w:p>
        </w:tc>
        <w:tc>
          <w:tcPr>
            <w:tcW w:w="2023" w:type="dxa"/>
            <w:vMerge/>
            <w:tcBorders>
              <w:right w:val="single" w:sz="12" w:space="0" w:color="auto"/>
            </w:tcBorders>
          </w:tcPr>
          <w:p w14:paraId="1547A0F3"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3DB9C84A" w14:textId="77777777">
        <w:tc>
          <w:tcPr>
            <w:tcW w:w="1384" w:type="dxa"/>
            <w:vMerge/>
            <w:tcBorders>
              <w:left w:val="single" w:sz="12" w:space="0" w:color="auto"/>
            </w:tcBorders>
          </w:tcPr>
          <w:p w14:paraId="40D936AD" w14:textId="77777777" w:rsidR="00A943E4" w:rsidRDefault="00A943E4">
            <w:pPr>
              <w:rPr>
                <w:rFonts w:ascii="新細明體" w:eastAsia="新細明體" w:hAnsi="新細明體"/>
              </w:rPr>
            </w:pPr>
          </w:p>
        </w:tc>
        <w:tc>
          <w:tcPr>
            <w:tcW w:w="1276" w:type="dxa"/>
            <w:vMerge/>
          </w:tcPr>
          <w:p w14:paraId="681365E2" w14:textId="77777777" w:rsidR="00A943E4" w:rsidRDefault="00A943E4">
            <w:pPr>
              <w:rPr>
                <w:rFonts w:ascii="新細明體" w:eastAsia="新細明體" w:hAnsi="新細明體"/>
              </w:rPr>
            </w:pPr>
          </w:p>
        </w:tc>
        <w:tc>
          <w:tcPr>
            <w:tcW w:w="5386" w:type="dxa"/>
            <w:tcBorders>
              <w:top w:val="nil"/>
              <w:bottom w:val="nil"/>
            </w:tcBorders>
          </w:tcPr>
          <w:p w14:paraId="4B38838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(四)一般公認會計原則</w:t>
            </w:r>
          </w:p>
        </w:tc>
        <w:tc>
          <w:tcPr>
            <w:tcW w:w="5387" w:type="dxa"/>
            <w:tcBorders>
              <w:top w:val="nil"/>
              <w:bottom w:val="nil"/>
            </w:tcBorders>
          </w:tcPr>
          <w:p w14:paraId="521B2950"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(四)一般公認會計原則</w:t>
            </w:r>
          </w:p>
        </w:tc>
        <w:tc>
          <w:tcPr>
            <w:tcW w:w="2023" w:type="dxa"/>
            <w:vMerge/>
            <w:tcBorders>
              <w:right w:val="single" w:sz="12" w:space="0" w:color="auto"/>
            </w:tcBorders>
          </w:tcPr>
          <w:p w14:paraId="770CB64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49467A07" w14:textId="77777777">
        <w:tc>
          <w:tcPr>
            <w:tcW w:w="1384" w:type="dxa"/>
            <w:vMerge/>
            <w:tcBorders>
              <w:left w:val="single" w:sz="12" w:space="0" w:color="auto"/>
            </w:tcBorders>
          </w:tcPr>
          <w:p w14:paraId="1B459A86" w14:textId="77777777" w:rsidR="00A943E4" w:rsidRDefault="00A943E4">
            <w:pPr>
              <w:rPr>
                <w:rFonts w:ascii="新細明體" w:eastAsia="新細明體" w:hAnsi="新細明體"/>
              </w:rPr>
            </w:pPr>
          </w:p>
        </w:tc>
        <w:tc>
          <w:tcPr>
            <w:tcW w:w="1276" w:type="dxa"/>
            <w:vMerge/>
          </w:tcPr>
          <w:p w14:paraId="5845BFC6" w14:textId="77777777" w:rsidR="00A943E4" w:rsidRDefault="00A943E4">
            <w:pPr>
              <w:rPr>
                <w:rFonts w:ascii="新細明體" w:eastAsia="新細明體" w:hAnsi="新細明體"/>
              </w:rPr>
            </w:pPr>
          </w:p>
        </w:tc>
        <w:tc>
          <w:tcPr>
            <w:tcW w:w="5386" w:type="dxa"/>
            <w:tcBorders>
              <w:top w:val="nil"/>
              <w:bottom w:val="nil"/>
            </w:tcBorders>
          </w:tcPr>
          <w:p w14:paraId="06DAF882"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w:t>
            </w:r>
            <w:r>
              <w:rPr>
                <w:rFonts w:ascii="新細明體" w:eastAsia="新細明體" w:hAnsi="新細明體" w:cs="新細明體" w:hint="eastAsia"/>
                <w:b/>
                <w:color w:val="FF0000"/>
                <w:u w:val="single"/>
              </w:rPr>
              <w:t>14</w:t>
            </w:r>
            <w:r>
              <w:rPr>
                <w:rFonts w:ascii="新細明體" w:eastAsia="新細明體" w:hAnsi="新細明體" w:cs="新細明體" w:hint="eastAsia"/>
              </w:rPr>
              <w:t>年</w:t>
            </w:r>
            <w:r>
              <w:rPr>
                <w:rFonts w:ascii="新細明體" w:eastAsia="新細明體" w:hAnsi="新細明體" w:cs="新細明體" w:hint="eastAsia"/>
                <w:b/>
                <w:color w:val="FF0000"/>
                <w:u w:val="single"/>
              </w:rPr>
              <w:t>6</w:t>
            </w:r>
            <w:r>
              <w:rPr>
                <w:rFonts w:ascii="新細明體" w:eastAsia="新細明體" w:hAnsi="新細明體" w:cs="新細明體" w:hint="eastAsia"/>
              </w:rPr>
              <w:t>月</w:t>
            </w:r>
            <w:r>
              <w:rPr>
                <w:rFonts w:ascii="新細明體" w:eastAsia="新細明體" w:hAnsi="新細明體" w:cs="新細明體" w:hint="eastAsia"/>
                <w:b/>
                <w:color w:val="FF0000"/>
                <w:u w:val="single"/>
              </w:rPr>
              <w:t>27</w:t>
            </w:r>
            <w:r>
              <w:rPr>
                <w:rFonts w:ascii="新細明體" w:eastAsia="新細明體" w:hAnsi="新細明體" w:cs="新細明體" w:hint="eastAsia"/>
              </w:rPr>
              <w:t>日金管證券字第</w:t>
            </w:r>
            <w:r>
              <w:rPr>
                <w:rFonts w:ascii="新細明體" w:eastAsia="新細明體" w:hAnsi="新細明體" w:cs="新細明體" w:hint="eastAsia"/>
                <w:b/>
                <w:color w:val="FF0000"/>
                <w:u w:val="single"/>
              </w:rPr>
              <w:t>1</w:t>
            </w:r>
            <w:r>
              <w:rPr>
                <w:rFonts w:ascii="新細明體" w:eastAsia="新細明體" w:hAnsi="新細明體" w:cs="新細明體" w:hint="eastAsia"/>
              </w:rPr>
              <w:t>1</w:t>
            </w:r>
            <w:r>
              <w:rPr>
                <w:rFonts w:ascii="新細明體" w:eastAsia="新細明體" w:hAnsi="新細明體" w:cs="新細明體" w:hint="eastAsia"/>
                <w:b/>
                <w:color w:val="FF0000"/>
                <w:u w:val="single"/>
              </w:rPr>
              <w:t>4</w:t>
            </w:r>
            <w:r>
              <w:rPr>
                <w:rFonts w:ascii="新細明體" w:eastAsia="新細明體" w:hAnsi="新細明體" w:cs="新細明體" w:hint="eastAsia"/>
              </w:rPr>
              <w:t>0</w:t>
            </w:r>
            <w:r>
              <w:rPr>
                <w:rFonts w:ascii="新細明體" w:eastAsia="新細明體" w:hAnsi="新細明體" w:cs="新細明體" w:hint="eastAsia"/>
                <w:b/>
                <w:color w:val="FF0000"/>
                <w:u w:val="single"/>
              </w:rPr>
              <w:t>382</w:t>
            </w:r>
            <w:r>
              <w:rPr>
                <w:rFonts w:ascii="新細明體" w:eastAsia="新細明體" w:hAnsi="新細明體" w:cs="新細明體" w:hint="eastAsia"/>
              </w:rPr>
              <w:t>3</w:t>
            </w:r>
            <w:r>
              <w:rPr>
                <w:rFonts w:ascii="新細明體" w:eastAsia="新細明體" w:hAnsi="新細明體" w:cs="新細明體" w:hint="eastAsia"/>
                <w:b/>
                <w:color w:val="FF0000"/>
                <w:u w:val="single"/>
              </w:rPr>
              <w:t>5</w:t>
            </w:r>
            <w:r>
              <w:rPr>
                <w:rFonts w:ascii="新細明體" w:eastAsia="新細明體" w:hAnsi="新細明體" w:cs="新細明體" w:hint="eastAsia"/>
              </w:rPr>
              <w:t>4號令</w:t>
            </w:r>
          </w:p>
        </w:tc>
        <w:tc>
          <w:tcPr>
            <w:tcW w:w="5387" w:type="dxa"/>
            <w:tcBorders>
              <w:top w:val="nil"/>
              <w:bottom w:val="nil"/>
            </w:tcBorders>
          </w:tcPr>
          <w:p w14:paraId="197C4415"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(五)金管會1</w:t>
            </w:r>
            <w:r>
              <w:rPr>
                <w:rFonts w:ascii="新細明體" w:eastAsia="新細明體" w:hAnsi="新細明體" w:cs="新細明體" w:hint="eastAsia"/>
                <w:b/>
                <w:color w:val="FF0000"/>
              </w:rPr>
              <w:t>09</w:t>
            </w:r>
            <w:r>
              <w:rPr>
                <w:rFonts w:ascii="新細明體" w:eastAsia="新細明體" w:hAnsi="新細明體" w:cs="新細明體" w:hint="eastAsia"/>
              </w:rPr>
              <w:t>年</w:t>
            </w:r>
            <w:r>
              <w:rPr>
                <w:rFonts w:ascii="新細明體" w:eastAsia="新細明體" w:hAnsi="新細明體" w:cs="新細明體" w:hint="eastAsia"/>
                <w:b/>
                <w:color w:val="FF0000"/>
              </w:rPr>
              <w:t>9</w:t>
            </w:r>
            <w:r>
              <w:rPr>
                <w:rFonts w:ascii="新細明體" w:eastAsia="新細明體" w:hAnsi="新細明體" w:cs="新細明體" w:hint="eastAsia"/>
              </w:rPr>
              <w:t>月</w:t>
            </w:r>
            <w:r>
              <w:rPr>
                <w:rFonts w:ascii="新細明體" w:eastAsia="新細明體" w:hAnsi="新細明體" w:cs="新細明體" w:hint="eastAsia"/>
                <w:b/>
                <w:color w:val="FF0000"/>
              </w:rPr>
              <w:t>10</w:t>
            </w:r>
            <w:r>
              <w:rPr>
                <w:rFonts w:ascii="新細明體" w:eastAsia="新細明體" w:hAnsi="新細明體" w:cs="新細明體" w:hint="eastAsia"/>
              </w:rPr>
              <w:t>日金管證券字第10</w:t>
            </w:r>
            <w:r>
              <w:rPr>
                <w:rFonts w:ascii="新細明體" w:eastAsia="新細明體" w:hAnsi="新細明體" w:cs="新細明體" w:hint="eastAsia"/>
                <w:b/>
                <w:color w:val="FF0000"/>
              </w:rPr>
              <w:t>90</w:t>
            </w:r>
            <w:r>
              <w:rPr>
                <w:rFonts w:ascii="新細明體" w:eastAsia="新細明體" w:hAnsi="新細明體" w:cs="新細明體" w:hint="eastAsia"/>
              </w:rPr>
              <w:t>3</w:t>
            </w:r>
            <w:r>
              <w:rPr>
                <w:rFonts w:ascii="新細明體" w:eastAsia="新細明體" w:hAnsi="新細明體" w:cs="新細明體" w:hint="eastAsia"/>
                <w:b/>
                <w:color w:val="FF0000"/>
              </w:rPr>
              <w:t>6</w:t>
            </w:r>
            <w:r>
              <w:rPr>
                <w:rFonts w:ascii="新細明體" w:eastAsia="新細明體" w:hAnsi="新細明體" w:cs="新細明體" w:hint="eastAsia"/>
              </w:rPr>
              <w:t>4</w:t>
            </w:r>
            <w:r>
              <w:rPr>
                <w:rFonts w:ascii="新細明體" w:eastAsia="新細明體" w:hAnsi="新細明體" w:cs="新細明體" w:hint="eastAsia"/>
                <w:b/>
                <w:color w:val="FF0000"/>
              </w:rPr>
              <w:t>1202</w:t>
            </w:r>
            <w:r>
              <w:rPr>
                <w:rFonts w:ascii="新細明體" w:eastAsia="新細明體" w:hAnsi="新細明體" w:cs="新細明體" w:hint="eastAsia"/>
              </w:rPr>
              <w:t>號令</w:t>
            </w:r>
          </w:p>
        </w:tc>
        <w:tc>
          <w:tcPr>
            <w:tcW w:w="2023" w:type="dxa"/>
            <w:vMerge/>
            <w:tcBorders>
              <w:right w:val="single" w:sz="12" w:space="0" w:color="auto"/>
            </w:tcBorders>
          </w:tcPr>
          <w:p w14:paraId="4F4C9D97"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r w:rsidR="00A943E4" w:rsidRPr="00F6439B" w14:paraId="5CBBB0C7" w14:textId="77777777">
        <w:tc>
          <w:tcPr>
            <w:tcW w:w="1384" w:type="dxa"/>
            <w:vMerge/>
            <w:tcBorders>
              <w:left w:val="single" w:sz="12" w:space="0" w:color="auto"/>
              <w:bottom w:val="single" w:sz="12" w:space="0" w:color="auto"/>
            </w:tcBorders>
          </w:tcPr>
          <w:p w14:paraId="2FC44605" w14:textId="77777777" w:rsidR="00A943E4" w:rsidRDefault="00A943E4">
            <w:pPr>
              <w:rPr>
                <w:rFonts w:ascii="新細明體" w:eastAsia="新細明體" w:hAnsi="新細明體"/>
              </w:rPr>
            </w:pPr>
          </w:p>
        </w:tc>
        <w:tc>
          <w:tcPr>
            <w:tcW w:w="1276" w:type="dxa"/>
            <w:vMerge/>
            <w:tcBorders>
              <w:bottom w:val="single" w:sz="12" w:space="0" w:color="auto"/>
            </w:tcBorders>
          </w:tcPr>
          <w:p w14:paraId="17BF01BD" w14:textId="77777777" w:rsidR="00A943E4" w:rsidRDefault="00A943E4">
            <w:pPr>
              <w:rPr>
                <w:rFonts w:ascii="新細明體" w:eastAsia="新細明體" w:hAnsi="新細明體"/>
              </w:rPr>
            </w:pPr>
          </w:p>
        </w:tc>
        <w:tc>
          <w:tcPr>
            <w:tcW w:w="5386" w:type="dxa"/>
            <w:tcBorders>
              <w:top w:val="nil"/>
              <w:bottom w:val="single" w:sz="12" w:space="0" w:color="auto"/>
            </w:tcBorders>
          </w:tcPr>
          <w:p w14:paraId="15B273EC"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(六)證交所97年7月23日臺證稽字第0970020363號公告、櫃檯買賣中心97年7月25日證櫃交字第0970018808號公告</w:t>
            </w:r>
          </w:p>
        </w:tc>
        <w:tc>
          <w:tcPr>
            <w:tcW w:w="5387" w:type="dxa"/>
            <w:tcBorders>
              <w:top w:val="nil"/>
              <w:bottom w:val="single" w:sz="12" w:space="0" w:color="auto"/>
            </w:tcBorders>
          </w:tcPr>
          <w:p w14:paraId="7A15EA6A" w14:textId="77777777" w:rsidR="00A943E4" w:rsidRPr="00F6439B" w:rsidRDefault="0027008E">
            <w:pPr>
              <w:spacing w:line="360" w:lineRule="exact"/>
              <w:ind w:leftChars="99" w:left="691" w:hangingChars="167" w:hanging="434"/>
              <w:rPr>
                <w:rFonts w:ascii="新細明體" w:eastAsia="新細明體" w:hAnsi="新細明體" w:cs="新細明體"/>
              </w:rPr>
            </w:pPr>
            <w:r>
              <w:rPr>
                <w:rFonts w:ascii="新細明體" w:eastAsia="新細明體" w:hAnsi="新細明體" w:cs="新細明體" w:hint="eastAsia"/>
              </w:rPr>
              <w:t>(六)證交所97年7月23日臺證稽字第0970020363號公告、櫃檯買賣中心97年7月25日證櫃交字第0970018808號公告</w:t>
            </w:r>
          </w:p>
        </w:tc>
        <w:tc>
          <w:tcPr>
            <w:tcW w:w="2023" w:type="dxa"/>
            <w:vMerge/>
            <w:tcBorders>
              <w:bottom w:val="single" w:sz="12" w:space="0" w:color="auto"/>
              <w:right w:val="single" w:sz="12" w:space="0" w:color="auto"/>
            </w:tcBorders>
          </w:tcPr>
          <w:p w14:paraId="35CEE1DD" w14:textId="77777777" w:rsidR="00A943E4" w:rsidRDefault="00A943E4">
            <w:pPr>
              <w:spacing w:line="360" w:lineRule="exact"/>
              <w:ind w:left="28" w:right="28"/>
              <w:rPr>
                <w:rFonts w:ascii="新細明體" w:eastAsia="新細明體" w:hAnsi="新細明體" w:cs="Times New Roman"/>
                <w:color w:val="FF0000"/>
                <w:spacing w:val="20"/>
                <w:szCs w:val="20"/>
                <w:u w:val="single"/>
              </w:rPr>
            </w:pPr>
          </w:p>
        </w:tc>
      </w:tr>
    </w:tbl>
    <w:p w14:paraId="2779A5CD" w14:textId="77777777" w:rsidR="00E87601" w:rsidRPr="00FB3CAF" w:rsidRDefault="00E87601">
      <w:pPr>
        <w:spacing w:line="360" w:lineRule="exact"/>
        <w:rPr>
          <w:rFonts w:ascii="新細明體" w:eastAsia="新細明體" w:hAnsi="新細明體" w:cs="Times New Roman"/>
        </w:rPr>
      </w:pPr>
    </w:p>
    <w:sectPr w:rsidR="00E87601" w:rsidRPr="00FB3CAF" w:rsidSect="00A24FFC">
      <w:pgSz w:w="16840" w:h="11907" w:orient="landscape" w:code="9"/>
      <w:pgMar w:top="720" w:right="720" w:bottom="720" w:left="720"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D51ED" w14:textId="77777777" w:rsidR="00DD7B56" w:rsidRDefault="00DD7B56" w:rsidP="00E87601">
      <w:pPr>
        <w:spacing w:line="240" w:lineRule="auto"/>
      </w:pPr>
      <w:r>
        <w:separator/>
      </w:r>
    </w:p>
  </w:endnote>
  <w:endnote w:type="continuationSeparator" w:id="0">
    <w:p w14:paraId="0033AA67" w14:textId="77777777" w:rsidR="00DD7B56" w:rsidRDefault="00DD7B56" w:rsidP="00E8760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39889" w14:textId="77777777" w:rsidR="00DD7B56" w:rsidRDefault="00DD7B56" w:rsidP="00E87601">
      <w:pPr>
        <w:spacing w:line="240" w:lineRule="auto"/>
      </w:pPr>
      <w:r>
        <w:separator/>
      </w:r>
    </w:p>
  </w:footnote>
  <w:footnote w:type="continuationSeparator" w:id="0">
    <w:p w14:paraId="70ED96CA" w14:textId="77777777" w:rsidR="00DD7B56" w:rsidRDefault="00DD7B56" w:rsidP="00E8760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A718B"/>
    <w:multiLevelType w:val="multilevel"/>
    <w:tmpl w:val="508CA08A"/>
    <w:lvl w:ilvl="0">
      <w:start w:val="1"/>
      <w:numFmt w:val="taiwaneseCountingThousand"/>
      <w:lvlText w:val="（%1）"/>
      <w:lvlJc w:val="left"/>
      <w:pPr>
        <w:tabs>
          <w:tab w:val="num" w:pos="2672"/>
        </w:tabs>
        <w:ind w:left="2672" w:hanging="840"/>
      </w:pPr>
      <w:rPr>
        <w:rFonts w:cs="Times New Roman" w:hint="eastAsia"/>
      </w:rPr>
    </w:lvl>
    <w:lvl w:ilvl="1">
      <w:start w:val="1"/>
      <w:numFmt w:val="ideographTraditional"/>
      <w:lvlText w:val="%2、"/>
      <w:lvlJc w:val="left"/>
      <w:pPr>
        <w:tabs>
          <w:tab w:val="num" w:pos="2792"/>
        </w:tabs>
        <w:ind w:left="2792" w:hanging="480"/>
      </w:pPr>
      <w:rPr>
        <w:rFonts w:cs="Times New Roman"/>
      </w:rPr>
    </w:lvl>
    <w:lvl w:ilvl="2">
      <w:start w:val="1"/>
      <w:numFmt w:val="lowerRoman"/>
      <w:lvlText w:val="%3."/>
      <w:lvlJc w:val="right"/>
      <w:pPr>
        <w:tabs>
          <w:tab w:val="num" w:pos="3272"/>
        </w:tabs>
        <w:ind w:left="3272" w:hanging="480"/>
      </w:pPr>
      <w:rPr>
        <w:rFonts w:cs="Times New Roman"/>
      </w:rPr>
    </w:lvl>
    <w:lvl w:ilvl="3">
      <w:start w:val="1"/>
      <w:numFmt w:val="decimal"/>
      <w:lvlText w:val="%4."/>
      <w:lvlJc w:val="left"/>
      <w:pPr>
        <w:tabs>
          <w:tab w:val="num" w:pos="3752"/>
        </w:tabs>
        <w:ind w:left="3752" w:hanging="480"/>
      </w:pPr>
      <w:rPr>
        <w:rFonts w:cs="Times New Roman"/>
      </w:rPr>
    </w:lvl>
    <w:lvl w:ilvl="4">
      <w:start w:val="1"/>
      <w:numFmt w:val="ideographTraditional"/>
      <w:lvlText w:val="%5、"/>
      <w:lvlJc w:val="left"/>
      <w:pPr>
        <w:tabs>
          <w:tab w:val="num" w:pos="4232"/>
        </w:tabs>
        <w:ind w:left="4232" w:hanging="480"/>
      </w:pPr>
      <w:rPr>
        <w:rFonts w:cs="Times New Roman"/>
      </w:rPr>
    </w:lvl>
    <w:lvl w:ilvl="5">
      <w:start w:val="1"/>
      <w:numFmt w:val="lowerRoman"/>
      <w:lvlText w:val="%6."/>
      <w:lvlJc w:val="right"/>
      <w:pPr>
        <w:tabs>
          <w:tab w:val="num" w:pos="4712"/>
        </w:tabs>
        <w:ind w:left="4712" w:hanging="480"/>
      </w:pPr>
      <w:rPr>
        <w:rFonts w:cs="Times New Roman"/>
      </w:rPr>
    </w:lvl>
    <w:lvl w:ilvl="6">
      <w:start w:val="1"/>
      <w:numFmt w:val="decimal"/>
      <w:lvlText w:val="%7."/>
      <w:lvlJc w:val="left"/>
      <w:pPr>
        <w:tabs>
          <w:tab w:val="num" w:pos="5192"/>
        </w:tabs>
        <w:ind w:left="5192" w:hanging="480"/>
      </w:pPr>
      <w:rPr>
        <w:rFonts w:cs="Times New Roman"/>
      </w:rPr>
    </w:lvl>
    <w:lvl w:ilvl="7">
      <w:start w:val="1"/>
      <w:numFmt w:val="ideographTraditional"/>
      <w:lvlText w:val="%8、"/>
      <w:lvlJc w:val="left"/>
      <w:pPr>
        <w:tabs>
          <w:tab w:val="num" w:pos="5672"/>
        </w:tabs>
        <w:ind w:left="5672" w:hanging="480"/>
      </w:pPr>
      <w:rPr>
        <w:rFonts w:cs="Times New Roman"/>
      </w:rPr>
    </w:lvl>
    <w:lvl w:ilvl="8">
      <w:start w:val="1"/>
      <w:numFmt w:val="lowerRoman"/>
      <w:lvlText w:val="%9."/>
      <w:lvlJc w:val="right"/>
      <w:pPr>
        <w:tabs>
          <w:tab w:val="num" w:pos="6152"/>
        </w:tabs>
        <w:ind w:left="6152" w:hanging="480"/>
      </w:pPr>
      <w:rPr>
        <w:rFonts w:cs="Times New Roman"/>
      </w:rPr>
    </w:lvl>
  </w:abstractNum>
  <w:abstractNum w:abstractNumId="1" w15:restartNumberingAfterBreak="0">
    <w:nsid w:val="10DB4ADC"/>
    <w:multiLevelType w:val="singleLevel"/>
    <w:tmpl w:val="17EC2A1C"/>
    <w:lvl w:ilvl="0">
      <w:start w:val="1"/>
      <w:numFmt w:val="taiwaneseCountingThousand"/>
      <w:lvlText w:val="（%1）"/>
      <w:lvlJc w:val="left"/>
      <w:pPr>
        <w:tabs>
          <w:tab w:val="num" w:pos="904"/>
        </w:tabs>
        <w:ind w:left="904" w:hanging="876"/>
      </w:pPr>
      <w:rPr>
        <w:rFonts w:cs="Times New Roman" w:hint="eastAsia"/>
      </w:rPr>
    </w:lvl>
  </w:abstractNum>
  <w:abstractNum w:abstractNumId="2" w15:restartNumberingAfterBreak="0">
    <w:nsid w:val="122D758D"/>
    <w:multiLevelType w:val="singleLevel"/>
    <w:tmpl w:val="D83E8314"/>
    <w:lvl w:ilvl="0">
      <w:start w:val="1"/>
      <w:numFmt w:val="decimal"/>
      <w:lvlText w:val="%1."/>
      <w:lvlJc w:val="left"/>
      <w:pPr>
        <w:tabs>
          <w:tab w:val="num" w:pos="1007"/>
        </w:tabs>
        <w:ind w:left="1007" w:hanging="195"/>
      </w:pPr>
      <w:rPr>
        <w:rFonts w:ascii="新細明體" w:eastAsia="新細明體" w:cs="Times New Roman" w:hint="eastAsia"/>
        <w:color w:val="FF0000"/>
        <w:u w:val="single"/>
      </w:rPr>
    </w:lvl>
  </w:abstractNum>
  <w:abstractNum w:abstractNumId="3" w15:restartNumberingAfterBreak="0">
    <w:nsid w:val="136E18A7"/>
    <w:multiLevelType w:val="singleLevel"/>
    <w:tmpl w:val="F2BEE7CE"/>
    <w:lvl w:ilvl="0">
      <w:start w:val="1"/>
      <w:numFmt w:val="decimal"/>
      <w:lvlText w:val="%1."/>
      <w:lvlJc w:val="left"/>
      <w:pPr>
        <w:tabs>
          <w:tab w:val="num" w:pos="747"/>
        </w:tabs>
        <w:ind w:left="747" w:hanging="195"/>
      </w:pPr>
      <w:rPr>
        <w:rFonts w:cs="Times New Roman" w:hint="eastAsia"/>
      </w:rPr>
    </w:lvl>
  </w:abstractNum>
  <w:abstractNum w:abstractNumId="4" w15:restartNumberingAfterBreak="0">
    <w:nsid w:val="16975A5D"/>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5" w15:restartNumberingAfterBreak="0">
    <w:nsid w:val="22B5442D"/>
    <w:multiLevelType w:val="singleLevel"/>
    <w:tmpl w:val="89702BA4"/>
    <w:lvl w:ilvl="0">
      <w:start w:val="1"/>
      <w:numFmt w:val="decimal"/>
      <w:lvlText w:val="%1."/>
      <w:lvlJc w:val="left"/>
      <w:pPr>
        <w:tabs>
          <w:tab w:val="num" w:pos="1084"/>
        </w:tabs>
        <w:ind w:left="1084" w:hanging="384"/>
      </w:pPr>
      <w:rPr>
        <w:rFonts w:ascii="新細明體" w:eastAsia="新細明體" w:cs="Times New Roman" w:hint="eastAsia"/>
      </w:rPr>
    </w:lvl>
  </w:abstractNum>
  <w:abstractNum w:abstractNumId="6" w15:restartNumberingAfterBreak="0">
    <w:nsid w:val="32EA67CF"/>
    <w:multiLevelType w:val="singleLevel"/>
    <w:tmpl w:val="60E831F0"/>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7" w15:restartNumberingAfterBreak="0">
    <w:nsid w:val="3A41225B"/>
    <w:multiLevelType w:val="singleLevel"/>
    <w:tmpl w:val="5A4EFA4E"/>
    <w:lvl w:ilvl="0">
      <w:start w:val="1"/>
      <w:numFmt w:val="decimal"/>
      <w:lvlText w:val="%1."/>
      <w:lvlJc w:val="left"/>
      <w:pPr>
        <w:tabs>
          <w:tab w:val="num" w:pos="1108"/>
        </w:tabs>
        <w:ind w:left="1108" w:hanging="405"/>
      </w:pPr>
      <w:rPr>
        <w:rFonts w:cs="Times New Roman" w:hint="eastAsia"/>
      </w:rPr>
    </w:lvl>
  </w:abstractNum>
  <w:abstractNum w:abstractNumId="8" w15:restartNumberingAfterBreak="0">
    <w:nsid w:val="41CC78C5"/>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9" w15:restartNumberingAfterBreak="0">
    <w:nsid w:val="52D33297"/>
    <w:multiLevelType w:val="singleLevel"/>
    <w:tmpl w:val="FAEE3386"/>
    <w:lvl w:ilvl="0">
      <w:start w:val="1"/>
      <w:numFmt w:val="decimal"/>
      <w:lvlText w:val="%1."/>
      <w:lvlJc w:val="left"/>
      <w:pPr>
        <w:tabs>
          <w:tab w:val="num" w:pos="877"/>
        </w:tabs>
        <w:ind w:left="877" w:hanging="195"/>
      </w:pPr>
      <w:rPr>
        <w:rFonts w:cs="Times New Roman" w:hint="eastAsia"/>
      </w:rPr>
    </w:lvl>
  </w:abstractNum>
  <w:abstractNum w:abstractNumId="10" w15:restartNumberingAfterBreak="0">
    <w:nsid w:val="5F307CEC"/>
    <w:multiLevelType w:val="singleLevel"/>
    <w:tmpl w:val="F5D6A108"/>
    <w:lvl w:ilvl="0">
      <w:start w:val="1"/>
      <w:numFmt w:val="taiwaneseCountingThousand"/>
      <w:lvlText w:val="（%1）"/>
      <w:lvlJc w:val="left"/>
      <w:pPr>
        <w:tabs>
          <w:tab w:val="num" w:pos="808"/>
        </w:tabs>
        <w:ind w:left="808" w:hanging="780"/>
      </w:pPr>
      <w:rPr>
        <w:rFonts w:cs="Times New Roman" w:hint="eastAsia"/>
      </w:rPr>
    </w:lvl>
  </w:abstractNum>
  <w:abstractNum w:abstractNumId="11" w15:restartNumberingAfterBreak="0">
    <w:nsid w:val="649E48F8"/>
    <w:multiLevelType w:val="multilevel"/>
    <w:tmpl w:val="64882E9C"/>
    <w:lvl w:ilvl="0">
      <w:start w:val="1"/>
      <w:numFmt w:val="taiwaneseCountingThousand"/>
      <w:suff w:val="nothing"/>
      <w:lvlText w:val="%1、"/>
      <w:lvlJc w:val="left"/>
      <w:pPr>
        <w:ind w:left="425" w:hanging="425"/>
      </w:pPr>
      <w:rPr>
        <w:rFonts w:cs="Times New Roman" w:hint="eastAsia"/>
      </w:rPr>
    </w:lvl>
    <w:lvl w:ilvl="1">
      <w:start w:val="1"/>
      <w:numFmt w:val="taiwaneseCountingThousand"/>
      <w:suff w:val="nothing"/>
      <w:lvlText w:val="(%2)"/>
      <w:lvlJc w:val="left"/>
      <w:pPr>
        <w:ind w:left="737" w:hanging="453"/>
      </w:pPr>
      <w:rPr>
        <w:rFonts w:cs="Times New Roman" w:hint="eastAsia"/>
      </w:rPr>
    </w:lvl>
    <w:lvl w:ilvl="2">
      <w:start w:val="1"/>
      <w:numFmt w:val="taiwaneseCountingThousand"/>
      <w:suff w:val="nothing"/>
      <w:lvlText w:val="第%3項"/>
      <w:lvlJc w:val="left"/>
      <w:pPr>
        <w:ind w:left="1418" w:hanging="567"/>
      </w:pPr>
      <w:rPr>
        <w:rFonts w:cs="Times New Roman" w:hint="eastAsia"/>
      </w:rPr>
    </w:lvl>
    <w:lvl w:ilvl="3">
      <w:start w:val="1"/>
      <w:numFmt w:val="none"/>
      <w:suff w:val="nothing"/>
      <w:lvlText w:val=""/>
      <w:lvlJc w:val="left"/>
      <w:pPr>
        <w:ind w:left="1984" w:hanging="708"/>
      </w:pPr>
      <w:rPr>
        <w:rFonts w:cs="Times New Roman" w:hint="eastAsia"/>
      </w:rPr>
    </w:lvl>
    <w:lvl w:ilvl="4">
      <w:start w:val="1"/>
      <w:numFmt w:val="none"/>
      <w:suff w:val="nothing"/>
      <w:lvlText w:val=""/>
      <w:lvlJc w:val="left"/>
      <w:pPr>
        <w:ind w:left="2551" w:hanging="850"/>
      </w:pPr>
      <w:rPr>
        <w:rFonts w:cs="Times New Roman" w:hint="eastAsia"/>
      </w:rPr>
    </w:lvl>
    <w:lvl w:ilvl="5">
      <w:start w:val="1"/>
      <w:numFmt w:val="none"/>
      <w:suff w:val="nothing"/>
      <w:lvlText w:val=""/>
      <w:lvlJc w:val="left"/>
      <w:pPr>
        <w:ind w:left="3260" w:hanging="1134"/>
      </w:pPr>
      <w:rPr>
        <w:rFonts w:cs="Times New Roman" w:hint="eastAsia"/>
      </w:rPr>
    </w:lvl>
    <w:lvl w:ilvl="6">
      <w:start w:val="1"/>
      <w:numFmt w:val="none"/>
      <w:suff w:val="nothing"/>
      <w:lvlText w:val=""/>
      <w:lvlJc w:val="left"/>
      <w:pPr>
        <w:ind w:left="3827" w:hanging="1276"/>
      </w:pPr>
      <w:rPr>
        <w:rFonts w:cs="Times New Roman" w:hint="eastAsia"/>
      </w:rPr>
    </w:lvl>
    <w:lvl w:ilvl="7">
      <w:start w:val="1"/>
      <w:numFmt w:val="none"/>
      <w:suff w:val="nothing"/>
      <w:lvlText w:val=""/>
      <w:lvlJc w:val="left"/>
      <w:pPr>
        <w:ind w:left="4394" w:hanging="1418"/>
      </w:pPr>
      <w:rPr>
        <w:rFonts w:cs="Times New Roman" w:hint="eastAsia"/>
      </w:rPr>
    </w:lvl>
    <w:lvl w:ilvl="8">
      <w:start w:val="1"/>
      <w:numFmt w:val="none"/>
      <w:suff w:val="nothing"/>
      <w:lvlText w:val=""/>
      <w:lvlJc w:val="left"/>
      <w:pPr>
        <w:ind w:left="5102" w:hanging="1700"/>
      </w:pPr>
      <w:rPr>
        <w:rFonts w:cs="Times New Roman" w:hint="eastAsia"/>
      </w:rPr>
    </w:lvl>
  </w:abstractNum>
  <w:abstractNum w:abstractNumId="12" w15:restartNumberingAfterBreak="0">
    <w:nsid w:val="661C7F9F"/>
    <w:multiLevelType w:val="singleLevel"/>
    <w:tmpl w:val="9A8A353E"/>
    <w:lvl w:ilvl="0">
      <w:start w:val="1"/>
      <w:numFmt w:val="taiwaneseCountingThousand"/>
      <w:lvlText w:val="（%1）"/>
      <w:lvlJc w:val="left"/>
      <w:pPr>
        <w:tabs>
          <w:tab w:val="num" w:pos="880"/>
        </w:tabs>
        <w:ind w:left="880" w:hanging="852"/>
      </w:pPr>
      <w:rPr>
        <w:rFonts w:cs="Times New Roman" w:hint="eastAsia"/>
      </w:rPr>
    </w:lvl>
  </w:abstractNum>
  <w:abstractNum w:abstractNumId="13" w15:restartNumberingAfterBreak="0">
    <w:nsid w:val="697D3FA8"/>
    <w:multiLevelType w:val="multilevel"/>
    <w:tmpl w:val="2E3AB764"/>
    <w:lvl w:ilvl="0">
      <w:start w:val="1"/>
      <w:numFmt w:val="taiwaneseCountingThousand"/>
      <w:suff w:val="space"/>
      <w:lvlText w:val="%1、"/>
      <w:lvlJc w:val="left"/>
      <w:pPr>
        <w:ind w:left="567" w:hanging="567"/>
      </w:pPr>
      <w:rPr>
        <w:rFonts w:cs="Times New Roman" w:hint="eastAsia"/>
      </w:rPr>
    </w:lvl>
    <w:lvl w:ilvl="1">
      <w:start w:val="1"/>
      <w:numFmt w:val="taiwaneseCountingThousand"/>
      <w:suff w:val="space"/>
      <w:lvlText w:val="(%2)"/>
      <w:lvlJc w:val="left"/>
      <w:pPr>
        <w:ind w:left="1123" w:hanging="556"/>
      </w:pPr>
      <w:rPr>
        <w:rFonts w:cs="Times New Roman" w:hint="eastAsia"/>
      </w:rPr>
    </w:lvl>
    <w:lvl w:ilvl="2">
      <w:start w:val="1"/>
      <w:numFmt w:val="decimal"/>
      <w:lvlText w:val="%3."/>
      <w:lvlJc w:val="left"/>
      <w:pPr>
        <w:tabs>
          <w:tab w:val="num" w:pos="1588"/>
        </w:tabs>
        <w:ind w:left="1588" w:hanging="454"/>
      </w:pPr>
      <w:rPr>
        <w:rFonts w:cs="Times New Roman" w:hint="eastAsia"/>
      </w:rPr>
    </w:lvl>
    <w:lvl w:ilvl="3">
      <w:start w:val="1"/>
      <w:numFmt w:val="decimal"/>
      <w:lvlText w:val="(%4) "/>
      <w:lvlJc w:val="left"/>
      <w:pPr>
        <w:tabs>
          <w:tab w:val="num" w:pos="2126"/>
        </w:tabs>
        <w:ind w:left="2126" w:hanging="595"/>
      </w:pPr>
      <w:rPr>
        <w:rFonts w:cs="Times New Roman" w:hint="eastAsia"/>
      </w:rPr>
    </w:lvl>
    <w:lvl w:ilvl="4">
      <w:start w:val="1"/>
      <w:numFmt w:val="upperLetter"/>
      <w:suff w:val="space"/>
      <w:lvlText w:val="%5."/>
      <w:lvlJc w:val="left"/>
      <w:pPr>
        <w:ind w:left="2041" w:firstLine="170"/>
      </w:pPr>
      <w:rPr>
        <w:rFonts w:cs="Times New Roman" w:hint="eastAsia"/>
      </w:rPr>
    </w:lvl>
    <w:lvl w:ilvl="5">
      <w:start w:val="1"/>
      <w:numFmt w:val="lowerLetter"/>
      <w:suff w:val="space"/>
      <w:lvlText w:val="%6."/>
      <w:lvlJc w:val="left"/>
      <w:pPr>
        <w:ind w:left="2892" w:hanging="284"/>
      </w:pPr>
      <w:rPr>
        <w:rFonts w:cs="Times New Roman" w:hint="eastAsia"/>
      </w:rPr>
    </w:lvl>
    <w:lvl w:ilvl="6">
      <w:start w:val="1"/>
      <w:numFmt w:val="decimal"/>
      <w:lvlText w:val="(%7)"/>
      <w:lvlJc w:val="left"/>
      <w:pPr>
        <w:tabs>
          <w:tab w:val="num" w:pos="3827"/>
        </w:tabs>
        <w:ind w:left="3827" w:hanging="1276"/>
      </w:pPr>
      <w:rPr>
        <w:rFonts w:cs="Times New Roman" w:hint="eastAsia"/>
      </w:rPr>
    </w:lvl>
    <w:lvl w:ilvl="7">
      <w:start w:val="1"/>
      <w:numFmt w:val="lowerLetter"/>
      <w:lvlText w:val="%8."/>
      <w:lvlJc w:val="left"/>
      <w:pPr>
        <w:tabs>
          <w:tab w:val="num" w:pos="4394"/>
        </w:tabs>
        <w:ind w:left="4394" w:hanging="1418"/>
      </w:pPr>
      <w:rPr>
        <w:rFonts w:cs="Times New Roman" w:hint="eastAsia"/>
      </w:rPr>
    </w:lvl>
    <w:lvl w:ilvl="8">
      <w:start w:val="1"/>
      <w:numFmt w:val="lowerLetter"/>
      <w:lvlText w:val="%9)"/>
      <w:lvlJc w:val="left"/>
      <w:pPr>
        <w:tabs>
          <w:tab w:val="num" w:pos="5102"/>
        </w:tabs>
        <w:ind w:left="5102" w:hanging="1700"/>
      </w:pPr>
      <w:rPr>
        <w:rFonts w:cs="Times New Roman" w:hint="eastAsia"/>
      </w:rPr>
    </w:lvl>
  </w:abstractNum>
  <w:abstractNum w:abstractNumId="14" w15:restartNumberingAfterBreak="0">
    <w:nsid w:val="6A1E3F23"/>
    <w:multiLevelType w:val="singleLevel"/>
    <w:tmpl w:val="D64468C4"/>
    <w:lvl w:ilvl="0">
      <w:start w:val="1"/>
      <w:numFmt w:val="decimal"/>
      <w:lvlText w:val="(%1)"/>
      <w:lvlJc w:val="left"/>
      <w:pPr>
        <w:tabs>
          <w:tab w:val="num" w:pos="1372"/>
        </w:tabs>
        <w:ind w:left="1372" w:hanging="504"/>
      </w:pPr>
      <w:rPr>
        <w:rFonts w:eastAsia="新細明體" w:cs="Times New Roman" w:hint="eastAsia"/>
        <w:color w:val="auto"/>
      </w:rPr>
    </w:lvl>
  </w:abstractNum>
  <w:abstractNum w:abstractNumId="15" w15:restartNumberingAfterBreak="0">
    <w:nsid w:val="6D1B63E2"/>
    <w:multiLevelType w:val="multilevel"/>
    <w:tmpl w:val="288627EA"/>
    <w:lvl w:ilvl="0">
      <w:start w:val="1"/>
      <w:numFmt w:val="taiwaneseCountingThousand"/>
      <w:lvlText w:val="(%1)"/>
      <w:lvlJc w:val="left"/>
      <w:pPr>
        <w:tabs>
          <w:tab w:val="num" w:pos="920"/>
        </w:tabs>
        <w:ind w:left="920" w:hanging="444"/>
      </w:pPr>
      <w:rPr>
        <w:rFonts w:cs="Times New Roman" w:hint="eastAsia"/>
      </w:rPr>
    </w:lvl>
    <w:lvl w:ilvl="1">
      <w:start w:val="1"/>
      <w:numFmt w:val="ideographTraditional"/>
      <w:lvlText w:val="%2、"/>
      <w:lvlJc w:val="left"/>
      <w:pPr>
        <w:tabs>
          <w:tab w:val="num" w:pos="960"/>
        </w:tabs>
        <w:ind w:left="960" w:hanging="480"/>
      </w:pPr>
      <w:rPr>
        <w:rFonts w:cs="Times New Roman"/>
      </w:rPr>
    </w:lvl>
    <w:lvl w:ilvl="2">
      <w:start w:val="1"/>
      <w:numFmt w:val="lowerRoman"/>
      <w:lvlText w:val="%3."/>
      <w:lvlJc w:val="right"/>
      <w:pPr>
        <w:tabs>
          <w:tab w:val="num" w:pos="1440"/>
        </w:tabs>
        <w:ind w:left="1440" w:hanging="480"/>
      </w:pPr>
      <w:rPr>
        <w:rFonts w:cs="Times New Roman"/>
      </w:rPr>
    </w:lvl>
    <w:lvl w:ilvl="3">
      <w:start w:val="1"/>
      <w:numFmt w:val="decimal"/>
      <w:lvlText w:val="%4."/>
      <w:lvlJc w:val="left"/>
      <w:pPr>
        <w:tabs>
          <w:tab w:val="num" w:pos="1920"/>
        </w:tabs>
        <w:ind w:left="1920" w:hanging="480"/>
      </w:pPr>
      <w:rPr>
        <w:rFonts w:cs="Times New Roman"/>
      </w:rPr>
    </w:lvl>
    <w:lvl w:ilvl="4">
      <w:start w:val="1"/>
      <w:numFmt w:val="ideographTraditional"/>
      <w:lvlText w:val="%5、"/>
      <w:lvlJc w:val="left"/>
      <w:pPr>
        <w:tabs>
          <w:tab w:val="num" w:pos="2400"/>
        </w:tabs>
        <w:ind w:left="2400" w:hanging="480"/>
      </w:pPr>
      <w:rPr>
        <w:rFonts w:cs="Times New Roman"/>
      </w:rPr>
    </w:lvl>
    <w:lvl w:ilvl="5">
      <w:start w:val="1"/>
      <w:numFmt w:val="lowerRoman"/>
      <w:lvlText w:val="%6."/>
      <w:lvlJc w:val="right"/>
      <w:pPr>
        <w:tabs>
          <w:tab w:val="num" w:pos="2880"/>
        </w:tabs>
        <w:ind w:left="2880" w:hanging="480"/>
      </w:pPr>
      <w:rPr>
        <w:rFonts w:cs="Times New Roman"/>
      </w:rPr>
    </w:lvl>
    <w:lvl w:ilvl="6">
      <w:start w:val="1"/>
      <w:numFmt w:val="decimal"/>
      <w:lvlText w:val="%7."/>
      <w:lvlJc w:val="left"/>
      <w:pPr>
        <w:tabs>
          <w:tab w:val="num" w:pos="3360"/>
        </w:tabs>
        <w:ind w:left="3360" w:hanging="480"/>
      </w:pPr>
      <w:rPr>
        <w:rFonts w:cs="Times New Roman"/>
      </w:rPr>
    </w:lvl>
    <w:lvl w:ilvl="7">
      <w:start w:val="1"/>
      <w:numFmt w:val="ideographTraditional"/>
      <w:lvlText w:val="%8、"/>
      <w:lvlJc w:val="left"/>
      <w:pPr>
        <w:tabs>
          <w:tab w:val="num" w:pos="3840"/>
        </w:tabs>
        <w:ind w:left="3840" w:hanging="480"/>
      </w:pPr>
      <w:rPr>
        <w:rFonts w:cs="Times New Roman"/>
      </w:rPr>
    </w:lvl>
    <w:lvl w:ilvl="8">
      <w:start w:val="1"/>
      <w:numFmt w:val="lowerRoman"/>
      <w:lvlText w:val="%9."/>
      <w:lvlJc w:val="right"/>
      <w:pPr>
        <w:tabs>
          <w:tab w:val="num" w:pos="4320"/>
        </w:tabs>
        <w:ind w:left="4320" w:hanging="480"/>
      </w:pPr>
      <w:rPr>
        <w:rFonts w:cs="Times New Roman"/>
      </w:rPr>
    </w:lvl>
  </w:abstractNum>
  <w:abstractNum w:abstractNumId="16" w15:restartNumberingAfterBreak="0">
    <w:nsid w:val="6E487ECB"/>
    <w:multiLevelType w:val="singleLevel"/>
    <w:tmpl w:val="F230B57A"/>
    <w:lvl w:ilvl="0">
      <w:start w:val="1"/>
      <w:numFmt w:val="taiwaneseCountingThousand"/>
      <w:lvlText w:val="（%1）"/>
      <w:lvlJc w:val="left"/>
      <w:pPr>
        <w:tabs>
          <w:tab w:val="num" w:pos="796"/>
        </w:tabs>
        <w:ind w:left="796" w:hanging="768"/>
      </w:pPr>
      <w:rPr>
        <w:rFonts w:cs="Times New Roman" w:hint="eastAsia"/>
        <w:color w:val="auto"/>
      </w:rPr>
    </w:lvl>
  </w:abstractNum>
  <w:abstractNum w:abstractNumId="17" w15:restartNumberingAfterBreak="0">
    <w:nsid w:val="72822C94"/>
    <w:multiLevelType w:val="singleLevel"/>
    <w:tmpl w:val="BAB2CAD2"/>
    <w:lvl w:ilvl="0">
      <w:start w:val="1"/>
      <w:numFmt w:val="taiwaneseCountingThousand"/>
      <w:lvlText w:val="%1、"/>
      <w:lvlJc w:val="left"/>
      <w:pPr>
        <w:tabs>
          <w:tab w:val="num" w:pos="604"/>
        </w:tabs>
        <w:ind w:left="604" w:hanging="576"/>
      </w:pPr>
      <w:rPr>
        <w:rFonts w:cs="Times New Roman" w:hint="eastAsia"/>
      </w:rPr>
    </w:lvl>
  </w:abstractNum>
  <w:abstractNum w:abstractNumId="18" w15:restartNumberingAfterBreak="0">
    <w:nsid w:val="760272F7"/>
    <w:multiLevelType w:val="singleLevel"/>
    <w:tmpl w:val="7EA040BA"/>
    <w:lvl w:ilvl="0">
      <w:start w:val="1"/>
      <w:numFmt w:val="taiwaneseCountingThousand"/>
      <w:lvlText w:val="（%1）"/>
      <w:lvlJc w:val="left"/>
      <w:pPr>
        <w:tabs>
          <w:tab w:val="num" w:pos="780"/>
        </w:tabs>
        <w:ind w:left="780" w:hanging="780"/>
      </w:pPr>
      <w:rPr>
        <w:rFonts w:cs="Times New Roman" w:hint="eastAsia"/>
      </w:rPr>
    </w:lvl>
  </w:abstractNum>
  <w:abstractNum w:abstractNumId="19" w15:restartNumberingAfterBreak="0">
    <w:nsid w:val="7E166BE2"/>
    <w:multiLevelType w:val="multilevel"/>
    <w:tmpl w:val="878A2996"/>
    <w:lvl w:ilvl="0">
      <w:start w:val="1"/>
      <w:numFmt w:val="decimal"/>
      <w:lvlText w:val="(%1)"/>
      <w:lvlJc w:val="left"/>
      <w:pPr>
        <w:tabs>
          <w:tab w:val="num" w:pos="937"/>
        </w:tabs>
        <w:ind w:left="937" w:hanging="360"/>
      </w:pPr>
      <w:rPr>
        <w:rFonts w:cs="Times New Roman" w:hint="eastAsia"/>
      </w:rPr>
    </w:lvl>
    <w:lvl w:ilvl="1">
      <w:start w:val="1"/>
      <w:numFmt w:val="ideographTraditional"/>
      <w:lvlText w:val="%2、"/>
      <w:lvlJc w:val="left"/>
      <w:pPr>
        <w:tabs>
          <w:tab w:val="num" w:pos="1537"/>
        </w:tabs>
        <w:ind w:left="1537" w:hanging="480"/>
      </w:pPr>
      <w:rPr>
        <w:rFonts w:cs="Times New Roman"/>
      </w:rPr>
    </w:lvl>
    <w:lvl w:ilvl="2">
      <w:start w:val="1"/>
      <w:numFmt w:val="lowerRoman"/>
      <w:lvlText w:val="%3."/>
      <w:lvlJc w:val="right"/>
      <w:pPr>
        <w:tabs>
          <w:tab w:val="num" w:pos="2017"/>
        </w:tabs>
        <w:ind w:left="2017" w:hanging="480"/>
      </w:pPr>
      <w:rPr>
        <w:rFonts w:cs="Times New Roman"/>
      </w:rPr>
    </w:lvl>
    <w:lvl w:ilvl="3">
      <w:start w:val="1"/>
      <w:numFmt w:val="decimal"/>
      <w:lvlText w:val="%4."/>
      <w:lvlJc w:val="left"/>
      <w:pPr>
        <w:tabs>
          <w:tab w:val="num" w:pos="2497"/>
        </w:tabs>
        <w:ind w:left="2497" w:hanging="480"/>
      </w:pPr>
      <w:rPr>
        <w:rFonts w:cs="Times New Roman"/>
      </w:rPr>
    </w:lvl>
    <w:lvl w:ilvl="4">
      <w:start w:val="1"/>
      <w:numFmt w:val="ideographTraditional"/>
      <w:lvlText w:val="%5、"/>
      <w:lvlJc w:val="left"/>
      <w:pPr>
        <w:tabs>
          <w:tab w:val="num" w:pos="2977"/>
        </w:tabs>
        <w:ind w:left="2977" w:hanging="480"/>
      </w:pPr>
      <w:rPr>
        <w:rFonts w:cs="Times New Roman"/>
      </w:rPr>
    </w:lvl>
    <w:lvl w:ilvl="5">
      <w:start w:val="1"/>
      <w:numFmt w:val="lowerRoman"/>
      <w:lvlText w:val="%6."/>
      <w:lvlJc w:val="right"/>
      <w:pPr>
        <w:tabs>
          <w:tab w:val="num" w:pos="3457"/>
        </w:tabs>
        <w:ind w:left="3457" w:hanging="480"/>
      </w:pPr>
      <w:rPr>
        <w:rFonts w:cs="Times New Roman"/>
      </w:rPr>
    </w:lvl>
    <w:lvl w:ilvl="6">
      <w:start w:val="1"/>
      <w:numFmt w:val="decimal"/>
      <w:lvlText w:val="%7."/>
      <w:lvlJc w:val="left"/>
      <w:pPr>
        <w:tabs>
          <w:tab w:val="num" w:pos="3937"/>
        </w:tabs>
        <w:ind w:left="3937" w:hanging="480"/>
      </w:pPr>
      <w:rPr>
        <w:rFonts w:cs="Times New Roman"/>
      </w:rPr>
    </w:lvl>
    <w:lvl w:ilvl="7">
      <w:start w:val="1"/>
      <w:numFmt w:val="ideographTraditional"/>
      <w:lvlText w:val="%8、"/>
      <w:lvlJc w:val="left"/>
      <w:pPr>
        <w:tabs>
          <w:tab w:val="num" w:pos="4417"/>
        </w:tabs>
        <w:ind w:left="4417" w:hanging="480"/>
      </w:pPr>
      <w:rPr>
        <w:rFonts w:cs="Times New Roman"/>
      </w:rPr>
    </w:lvl>
    <w:lvl w:ilvl="8">
      <w:start w:val="1"/>
      <w:numFmt w:val="lowerRoman"/>
      <w:lvlText w:val="%9."/>
      <w:lvlJc w:val="right"/>
      <w:pPr>
        <w:tabs>
          <w:tab w:val="num" w:pos="4897"/>
        </w:tabs>
        <w:ind w:left="4897" w:hanging="480"/>
      </w:pPr>
      <w:rPr>
        <w:rFonts w:cs="Times New Roman"/>
      </w:rPr>
    </w:lvl>
  </w:abstractNum>
  <w:num w:numId="1" w16cid:durableId="1523323179">
    <w:abstractNumId w:val="8"/>
  </w:num>
  <w:num w:numId="2" w16cid:durableId="1449201050">
    <w:abstractNumId w:val="7"/>
  </w:num>
  <w:num w:numId="3" w16cid:durableId="208347645">
    <w:abstractNumId w:val="13"/>
  </w:num>
  <w:num w:numId="4" w16cid:durableId="209802461">
    <w:abstractNumId w:val="0"/>
  </w:num>
  <w:num w:numId="5" w16cid:durableId="1591350893">
    <w:abstractNumId w:val="11"/>
  </w:num>
  <w:num w:numId="6" w16cid:durableId="63066765">
    <w:abstractNumId w:val="2"/>
  </w:num>
  <w:num w:numId="7" w16cid:durableId="959992081">
    <w:abstractNumId w:val="4"/>
  </w:num>
  <w:num w:numId="8" w16cid:durableId="1154642517">
    <w:abstractNumId w:val="12"/>
  </w:num>
  <w:num w:numId="9" w16cid:durableId="2021077672">
    <w:abstractNumId w:val="16"/>
  </w:num>
  <w:num w:numId="10" w16cid:durableId="384792474">
    <w:abstractNumId w:val="5"/>
  </w:num>
  <w:num w:numId="11" w16cid:durableId="567425463">
    <w:abstractNumId w:val="17"/>
  </w:num>
  <w:num w:numId="12" w16cid:durableId="1531991681">
    <w:abstractNumId w:val="6"/>
  </w:num>
  <w:num w:numId="13" w16cid:durableId="1421877709">
    <w:abstractNumId w:val="1"/>
  </w:num>
  <w:num w:numId="14" w16cid:durableId="2089618171">
    <w:abstractNumId w:val="14"/>
  </w:num>
  <w:num w:numId="15" w16cid:durableId="2024432474">
    <w:abstractNumId w:val="15"/>
  </w:num>
  <w:num w:numId="16" w16cid:durableId="990906787">
    <w:abstractNumId w:val="19"/>
  </w:num>
  <w:num w:numId="17" w16cid:durableId="1963223195">
    <w:abstractNumId w:val="18"/>
  </w:num>
  <w:num w:numId="18" w16cid:durableId="1351878485">
    <w:abstractNumId w:val="9"/>
  </w:num>
  <w:num w:numId="19" w16cid:durableId="7486041">
    <w:abstractNumId w:val="3"/>
  </w:num>
  <w:num w:numId="20" w16cid:durableId="5700393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revisionView w:inkAnnotations="0"/>
  <w:doNotTrackMoves/>
  <w:defaultTabStop w:val="480"/>
  <w:doNotHyphenateCaps/>
  <w:drawingGridHorizontalSpacing w:val="130"/>
  <w:displayHorizontalDrawingGridEvery w:val="0"/>
  <w:displayVerticalDrawingGridEvery w:val="2"/>
  <w:characterSpacingControl w:val="compressPunctuation"/>
  <w:noLineBreaksAfter w:lang="zh-TW" w:val="([{£¥‘“‵〈《「『【〔〝︵︷︹︻︽︿﹁﹃﹙﹛﹝（｛"/>
  <w:noLineBreaksBefore w:lang="zh-TW" w:val="!),.:;?]}¢·–—’”•‥…‧′╴、。〉》」』】〕〞︰︱︳︴︶︸︺︼︾﹀﹂﹄﹏﹐﹑﹒﹔﹕﹖﹗﹚﹜﹞！），．：；？｜｝､"/>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7601"/>
    <w:rsid w:val="000220A3"/>
    <w:rsid w:val="0003737B"/>
    <w:rsid w:val="0006487C"/>
    <w:rsid w:val="00081A5A"/>
    <w:rsid w:val="000852F4"/>
    <w:rsid w:val="000E2E57"/>
    <w:rsid w:val="001132A5"/>
    <w:rsid w:val="00115946"/>
    <w:rsid w:val="00155D75"/>
    <w:rsid w:val="001643B7"/>
    <w:rsid w:val="00164EC3"/>
    <w:rsid w:val="001812B0"/>
    <w:rsid w:val="001C0745"/>
    <w:rsid w:val="001E533B"/>
    <w:rsid w:val="00200AE8"/>
    <w:rsid w:val="00216524"/>
    <w:rsid w:val="00216A6E"/>
    <w:rsid w:val="002300E4"/>
    <w:rsid w:val="0025567C"/>
    <w:rsid w:val="0027008E"/>
    <w:rsid w:val="002B6B5B"/>
    <w:rsid w:val="002B7B8A"/>
    <w:rsid w:val="002D3036"/>
    <w:rsid w:val="0030391B"/>
    <w:rsid w:val="003042D6"/>
    <w:rsid w:val="0031289E"/>
    <w:rsid w:val="0032634F"/>
    <w:rsid w:val="00354E9A"/>
    <w:rsid w:val="00360CA1"/>
    <w:rsid w:val="003757E9"/>
    <w:rsid w:val="003948F0"/>
    <w:rsid w:val="003B3105"/>
    <w:rsid w:val="003B5A2D"/>
    <w:rsid w:val="003B7480"/>
    <w:rsid w:val="003B7771"/>
    <w:rsid w:val="003C4C66"/>
    <w:rsid w:val="003F2929"/>
    <w:rsid w:val="00402508"/>
    <w:rsid w:val="0043298E"/>
    <w:rsid w:val="004331D4"/>
    <w:rsid w:val="004542BC"/>
    <w:rsid w:val="00456B35"/>
    <w:rsid w:val="00460ACD"/>
    <w:rsid w:val="00463342"/>
    <w:rsid w:val="00470098"/>
    <w:rsid w:val="0048793B"/>
    <w:rsid w:val="004A1319"/>
    <w:rsid w:val="004A29F0"/>
    <w:rsid w:val="004B19C0"/>
    <w:rsid w:val="004C3BE1"/>
    <w:rsid w:val="004E3C0D"/>
    <w:rsid w:val="00531E93"/>
    <w:rsid w:val="005352D5"/>
    <w:rsid w:val="005404DE"/>
    <w:rsid w:val="005525B1"/>
    <w:rsid w:val="005716CE"/>
    <w:rsid w:val="0057303B"/>
    <w:rsid w:val="00587858"/>
    <w:rsid w:val="00590586"/>
    <w:rsid w:val="005A67E0"/>
    <w:rsid w:val="005D293B"/>
    <w:rsid w:val="005E48B0"/>
    <w:rsid w:val="005E77C1"/>
    <w:rsid w:val="0061624E"/>
    <w:rsid w:val="00622D10"/>
    <w:rsid w:val="00651DC4"/>
    <w:rsid w:val="00655F5F"/>
    <w:rsid w:val="00667311"/>
    <w:rsid w:val="006736A2"/>
    <w:rsid w:val="00677A71"/>
    <w:rsid w:val="006862FE"/>
    <w:rsid w:val="0068743F"/>
    <w:rsid w:val="006906B7"/>
    <w:rsid w:val="006C109E"/>
    <w:rsid w:val="006E7D9E"/>
    <w:rsid w:val="00731EBA"/>
    <w:rsid w:val="0073748C"/>
    <w:rsid w:val="007631C0"/>
    <w:rsid w:val="007772E0"/>
    <w:rsid w:val="00787829"/>
    <w:rsid w:val="00797F9C"/>
    <w:rsid w:val="007A7FE5"/>
    <w:rsid w:val="007C280B"/>
    <w:rsid w:val="007C39F2"/>
    <w:rsid w:val="007D05DD"/>
    <w:rsid w:val="00820A8B"/>
    <w:rsid w:val="00894FE6"/>
    <w:rsid w:val="008F01FF"/>
    <w:rsid w:val="008F7C66"/>
    <w:rsid w:val="009017D2"/>
    <w:rsid w:val="00910034"/>
    <w:rsid w:val="009149AD"/>
    <w:rsid w:val="00916FF8"/>
    <w:rsid w:val="009210DF"/>
    <w:rsid w:val="00927933"/>
    <w:rsid w:val="00955B62"/>
    <w:rsid w:val="00970E02"/>
    <w:rsid w:val="00973423"/>
    <w:rsid w:val="00977DDF"/>
    <w:rsid w:val="009805CF"/>
    <w:rsid w:val="009C3809"/>
    <w:rsid w:val="009C653F"/>
    <w:rsid w:val="009F093C"/>
    <w:rsid w:val="00A10FAE"/>
    <w:rsid w:val="00A24FFC"/>
    <w:rsid w:val="00A327CE"/>
    <w:rsid w:val="00A505EE"/>
    <w:rsid w:val="00A5751A"/>
    <w:rsid w:val="00A669C2"/>
    <w:rsid w:val="00A7490F"/>
    <w:rsid w:val="00A943E4"/>
    <w:rsid w:val="00AD1920"/>
    <w:rsid w:val="00AD7183"/>
    <w:rsid w:val="00B24B03"/>
    <w:rsid w:val="00B80849"/>
    <w:rsid w:val="00B85495"/>
    <w:rsid w:val="00BA3B85"/>
    <w:rsid w:val="00BD0555"/>
    <w:rsid w:val="00BD0E46"/>
    <w:rsid w:val="00BD6AB3"/>
    <w:rsid w:val="00BE1F83"/>
    <w:rsid w:val="00BF247F"/>
    <w:rsid w:val="00C26683"/>
    <w:rsid w:val="00C34F36"/>
    <w:rsid w:val="00C43033"/>
    <w:rsid w:val="00C6790C"/>
    <w:rsid w:val="00C85E8F"/>
    <w:rsid w:val="00C904D3"/>
    <w:rsid w:val="00CA515A"/>
    <w:rsid w:val="00CC593E"/>
    <w:rsid w:val="00CD0699"/>
    <w:rsid w:val="00CE4D28"/>
    <w:rsid w:val="00CE53D7"/>
    <w:rsid w:val="00CE74B4"/>
    <w:rsid w:val="00D03B05"/>
    <w:rsid w:val="00D10A56"/>
    <w:rsid w:val="00D25C08"/>
    <w:rsid w:val="00D348F3"/>
    <w:rsid w:val="00D459D9"/>
    <w:rsid w:val="00D73498"/>
    <w:rsid w:val="00DB54C8"/>
    <w:rsid w:val="00DB54EE"/>
    <w:rsid w:val="00DC16C9"/>
    <w:rsid w:val="00DD7B56"/>
    <w:rsid w:val="00E055DE"/>
    <w:rsid w:val="00E17EAE"/>
    <w:rsid w:val="00E35783"/>
    <w:rsid w:val="00E520A8"/>
    <w:rsid w:val="00E6151B"/>
    <w:rsid w:val="00E8068F"/>
    <w:rsid w:val="00E87601"/>
    <w:rsid w:val="00EA2E15"/>
    <w:rsid w:val="00EB3A71"/>
    <w:rsid w:val="00EB3CD7"/>
    <w:rsid w:val="00EF791F"/>
    <w:rsid w:val="00F02C37"/>
    <w:rsid w:val="00F2266B"/>
    <w:rsid w:val="00F237EE"/>
    <w:rsid w:val="00F247E4"/>
    <w:rsid w:val="00F35FDD"/>
    <w:rsid w:val="00F6439B"/>
    <w:rsid w:val="00F86396"/>
    <w:rsid w:val="00FA5967"/>
    <w:rsid w:val="00FA7BF5"/>
    <w:rsid w:val="00FB3CAF"/>
    <w:rsid w:val="00FD5445"/>
    <w:rsid w:val="00FE0FC0"/>
    <w:rsid w:val="00FE37B4"/>
    <w:rsid w:val="00FE6622"/>
    <w:rsid w:val="00FF65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5EA9904"/>
  <w15:chartTrackingRefBased/>
  <w15:docId w15:val="{69DD0655-20AA-4718-9CC8-9D7D56B45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lsdException w:name="Body Text 3" w:semiHidden="1" w:unhideWhenUsed="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napToGrid w:val="0"/>
      <w:spacing w:line="360" w:lineRule="atLeast"/>
      <w:jc w:val="both"/>
    </w:pPr>
    <w:rPr>
      <w:rFonts w:ascii="標楷體" w:eastAsia="標楷體" w:hAnsi="Times New Roman" w:cs="標楷體"/>
      <w:spacing w:val="10"/>
      <w:kern w:val="2"/>
      <w:sz w:val="24"/>
      <w:szCs w:val="24"/>
    </w:rPr>
  </w:style>
  <w:style w:type="paragraph" w:styleId="1">
    <w:name w:val="heading 1"/>
    <w:basedOn w:val="a"/>
    <w:next w:val="a"/>
    <w:link w:val="10"/>
    <w:uiPriority w:val="99"/>
    <w:qFormat/>
    <w:pPr>
      <w:spacing w:after="120"/>
      <w:jc w:val="center"/>
      <w:outlineLvl w:val="0"/>
    </w:pPr>
    <w:rPr>
      <w:rFonts w:hAnsi="Arial"/>
      <w:b/>
      <w:bCs/>
      <w:kern w:val="52"/>
      <w:sz w:val="36"/>
      <w:szCs w:val="36"/>
    </w:rPr>
  </w:style>
  <w:style w:type="paragraph" w:styleId="2">
    <w:name w:val="heading 2"/>
    <w:basedOn w:val="a"/>
    <w:next w:val="a"/>
    <w:link w:val="20"/>
    <w:uiPriority w:val="99"/>
    <w:qFormat/>
    <w:pPr>
      <w:keepNext/>
      <w:spacing w:line="720" w:lineRule="auto"/>
      <w:outlineLvl w:val="1"/>
    </w:pPr>
    <w:rPr>
      <w:rFonts w:ascii="Arial" w:hAnsi="Arial" w:cs="Arial"/>
      <w:b/>
      <w:bCs/>
      <w:sz w:val="48"/>
      <w:szCs w:val="48"/>
    </w:rPr>
  </w:style>
  <w:style w:type="paragraph" w:styleId="3">
    <w:name w:val="heading 3"/>
    <w:basedOn w:val="a"/>
    <w:next w:val="a"/>
    <w:link w:val="30"/>
    <w:uiPriority w:val="99"/>
    <w:qFormat/>
    <w:pPr>
      <w:keepNext/>
      <w:spacing w:line="720" w:lineRule="auto"/>
      <w:outlineLvl w:val="2"/>
    </w:pPr>
    <w:rPr>
      <w:rFonts w:ascii="Arial" w:hAnsi="Arial" w:cs="Arial"/>
      <w:b/>
      <w:bCs/>
      <w:sz w:val="36"/>
      <w:szCs w:val="36"/>
    </w:rPr>
  </w:style>
  <w:style w:type="paragraph" w:styleId="4">
    <w:name w:val="heading 4"/>
    <w:basedOn w:val="a"/>
    <w:next w:val="a0"/>
    <w:link w:val="40"/>
    <w:uiPriority w:val="99"/>
    <w:qFormat/>
    <w:pPr>
      <w:keepNext/>
      <w:adjustRightInd w:val="0"/>
      <w:snapToGrid/>
      <w:spacing w:line="720" w:lineRule="atLeast"/>
      <w:jc w:val="left"/>
      <w:textAlignment w:val="baseline"/>
      <w:outlineLvl w:val="3"/>
    </w:pPr>
    <w:rPr>
      <w:rFonts w:ascii="Arial" w:eastAsia="新細明體" w:hAnsi="Arial" w:cs="Arial"/>
      <w:spacing w:val="0"/>
      <w:kern w:val="0"/>
      <w:sz w:val="36"/>
      <w:szCs w:val="36"/>
    </w:rPr>
  </w:style>
  <w:style w:type="paragraph" w:styleId="5">
    <w:name w:val="heading 5"/>
    <w:basedOn w:val="a"/>
    <w:next w:val="a0"/>
    <w:link w:val="50"/>
    <w:uiPriority w:val="99"/>
    <w:qFormat/>
    <w:pPr>
      <w:keepNext/>
      <w:adjustRightInd w:val="0"/>
      <w:snapToGrid/>
      <w:spacing w:line="720" w:lineRule="atLeast"/>
      <w:jc w:val="left"/>
      <w:textAlignment w:val="baseline"/>
      <w:outlineLvl w:val="4"/>
    </w:pPr>
    <w:rPr>
      <w:rFonts w:ascii="Arial" w:eastAsia="新細明體" w:hAnsi="Arial" w:cs="Arial"/>
      <w:b/>
      <w:bCs/>
      <w:spacing w:val="0"/>
      <w:kern w:val="0"/>
      <w:sz w:val="36"/>
      <w:szCs w:val="36"/>
    </w:rPr>
  </w:style>
  <w:style w:type="paragraph" w:styleId="6">
    <w:name w:val="heading 6"/>
    <w:basedOn w:val="a"/>
    <w:next w:val="a0"/>
    <w:link w:val="60"/>
    <w:uiPriority w:val="99"/>
    <w:qFormat/>
    <w:pPr>
      <w:keepNext/>
      <w:adjustRightInd w:val="0"/>
      <w:snapToGrid/>
      <w:spacing w:line="720" w:lineRule="atLeast"/>
      <w:jc w:val="left"/>
      <w:textAlignment w:val="baseline"/>
      <w:outlineLvl w:val="5"/>
    </w:pPr>
    <w:rPr>
      <w:rFonts w:ascii="Arial" w:eastAsia="新細明體" w:hAnsi="Arial" w:cs="Arial"/>
      <w:spacing w:val="0"/>
      <w:kern w:val="0"/>
      <w:sz w:val="36"/>
      <w:szCs w:val="36"/>
    </w:rPr>
  </w:style>
  <w:style w:type="paragraph" w:styleId="7">
    <w:name w:val="heading 7"/>
    <w:basedOn w:val="a"/>
    <w:next w:val="a0"/>
    <w:link w:val="70"/>
    <w:uiPriority w:val="99"/>
    <w:qFormat/>
    <w:pPr>
      <w:keepNext/>
      <w:adjustRightInd w:val="0"/>
      <w:snapToGrid/>
      <w:spacing w:line="720" w:lineRule="atLeast"/>
      <w:jc w:val="left"/>
      <w:textAlignment w:val="baseline"/>
      <w:outlineLvl w:val="6"/>
    </w:pPr>
    <w:rPr>
      <w:rFonts w:ascii="Arial" w:eastAsia="新細明體" w:hAnsi="Arial" w:cs="Arial"/>
      <w:b/>
      <w:bCs/>
      <w:spacing w:val="0"/>
      <w:kern w:val="0"/>
      <w:sz w:val="36"/>
      <w:szCs w:val="36"/>
    </w:rPr>
  </w:style>
  <w:style w:type="paragraph" w:styleId="8">
    <w:name w:val="heading 8"/>
    <w:basedOn w:val="a"/>
    <w:next w:val="a0"/>
    <w:link w:val="80"/>
    <w:uiPriority w:val="99"/>
    <w:qFormat/>
    <w:pPr>
      <w:keepNext/>
      <w:adjustRightInd w:val="0"/>
      <w:snapToGrid/>
      <w:spacing w:line="720" w:lineRule="atLeast"/>
      <w:jc w:val="left"/>
      <w:textAlignment w:val="baseline"/>
      <w:outlineLvl w:val="7"/>
    </w:pPr>
    <w:rPr>
      <w:rFonts w:ascii="Arial" w:eastAsia="新細明體" w:hAnsi="Arial" w:cs="Arial"/>
      <w:spacing w:val="0"/>
      <w:kern w:val="0"/>
      <w:sz w:val="36"/>
      <w:szCs w:val="36"/>
    </w:rPr>
  </w:style>
  <w:style w:type="paragraph" w:styleId="9">
    <w:name w:val="heading 9"/>
    <w:basedOn w:val="a"/>
    <w:next w:val="a0"/>
    <w:link w:val="90"/>
    <w:uiPriority w:val="99"/>
    <w:qFormat/>
    <w:pPr>
      <w:keepNext/>
      <w:adjustRightInd w:val="0"/>
      <w:snapToGrid/>
      <w:spacing w:line="720" w:lineRule="atLeast"/>
      <w:jc w:val="left"/>
      <w:textAlignment w:val="baseline"/>
      <w:outlineLvl w:val="8"/>
    </w:pPr>
    <w:rPr>
      <w:rFonts w:ascii="Arial" w:eastAsia="新細明體" w:hAnsi="Arial" w:cs="Arial"/>
      <w:spacing w:val="0"/>
      <w:kern w:val="0"/>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link w:val="1"/>
    <w:uiPriority w:val="9"/>
    <w:locked/>
    <w:rPr>
      <w:rFonts w:ascii="Cambria" w:eastAsia="新細明體" w:hAnsi="Cambria" w:cs="Times New Roman"/>
      <w:b/>
      <w:bCs/>
      <w:spacing w:val="10"/>
      <w:kern w:val="52"/>
      <w:sz w:val="52"/>
      <w:szCs w:val="52"/>
    </w:rPr>
  </w:style>
  <w:style w:type="character" w:customStyle="1" w:styleId="20">
    <w:name w:val="標題 2 字元"/>
    <w:link w:val="2"/>
    <w:uiPriority w:val="9"/>
    <w:semiHidden/>
    <w:locked/>
    <w:rPr>
      <w:rFonts w:ascii="Cambria" w:eastAsia="新細明體" w:hAnsi="Cambria" w:cs="Times New Roman"/>
      <w:b/>
      <w:bCs/>
      <w:spacing w:val="10"/>
      <w:sz w:val="48"/>
      <w:szCs w:val="48"/>
    </w:rPr>
  </w:style>
  <w:style w:type="character" w:customStyle="1" w:styleId="30">
    <w:name w:val="標題 3 字元"/>
    <w:link w:val="3"/>
    <w:uiPriority w:val="9"/>
    <w:semiHidden/>
    <w:locked/>
    <w:rPr>
      <w:rFonts w:ascii="Cambria" w:eastAsia="新細明體" w:hAnsi="Cambria" w:cs="Times New Roman"/>
      <w:b/>
      <w:bCs/>
      <w:spacing w:val="10"/>
      <w:sz w:val="36"/>
      <w:szCs w:val="36"/>
    </w:rPr>
  </w:style>
  <w:style w:type="character" w:customStyle="1" w:styleId="40">
    <w:name w:val="標題 4 字元"/>
    <w:link w:val="4"/>
    <w:uiPriority w:val="9"/>
    <w:semiHidden/>
    <w:locked/>
    <w:rPr>
      <w:rFonts w:ascii="Cambria" w:eastAsia="新細明體" w:hAnsi="Cambria" w:cs="Times New Roman"/>
      <w:spacing w:val="10"/>
      <w:sz w:val="36"/>
      <w:szCs w:val="36"/>
    </w:rPr>
  </w:style>
  <w:style w:type="character" w:customStyle="1" w:styleId="50">
    <w:name w:val="標題 5 字元"/>
    <w:link w:val="5"/>
    <w:uiPriority w:val="9"/>
    <w:semiHidden/>
    <w:locked/>
    <w:rPr>
      <w:rFonts w:ascii="Cambria" w:eastAsia="新細明體" w:hAnsi="Cambria" w:cs="Times New Roman"/>
      <w:b/>
      <w:bCs/>
      <w:spacing w:val="10"/>
      <w:sz w:val="36"/>
      <w:szCs w:val="36"/>
    </w:rPr>
  </w:style>
  <w:style w:type="character" w:customStyle="1" w:styleId="60">
    <w:name w:val="標題 6 字元"/>
    <w:link w:val="6"/>
    <w:uiPriority w:val="9"/>
    <w:semiHidden/>
    <w:locked/>
    <w:rPr>
      <w:rFonts w:ascii="Cambria" w:eastAsia="新細明體" w:hAnsi="Cambria" w:cs="Times New Roman"/>
      <w:spacing w:val="10"/>
      <w:sz w:val="36"/>
      <w:szCs w:val="36"/>
    </w:rPr>
  </w:style>
  <w:style w:type="character" w:customStyle="1" w:styleId="70">
    <w:name w:val="標題 7 字元"/>
    <w:link w:val="7"/>
    <w:uiPriority w:val="9"/>
    <w:semiHidden/>
    <w:locked/>
    <w:rPr>
      <w:rFonts w:ascii="Cambria" w:eastAsia="新細明體" w:hAnsi="Cambria" w:cs="Times New Roman"/>
      <w:b/>
      <w:bCs/>
      <w:spacing w:val="10"/>
      <w:sz w:val="36"/>
      <w:szCs w:val="36"/>
    </w:rPr>
  </w:style>
  <w:style w:type="character" w:customStyle="1" w:styleId="80">
    <w:name w:val="標題 8 字元"/>
    <w:link w:val="8"/>
    <w:uiPriority w:val="9"/>
    <w:semiHidden/>
    <w:locked/>
    <w:rPr>
      <w:rFonts w:ascii="Cambria" w:eastAsia="新細明體" w:hAnsi="Cambria" w:cs="Times New Roman"/>
      <w:spacing w:val="10"/>
      <w:sz w:val="36"/>
      <w:szCs w:val="36"/>
    </w:rPr>
  </w:style>
  <w:style w:type="character" w:customStyle="1" w:styleId="90">
    <w:name w:val="標題 9 字元"/>
    <w:link w:val="9"/>
    <w:uiPriority w:val="9"/>
    <w:semiHidden/>
    <w:locked/>
    <w:rPr>
      <w:rFonts w:ascii="Cambria" w:eastAsia="新細明體" w:hAnsi="Cambria" w:cs="Times New Roman"/>
      <w:spacing w:val="10"/>
      <w:sz w:val="36"/>
      <w:szCs w:val="36"/>
    </w:rPr>
  </w:style>
  <w:style w:type="paragraph" w:styleId="a0">
    <w:name w:val="Normal Indent"/>
    <w:basedOn w:val="a"/>
    <w:uiPriority w:val="99"/>
    <w:pPr>
      <w:ind w:left="480"/>
    </w:pPr>
  </w:style>
  <w:style w:type="paragraph" w:styleId="a4">
    <w:name w:val="Block Text"/>
    <w:basedOn w:val="a"/>
    <w:uiPriority w:val="99"/>
    <w:pPr>
      <w:ind w:left="758" w:right="28" w:hanging="730"/>
    </w:pPr>
    <w:rPr>
      <w:rFonts w:ascii="新細明體" w:eastAsia="新細明體" w:cs="新細明體"/>
      <w:spacing w:val="24"/>
    </w:rPr>
  </w:style>
  <w:style w:type="paragraph" w:styleId="21">
    <w:name w:val="Body Text 2"/>
    <w:basedOn w:val="a"/>
    <w:link w:val="22"/>
    <w:uiPriority w:val="99"/>
    <w:pPr>
      <w:spacing w:line="360" w:lineRule="exact"/>
    </w:pPr>
    <w:rPr>
      <w:rFonts w:ascii="新細明體" w:eastAsia="新細明體" w:cs="新細明體"/>
      <w:color w:val="0000FF"/>
      <w:u w:val="single"/>
    </w:rPr>
  </w:style>
  <w:style w:type="character" w:customStyle="1" w:styleId="22">
    <w:name w:val="本文 2 字元"/>
    <w:link w:val="21"/>
    <w:uiPriority w:val="99"/>
    <w:semiHidden/>
    <w:locked/>
    <w:rPr>
      <w:rFonts w:ascii="標楷體" w:eastAsia="標楷體" w:hAnsi="Times New Roman" w:cs="標楷體"/>
      <w:spacing w:val="10"/>
      <w:sz w:val="24"/>
      <w:szCs w:val="24"/>
    </w:rPr>
  </w:style>
  <w:style w:type="paragraph" w:styleId="a5">
    <w:name w:val="Body Text"/>
    <w:basedOn w:val="a"/>
    <w:link w:val="a6"/>
    <w:uiPriority w:val="99"/>
    <w:pPr>
      <w:ind w:right="28"/>
    </w:pPr>
    <w:rPr>
      <w:rFonts w:ascii="新細明體" w:eastAsia="新細明體" w:cs="新細明體"/>
    </w:rPr>
  </w:style>
  <w:style w:type="character" w:customStyle="1" w:styleId="a6">
    <w:name w:val="本文 字元"/>
    <w:link w:val="a5"/>
    <w:uiPriority w:val="99"/>
    <w:semiHidden/>
    <w:locked/>
    <w:rPr>
      <w:rFonts w:ascii="標楷體" w:eastAsia="標楷體" w:hAnsi="Times New Roman" w:cs="標楷體"/>
      <w:spacing w:val="10"/>
      <w:sz w:val="24"/>
      <w:szCs w:val="24"/>
    </w:rPr>
  </w:style>
  <w:style w:type="paragraph" w:styleId="HTML">
    <w:name w:val="HTML Preformatted"/>
    <w:basedOn w:val="a"/>
    <w:link w:val="HTML0"/>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line="240" w:lineRule="auto"/>
      <w:jc w:val="left"/>
    </w:pPr>
    <w:rPr>
      <w:rFonts w:ascii="細明體" w:eastAsia="細明體" w:hAnsi="Courier New" w:cs="細明體"/>
      <w:color w:val="008000"/>
      <w:spacing w:val="0"/>
      <w:kern w:val="0"/>
      <w:sz w:val="20"/>
      <w:szCs w:val="20"/>
    </w:rPr>
  </w:style>
  <w:style w:type="character" w:customStyle="1" w:styleId="HTML0">
    <w:name w:val="HTML 預設格式 字元"/>
    <w:link w:val="HTML"/>
    <w:uiPriority w:val="99"/>
    <w:semiHidden/>
    <w:locked/>
    <w:rPr>
      <w:rFonts w:ascii="Courier New" w:eastAsia="標楷體" w:hAnsi="Courier New" w:cs="Courier New"/>
      <w:spacing w:val="10"/>
      <w:sz w:val="20"/>
      <w:szCs w:val="20"/>
    </w:rPr>
  </w:style>
  <w:style w:type="paragraph" w:styleId="a7">
    <w:name w:val="footer"/>
    <w:basedOn w:val="a"/>
    <w:link w:val="a8"/>
    <w:uiPriority w:val="99"/>
    <w:pPr>
      <w:tabs>
        <w:tab w:val="center" w:pos="4153"/>
        <w:tab w:val="right" w:pos="8306"/>
      </w:tabs>
    </w:pPr>
    <w:rPr>
      <w:sz w:val="20"/>
      <w:szCs w:val="20"/>
    </w:rPr>
  </w:style>
  <w:style w:type="character" w:customStyle="1" w:styleId="a8">
    <w:name w:val="頁尾 字元"/>
    <w:link w:val="a7"/>
    <w:uiPriority w:val="99"/>
    <w:semiHidden/>
    <w:locked/>
    <w:rPr>
      <w:rFonts w:ascii="標楷體" w:eastAsia="標楷體" w:hAnsi="Times New Roman" w:cs="標楷體"/>
      <w:spacing w:val="10"/>
      <w:sz w:val="20"/>
      <w:szCs w:val="20"/>
    </w:rPr>
  </w:style>
  <w:style w:type="character" w:styleId="a9">
    <w:name w:val="page number"/>
    <w:uiPriority w:val="99"/>
    <w:rPr>
      <w:rFonts w:cs="Times New Roman"/>
    </w:rPr>
  </w:style>
  <w:style w:type="paragraph" w:styleId="23">
    <w:name w:val="Body Text Indent 2"/>
    <w:basedOn w:val="a"/>
    <w:link w:val="24"/>
    <w:uiPriority w:val="99"/>
    <w:pPr>
      <w:spacing w:before="240" w:line="288" w:lineRule="auto"/>
      <w:ind w:left="1118" w:hanging="402"/>
    </w:pPr>
    <w:rPr>
      <w:rFonts w:hAnsi="標楷體"/>
      <w:spacing w:val="0"/>
    </w:rPr>
  </w:style>
  <w:style w:type="character" w:customStyle="1" w:styleId="24">
    <w:name w:val="本文縮排 2 字元"/>
    <w:link w:val="23"/>
    <w:uiPriority w:val="99"/>
    <w:semiHidden/>
    <w:locked/>
    <w:rPr>
      <w:rFonts w:ascii="標楷體" w:eastAsia="標楷體" w:hAnsi="Times New Roman" w:cs="標楷體"/>
      <w:spacing w:val="10"/>
      <w:sz w:val="24"/>
      <w:szCs w:val="24"/>
    </w:rPr>
  </w:style>
  <w:style w:type="paragraph" w:styleId="31">
    <w:name w:val="Body Text Indent 3"/>
    <w:basedOn w:val="a"/>
    <w:link w:val="32"/>
    <w:uiPriority w:val="99"/>
    <w:pPr>
      <w:spacing w:line="360" w:lineRule="exact"/>
      <w:ind w:left="862" w:hanging="862"/>
    </w:pPr>
    <w:rPr>
      <w:rFonts w:ascii="新細明體" w:eastAsia="新細明體" w:cs="新細明體"/>
      <w:u w:val="single"/>
    </w:rPr>
  </w:style>
  <w:style w:type="character" w:customStyle="1" w:styleId="32">
    <w:name w:val="本文縮排 3 字元"/>
    <w:link w:val="31"/>
    <w:uiPriority w:val="99"/>
    <w:semiHidden/>
    <w:locked/>
    <w:rPr>
      <w:rFonts w:ascii="標楷體" w:eastAsia="標楷體" w:hAnsi="Times New Roman" w:cs="標楷體"/>
      <w:spacing w:val="10"/>
      <w:sz w:val="16"/>
      <w:szCs w:val="16"/>
    </w:rPr>
  </w:style>
  <w:style w:type="paragraph" w:styleId="aa">
    <w:name w:val="header"/>
    <w:basedOn w:val="a"/>
    <w:link w:val="ab"/>
    <w:uiPriority w:val="99"/>
    <w:pPr>
      <w:tabs>
        <w:tab w:val="center" w:pos="4153"/>
        <w:tab w:val="right" w:pos="8306"/>
      </w:tabs>
    </w:pPr>
    <w:rPr>
      <w:sz w:val="20"/>
      <w:szCs w:val="20"/>
    </w:rPr>
  </w:style>
  <w:style w:type="character" w:customStyle="1" w:styleId="ab">
    <w:name w:val="頁首 字元"/>
    <w:link w:val="aa"/>
    <w:uiPriority w:val="99"/>
    <w:semiHidden/>
    <w:locked/>
    <w:rPr>
      <w:rFonts w:ascii="標楷體" w:eastAsia="標楷體" w:hAnsi="Times New Roman" w:cs="標楷體"/>
      <w:spacing w:val="10"/>
      <w:sz w:val="20"/>
      <w:szCs w:val="20"/>
    </w:rPr>
  </w:style>
  <w:style w:type="table" w:styleId="ac">
    <w:name w:val="Table Grid"/>
    <w:basedOn w:val="a2"/>
    <w:uiPriority w:val="59"/>
    <w:rsid w:val="00A24F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0EADB-4AC3-491B-98F7-B418BE3AA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Pages>
  <Words>412</Words>
  <Characters>2349</Characters>
  <Application>Microsoft Office Word</Application>
  <DocSecurity>0</DocSecurity>
  <Lines>19</Lines>
  <Paragraphs>5</Paragraphs>
  <ScaleCrop>false</ScaleCrop>
  <Company>Hewlett-Packard Company</Company>
  <LinksUpToDate>false</LinksUpToDate>
  <CharactersWithSpaces>2756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證券商內部控制制度標準規範─內部控制制度修訂對照表（97年度）</dc:title>
  <dc:subject/>
  <dc:creator>0753</dc:creator>
  <cp:keywords/>
  <cp:lastModifiedBy>傅筠嵐</cp:lastModifiedBy>
  <cp:revision>14</cp:revision>
  <cp:lastPrinted>2004-03-09T19:20:00Z</cp:lastPrinted>
  <dcterms:created xsi:type="dcterms:W3CDTF">2025-04-18T10:47:00Z</dcterms:created>
  <dcterms:modified xsi:type="dcterms:W3CDTF">2026-05-19T03:09:00Z</dcterms:modified>
</cp:coreProperties>
</file>