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588F5E43"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271"/>
        <w:gridCol w:w="5352"/>
        <w:gridCol w:w="5353"/>
        <w:gridCol w:w="2014"/>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AM-19400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法令遵循制度之稽核</w:t>
            </w:r>
          </w:p>
          <w:p w14:paraId="406275A1"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1C477F9A"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配合內部控制制度CM-19400修正。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(一)經營證券承銷、自營及經紀業務之綜合證券商是否設立隸屬於總經理之法令遵循單位，負責法令遵循制度之規劃、管理及執行。</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(一)經營證券承銷、自營及經紀業務之綜合證券商是否設立隸屬於總經理之法令遵循單位，負責法令遵循制度之規劃、管理及執行。</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DDBCA8" w14:textId="77777777">
        <w:tc>
          <w:tcPr>
            <w:tcW w:w="1384" w:type="dxa"/>
            <w:vMerge/>
            <w:tcBorders>
              <w:left w:val="single" w:sz="12" w:space="0" w:color="auto"/>
            </w:tcBorders>
          </w:tcPr>
          <w:p w14:paraId="7DF6EFD0" w14:textId="77777777" w:rsidR="003B3105" w:rsidRDefault="003B3105" w:rsidP="001E533B">
            <w:pPr>
              <w:rPr>
                <w:rFonts w:ascii="新細明體" w:eastAsia="新細明體" w:hAnsi="新細明體"/>
              </w:rPr>
            </w:pPr>
          </w:p>
        </w:tc>
        <w:tc>
          <w:tcPr>
            <w:tcW w:w="1276" w:type="dxa"/>
            <w:vMerge/>
          </w:tcPr>
          <w:p w14:paraId="055AF999" w14:textId="77777777" w:rsidR="003B3105" w:rsidRDefault="003B3105" w:rsidP="001E533B">
            <w:pPr>
              <w:rPr>
                <w:rFonts w:ascii="新細明體" w:eastAsia="新細明體" w:hAnsi="新細明體"/>
              </w:rPr>
            </w:pPr>
          </w:p>
        </w:tc>
        <w:tc>
          <w:tcPr>
            <w:tcW w:w="5386" w:type="dxa"/>
            <w:tcBorders>
              <w:top w:val="nil"/>
              <w:bottom w:val="nil"/>
            </w:tcBorders>
          </w:tcPr>
          <w:p w14:paraId="0E261FF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董事會是否指派高階主管一人擔任公司法令遵循主管，綜理法令遵循事務，至少每半年向董事會及各監察人報告，如發現有重大違反法令或遭主管機關調降評等時，是否即時通報董事及監察人，並就法令遵循事項，提報董事會，其報告內容是否至少包括上述事件原因分析、可能影響及改善建議。</w:t>
            </w:r>
          </w:p>
        </w:tc>
        <w:tc>
          <w:tcPr>
            <w:tcW w:w="5387" w:type="dxa"/>
            <w:tcBorders>
              <w:top w:val="nil"/>
              <w:bottom w:val="nil"/>
            </w:tcBorders>
          </w:tcPr>
          <w:p w14:paraId="67A47E0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董事會是否指派高階主管一人擔任公司法令遵循主管，綜理法令遵循事務，至少每半年向董事會及各監察人報告，如發現有重大違反法令或遭主管機關調降評等時，是否即時通報董事及監察人，並就法令遵循事項，提報董事會，其報告內容是否至少包括上述事件原因分析、可能影響及改善建議。</w:t>
            </w:r>
          </w:p>
        </w:tc>
        <w:tc>
          <w:tcPr>
            <w:tcW w:w="2023" w:type="dxa"/>
            <w:vMerge/>
            <w:tcBorders>
              <w:right w:val="single" w:sz="12" w:space="0" w:color="auto"/>
            </w:tcBorders>
          </w:tcPr>
          <w:p w14:paraId="2C848B3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AB4820" w14:textId="77777777">
        <w:tc>
          <w:tcPr>
            <w:tcW w:w="1384" w:type="dxa"/>
            <w:vMerge/>
            <w:tcBorders>
              <w:left w:val="single" w:sz="12" w:space="0" w:color="auto"/>
            </w:tcBorders>
          </w:tcPr>
          <w:p w14:paraId="1C9B66A7" w14:textId="77777777" w:rsidR="003B3105" w:rsidRDefault="003B3105" w:rsidP="001E533B">
            <w:pPr>
              <w:rPr>
                <w:rFonts w:ascii="新細明體" w:eastAsia="新細明體" w:hAnsi="新細明體"/>
              </w:rPr>
            </w:pPr>
          </w:p>
        </w:tc>
        <w:tc>
          <w:tcPr>
            <w:tcW w:w="1276" w:type="dxa"/>
            <w:vMerge/>
          </w:tcPr>
          <w:p w14:paraId="10BDE49F" w14:textId="77777777" w:rsidR="003B3105" w:rsidRDefault="003B3105" w:rsidP="001E533B">
            <w:pPr>
              <w:rPr>
                <w:rFonts w:ascii="新細明體" w:eastAsia="新細明體" w:hAnsi="新細明體"/>
              </w:rPr>
            </w:pPr>
          </w:p>
        </w:tc>
        <w:tc>
          <w:tcPr>
            <w:tcW w:w="5386" w:type="dxa"/>
            <w:tcBorders>
              <w:top w:val="nil"/>
              <w:bottom w:val="nil"/>
            </w:tcBorders>
          </w:tcPr>
          <w:p w14:paraId="5FF853F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(三)負責法令遵循之單位是否辦理下列事項：</w:t>
            </w:r>
          </w:p>
        </w:tc>
        <w:tc>
          <w:tcPr>
            <w:tcW w:w="5387" w:type="dxa"/>
            <w:tcBorders>
              <w:top w:val="nil"/>
              <w:bottom w:val="nil"/>
            </w:tcBorders>
          </w:tcPr>
          <w:p w14:paraId="54BA316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(三)負責法令遵循之單位是否辦理下列事項：</w:t>
            </w:r>
          </w:p>
        </w:tc>
        <w:tc>
          <w:tcPr>
            <w:tcW w:w="2023" w:type="dxa"/>
            <w:vMerge/>
            <w:tcBorders>
              <w:right w:val="single" w:sz="12" w:space="0" w:color="auto"/>
            </w:tcBorders>
          </w:tcPr>
          <w:p w14:paraId="0605196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A59F58" w14:textId="77777777">
        <w:tc>
          <w:tcPr>
            <w:tcW w:w="1384" w:type="dxa"/>
            <w:vMerge/>
            <w:tcBorders>
              <w:left w:val="single" w:sz="12" w:space="0" w:color="auto"/>
            </w:tcBorders>
          </w:tcPr>
          <w:p w14:paraId="21FABBB5" w14:textId="77777777" w:rsidR="003B3105" w:rsidRDefault="003B3105" w:rsidP="001E533B">
            <w:pPr>
              <w:rPr>
                <w:rFonts w:ascii="新細明體" w:eastAsia="新細明體" w:hAnsi="新細明體"/>
              </w:rPr>
            </w:pPr>
          </w:p>
        </w:tc>
        <w:tc>
          <w:tcPr>
            <w:tcW w:w="1276" w:type="dxa"/>
            <w:vMerge/>
          </w:tcPr>
          <w:p w14:paraId="2AFFDE8E" w14:textId="77777777" w:rsidR="003B3105" w:rsidRDefault="003B3105" w:rsidP="001E533B">
            <w:pPr>
              <w:rPr>
                <w:rFonts w:ascii="新細明體" w:eastAsia="新細明體" w:hAnsi="新細明體"/>
              </w:rPr>
            </w:pPr>
          </w:p>
        </w:tc>
        <w:tc>
          <w:tcPr>
            <w:tcW w:w="5386" w:type="dxa"/>
            <w:tcBorders>
              <w:top w:val="nil"/>
              <w:bottom w:val="nil"/>
            </w:tcBorders>
          </w:tcPr>
          <w:p w14:paraId="3509B23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1.建立清楚適當之法令傳達、諮詢、協調與溝通系統。</w:t>
            </w:r>
          </w:p>
        </w:tc>
        <w:tc>
          <w:tcPr>
            <w:tcW w:w="5387" w:type="dxa"/>
            <w:tcBorders>
              <w:top w:val="nil"/>
              <w:bottom w:val="nil"/>
            </w:tcBorders>
          </w:tcPr>
          <w:p w14:paraId="5006F6D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1.建立清楚適當之法令傳達、諮詢、協調與溝通系統。</w:t>
            </w:r>
          </w:p>
        </w:tc>
        <w:tc>
          <w:tcPr>
            <w:tcW w:w="2023" w:type="dxa"/>
            <w:vMerge/>
            <w:tcBorders>
              <w:right w:val="single" w:sz="12" w:space="0" w:color="auto"/>
            </w:tcBorders>
          </w:tcPr>
          <w:p w14:paraId="36398B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C1625C" w14:textId="77777777">
        <w:tc>
          <w:tcPr>
            <w:tcW w:w="1384" w:type="dxa"/>
            <w:vMerge/>
            <w:tcBorders>
              <w:left w:val="single" w:sz="12" w:space="0" w:color="auto"/>
            </w:tcBorders>
          </w:tcPr>
          <w:p w14:paraId="64DEE442" w14:textId="77777777" w:rsidR="003B3105" w:rsidRDefault="003B3105" w:rsidP="001E533B">
            <w:pPr>
              <w:rPr>
                <w:rFonts w:ascii="新細明體" w:eastAsia="新細明體" w:hAnsi="新細明體"/>
              </w:rPr>
            </w:pPr>
          </w:p>
        </w:tc>
        <w:tc>
          <w:tcPr>
            <w:tcW w:w="1276" w:type="dxa"/>
            <w:vMerge/>
          </w:tcPr>
          <w:p w14:paraId="55E7AA64" w14:textId="77777777" w:rsidR="003B3105" w:rsidRDefault="003B3105" w:rsidP="001E533B">
            <w:pPr>
              <w:rPr>
                <w:rFonts w:ascii="新細明體" w:eastAsia="新細明體" w:hAnsi="新細明體"/>
              </w:rPr>
            </w:pPr>
          </w:p>
        </w:tc>
        <w:tc>
          <w:tcPr>
            <w:tcW w:w="5386" w:type="dxa"/>
            <w:tcBorders>
              <w:top w:val="nil"/>
              <w:bottom w:val="nil"/>
            </w:tcBorders>
          </w:tcPr>
          <w:p w14:paraId="3380A62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2.確認各項作業及管理規章均配合相關法規適時更新，使各項營運活動符合法令規定，並應建立確認機制，例如加註諮詢意見並簽章等。</w:t>
            </w:r>
          </w:p>
        </w:tc>
        <w:tc>
          <w:tcPr>
            <w:tcW w:w="5387" w:type="dxa"/>
            <w:tcBorders>
              <w:top w:val="nil"/>
              <w:bottom w:val="nil"/>
            </w:tcBorders>
          </w:tcPr>
          <w:p w14:paraId="6974031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2.確認各項作業及管理規章均配合相關法規適時更新，使各項營運活動符合法令規定，並應建立確認機制，例如加註諮詢意見並簽章等。</w:t>
            </w:r>
          </w:p>
        </w:tc>
        <w:tc>
          <w:tcPr>
            <w:tcW w:w="2023" w:type="dxa"/>
            <w:vMerge/>
            <w:tcBorders>
              <w:right w:val="single" w:sz="12" w:space="0" w:color="auto"/>
            </w:tcBorders>
          </w:tcPr>
          <w:p w14:paraId="22A81F3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E98693" w14:textId="77777777">
        <w:tc>
          <w:tcPr>
            <w:tcW w:w="1384" w:type="dxa"/>
            <w:vMerge/>
            <w:tcBorders>
              <w:left w:val="single" w:sz="12" w:space="0" w:color="auto"/>
            </w:tcBorders>
          </w:tcPr>
          <w:p w14:paraId="63E728CE" w14:textId="77777777" w:rsidR="003B3105" w:rsidRDefault="003B3105" w:rsidP="001E533B">
            <w:pPr>
              <w:rPr>
                <w:rFonts w:ascii="新細明體" w:eastAsia="新細明體" w:hAnsi="新細明體"/>
              </w:rPr>
            </w:pPr>
          </w:p>
        </w:tc>
        <w:tc>
          <w:tcPr>
            <w:tcW w:w="1276" w:type="dxa"/>
            <w:vMerge/>
          </w:tcPr>
          <w:p w14:paraId="36154852" w14:textId="77777777" w:rsidR="003B3105" w:rsidRDefault="003B3105" w:rsidP="001E533B">
            <w:pPr>
              <w:rPr>
                <w:rFonts w:ascii="新細明體" w:eastAsia="新細明體" w:hAnsi="新細明體"/>
              </w:rPr>
            </w:pPr>
          </w:p>
        </w:tc>
        <w:tc>
          <w:tcPr>
            <w:tcW w:w="5386" w:type="dxa"/>
            <w:tcBorders>
              <w:top w:val="nil"/>
              <w:bottom w:val="nil"/>
            </w:tcBorders>
          </w:tcPr>
          <w:p w14:paraId="698431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3.訂定法令遵循之評估內容與程序，並督導各單位定期自行評估執行情形。</w:t>
            </w:r>
          </w:p>
        </w:tc>
        <w:tc>
          <w:tcPr>
            <w:tcW w:w="5387" w:type="dxa"/>
            <w:tcBorders>
              <w:top w:val="nil"/>
              <w:bottom w:val="nil"/>
            </w:tcBorders>
          </w:tcPr>
          <w:p w14:paraId="0F653E8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3.訂定法令遵循之評估內容與程序，並督導各單位定期自行評估執行情形。</w:t>
            </w:r>
          </w:p>
        </w:tc>
        <w:tc>
          <w:tcPr>
            <w:tcW w:w="2023" w:type="dxa"/>
            <w:vMerge/>
            <w:tcBorders>
              <w:right w:val="single" w:sz="12" w:space="0" w:color="auto"/>
            </w:tcBorders>
          </w:tcPr>
          <w:p w14:paraId="3A1D9B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EC7F6B" w14:textId="77777777">
        <w:tc>
          <w:tcPr>
            <w:tcW w:w="1384" w:type="dxa"/>
            <w:vMerge/>
            <w:tcBorders>
              <w:left w:val="single" w:sz="12" w:space="0" w:color="auto"/>
            </w:tcBorders>
          </w:tcPr>
          <w:p w14:paraId="45DC899F" w14:textId="77777777" w:rsidR="003B3105" w:rsidRDefault="003B3105" w:rsidP="001E533B">
            <w:pPr>
              <w:rPr>
                <w:rFonts w:ascii="新細明體" w:eastAsia="新細明體" w:hAnsi="新細明體"/>
              </w:rPr>
            </w:pPr>
          </w:p>
        </w:tc>
        <w:tc>
          <w:tcPr>
            <w:tcW w:w="1276" w:type="dxa"/>
            <w:vMerge/>
          </w:tcPr>
          <w:p w14:paraId="389878E5" w14:textId="77777777" w:rsidR="003B3105" w:rsidRDefault="003B3105" w:rsidP="001E533B">
            <w:pPr>
              <w:rPr>
                <w:rFonts w:ascii="新細明體" w:eastAsia="新細明體" w:hAnsi="新細明體"/>
              </w:rPr>
            </w:pPr>
          </w:p>
        </w:tc>
        <w:tc>
          <w:tcPr>
            <w:tcW w:w="5386" w:type="dxa"/>
            <w:tcBorders>
              <w:top w:val="nil"/>
              <w:bottom w:val="nil"/>
            </w:tcBorders>
          </w:tcPr>
          <w:p w14:paraId="4C62C4C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4.對各單位人員施以適當合宜之法規訓練。</w:t>
            </w:r>
          </w:p>
        </w:tc>
        <w:tc>
          <w:tcPr>
            <w:tcW w:w="5387" w:type="dxa"/>
            <w:tcBorders>
              <w:top w:val="nil"/>
              <w:bottom w:val="nil"/>
            </w:tcBorders>
          </w:tcPr>
          <w:p w14:paraId="0422F89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4.對各單位人員施以適當合宜之法規訓練。</w:t>
            </w:r>
          </w:p>
        </w:tc>
        <w:tc>
          <w:tcPr>
            <w:tcW w:w="2023" w:type="dxa"/>
            <w:vMerge/>
            <w:tcBorders>
              <w:right w:val="single" w:sz="12" w:space="0" w:color="auto"/>
            </w:tcBorders>
          </w:tcPr>
          <w:p w14:paraId="4CA819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87FEB8" w14:textId="77777777">
        <w:tc>
          <w:tcPr>
            <w:tcW w:w="1384" w:type="dxa"/>
            <w:vMerge/>
            <w:tcBorders>
              <w:left w:val="single" w:sz="12" w:space="0" w:color="auto"/>
            </w:tcBorders>
          </w:tcPr>
          <w:p w14:paraId="76E119B7" w14:textId="77777777" w:rsidR="003B3105" w:rsidRDefault="003B3105" w:rsidP="001E533B">
            <w:pPr>
              <w:rPr>
                <w:rFonts w:ascii="新細明體" w:eastAsia="新細明體" w:hAnsi="新細明體"/>
              </w:rPr>
            </w:pPr>
          </w:p>
        </w:tc>
        <w:tc>
          <w:tcPr>
            <w:tcW w:w="1276" w:type="dxa"/>
            <w:vMerge/>
          </w:tcPr>
          <w:p w14:paraId="34A46643" w14:textId="77777777" w:rsidR="003B3105" w:rsidRDefault="003B3105" w:rsidP="001E533B">
            <w:pPr>
              <w:rPr>
                <w:rFonts w:ascii="新細明體" w:eastAsia="新細明體" w:hAnsi="新細明體"/>
              </w:rPr>
            </w:pPr>
          </w:p>
        </w:tc>
        <w:tc>
          <w:tcPr>
            <w:tcW w:w="5386" w:type="dxa"/>
            <w:tcBorders>
              <w:top w:val="nil"/>
              <w:bottom w:val="nil"/>
            </w:tcBorders>
          </w:tcPr>
          <w:p w14:paraId="21F3D7A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5.督導國內外分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遵循其所在地國家之法令。</w:t>
            </w:r>
          </w:p>
        </w:tc>
        <w:tc>
          <w:tcPr>
            <w:tcW w:w="5387" w:type="dxa"/>
            <w:tcBorders>
              <w:top w:val="nil"/>
              <w:bottom w:val="nil"/>
            </w:tcBorders>
          </w:tcPr>
          <w:p w14:paraId="22A50E2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5.督導國內外分</w:t>
            </w:r>
            <w:r>
              <w:rPr>
                <w:rFonts w:ascii="新細明體" w:eastAsia="新細明體" w:hAnsi="新細明體" w:cs="新細明體" w:hint="eastAsia"/>
                <w:b/>
                <w:color w:val="FF0000"/>
              </w:rPr>
              <w:t>公司</w:t>
            </w:r>
            <w:r>
              <w:rPr>
                <w:rFonts w:ascii="新細明體" w:eastAsia="新細明體" w:hAnsi="新細明體" w:cs="新細明體" w:hint="eastAsia"/>
              </w:rPr>
              <w:t>遵循其所在地國家之法令。</w:t>
            </w:r>
          </w:p>
        </w:tc>
        <w:tc>
          <w:tcPr>
            <w:tcW w:w="2023" w:type="dxa"/>
            <w:vMerge/>
            <w:tcBorders>
              <w:right w:val="single" w:sz="12" w:space="0" w:color="auto"/>
            </w:tcBorders>
          </w:tcPr>
          <w:p w14:paraId="311D3B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CA12FE" w14:textId="77777777">
        <w:tc>
          <w:tcPr>
            <w:tcW w:w="1384" w:type="dxa"/>
            <w:vMerge/>
            <w:tcBorders>
              <w:left w:val="single" w:sz="12" w:space="0" w:color="auto"/>
            </w:tcBorders>
          </w:tcPr>
          <w:p w14:paraId="0143B7A2" w14:textId="77777777" w:rsidR="003B3105" w:rsidRDefault="003B3105" w:rsidP="001E533B">
            <w:pPr>
              <w:rPr>
                <w:rFonts w:ascii="新細明體" w:eastAsia="新細明體" w:hAnsi="新細明體"/>
              </w:rPr>
            </w:pPr>
          </w:p>
        </w:tc>
        <w:tc>
          <w:tcPr>
            <w:tcW w:w="1276" w:type="dxa"/>
            <w:vMerge/>
          </w:tcPr>
          <w:p w14:paraId="1DE86CB7" w14:textId="77777777" w:rsidR="003B3105" w:rsidRDefault="003B3105" w:rsidP="001E533B">
            <w:pPr>
              <w:rPr>
                <w:rFonts w:ascii="新細明體" w:eastAsia="新細明體" w:hAnsi="新細明體"/>
              </w:rPr>
            </w:pPr>
          </w:p>
        </w:tc>
        <w:tc>
          <w:tcPr>
            <w:tcW w:w="5386" w:type="dxa"/>
            <w:tcBorders>
              <w:top w:val="nil"/>
              <w:bottom w:val="nil"/>
            </w:tcBorders>
          </w:tcPr>
          <w:p w14:paraId="789F580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6.其他經主管機關規定應辦理之事項。</w:t>
            </w:r>
          </w:p>
        </w:tc>
        <w:tc>
          <w:tcPr>
            <w:tcW w:w="5387" w:type="dxa"/>
            <w:tcBorders>
              <w:top w:val="nil"/>
              <w:bottom w:val="nil"/>
            </w:tcBorders>
          </w:tcPr>
          <w:p w14:paraId="140229E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6.其他經主管機關規定應辦理之事項。</w:t>
            </w:r>
          </w:p>
        </w:tc>
        <w:tc>
          <w:tcPr>
            <w:tcW w:w="2023" w:type="dxa"/>
            <w:vMerge/>
            <w:tcBorders>
              <w:right w:val="single" w:sz="12" w:space="0" w:color="auto"/>
            </w:tcBorders>
          </w:tcPr>
          <w:p w14:paraId="320E5B1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05A261" w14:textId="77777777">
        <w:tc>
          <w:tcPr>
            <w:tcW w:w="1384" w:type="dxa"/>
            <w:vMerge/>
            <w:tcBorders>
              <w:left w:val="single" w:sz="12" w:space="0" w:color="auto"/>
            </w:tcBorders>
          </w:tcPr>
          <w:p w14:paraId="4247819A" w14:textId="77777777" w:rsidR="003B3105" w:rsidRDefault="003B3105" w:rsidP="001E533B">
            <w:pPr>
              <w:rPr>
                <w:rFonts w:ascii="新細明體" w:eastAsia="新細明體" w:hAnsi="新細明體"/>
              </w:rPr>
            </w:pPr>
          </w:p>
        </w:tc>
        <w:tc>
          <w:tcPr>
            <w:tcW w:w="1276" w:type="dxa"/>
            <w:vMerge/>
          </w:tcPr>
          <w:p w14:paraId="4C43B701" w14:textId="77777777" w:rsidR="003B3105" w:rsidRDefault="003B3105" w:rsidP="001E533B">
            <w:pPr>
              <w:rPr>
                <w:rFonts w:ascii="新細明體" w:eastAsia="新細明體" w:hAnsi="新細明體"/>
              </w:rPr>
            </w:pPr>
          </w:p>
        </w:tc>
        <w:tc>
          <w:tcPr>
            <w:tcW w:w="5386" w:type="dxa"/>
            <w:tcBorders>
              <w:top w:val="nil"/>
              <w:bottom w:val="nil"/>
            </w:tcBorders>
          </w:tcPr>
          <w:p w14:paraId="5CD074D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(四)設有國外分公司者，負責法令遵循之單位是否督導國外分公司辦理下列事項：</w:t>
            </w:r>
          </w:p>
        </w:tc>
        <w:tc>
          <w:tcPr>
            <w:tcW w:w="5387" w:type="dxa"/>
            <w:tcBorders>
              <w:top w:val="nil"/>
              <w:bottom w:val="nil"/>
            </w:tcBorders>
          </w:tcPr>
          <w:p w14:paraId="441EF68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(四)設有國外分公司者，負責法令遵循之單位是否督導國外分公司辦理下列事項：</w:t>
            </w:r>
          </w:p>
        </w:tc>
        <w:tc>
          <w:tcPr>
            <w:tcW w:w="2023" w:type="dxa"/>
            <w:vMerge/>
            <w:tcBorders>
              <w:right w:val="single" w:sz="12" w:space="0" w:color="auto"/>
            </w:tcBorders>
          </w:tcPr>
          <w:p w14:paraId="72E583F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6515BF7" w14:textId="77777777">
        <w:tc>
          <w:tcPr>
            <w:tcW w:w="1384" w:type="dxa"/>
            <w:vMerge/>
            <w:tcBorders>
              <w:left w:val="single" w:sz="12" w:space="0" w:color="auto"/>
            </w:tcBorders>
          </w:tcPr>
          <w:p w14:paraId="75334DDC" w14:textId="77777777" w:rsidR="003B3105" w:rsidRDefault="003B3105" w:rsidP="001E533B">
            <w:pPr>
              <w:rPr>
                <w:rFonts w:ascii="新細明體" w:eastAsia="新細明體" w:hAnsi="新細明體"/>
              </w:rPr>
            </w:pPr>
          </w:p>
        </w:tc>
        <w:tc>
          <w:tcPr>
            <w:tcW w:w="1276" w:type="dxa"/>
            <w:vMerge/>
          </w:tcPr>
          <w:p w14:paraId="4C3EDCF8" w14:textId="77777777" w:rsidR="003B3105" w:rsidRDefault="003B3105" w:rsidP="001E533B">
            <w:pPr>
              <w:rPr>
                <w:rFonts w:ascii="新細明體" w:eastAsia="新細明體" w:hAnsi="新細明體"/>
              </w:rPr>
            </w:pPr>
          </w:p>
        </w:tc>
        <w:tc>
          <w:tcPr>
            <w:tcW w:w="5386" w:type="dxa"/>
            <w:tcBorders>
              <w:top w:val="nil"/>
              <w:bottom w:val="nil"/>
            </w:tcBorders>
          </w:tcPr>
          <w:p w14:paraId="22AFED3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1.蒐集當地金融法規資料、落實執行法令遵循自行評估作業、確保法令遵循主管適任性及法令遵循資源（含人員、配備及訓練） 是否適足等事項，以確保遵守其所在地國家之法令。</w:t>
            </w:r>
          </w:p>
        </w:tc>
        <w:tc>
          <w:tcPr>
            <w:tcW w:w="5387" w:type="dxa"/>
            <w:tcBorders>
              <w:top w:val="nil"/>
              <w:bottom w:val="nil"/>
            </w:tcBorders>
          </w:tcPr>
          <w:p w14:paraId="522CFA2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1.蒐集當地金融法規資料、落實執行法令遵循自行評估作業、確保法令遵循主管適任性及法令遵循資源（含人員、配備及訓練） 是否適足等事項，以確保遵守其所在地國家之法令。</w:t>
            </w:r>
          </w:p>
        </w:tc>
        <w:tc>
          <w:tcPr>
            <w:tcW w:w="2023" w:type="dxa"/>
            <w:vMerge/>
            <w:tcBorders>
              <w:right w:val="single" w:sz="12" w:space="0" w:color="auto"/>
            </w:tcBorders>
          </w:tcPr>
          <w:p w14:paraId="22857E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B97AA2" w14:textId="77777777">
        <w:tc>
          <w:tcPr>
            <w:tcW w:w="1384" w:type="dxa"/>
            <w:vMerge/>
            <w:tcBorders>
              <w:left w:val="single" w:sz="12" w:space="0" w:color="auto"/>
            </w:tcBorders>
          </w:tcPr>
          <w:p w14:paraId="2A421089" w14:textId="77777777" w:rsidR="003B3105" w:rsidRDefault="003B3105" w:rsidP="001E533B">
            <w:pPr>
              <w:rPr>
                <w:rFonts w:ascii="新細明體" w:eastAsia="新細明體" w:hAnsi="新細明體"/>
              </w:rPr>
            </w:pPr>
          </w:p>
        </w:tc>
        <w:tc>
          <w:tcPr>
            <w:tcW w:w="1276" w:type="dxa"/>
            <w:vMerge/>
          </w:tcPr>
          <w:p w14:paraId="438130B6" w14:textId="77777777" w:rsidR="003B3105" w:rsidRDefault="003B3105" w:rsidP="001E533B">
            <w:pPr>
              <w:rPr>
                <w:rFonts w:ascii="新細明體" w:eastAsia="新細明體" w:hAnsi="新細明體"/>
              </w:rPr>
            </w:pPr>
          </w:p>
        </w:tc>
        <w:tc>
          <w:tcPr>
            <w:tcW w:w="5386" w:type="dxa"/>
            <w:tcBorders>
              <w:top w:val="nil"/>
              <w:bottom w:val="nil"/>
            </w:tcBorders>
          </w:tcPr>
          <w:p w14:paraId="4E3680E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2.建立法令遵循風險之自行評估及監控機制，對於其中業務規模大、複雜度或風險程度高者，並應委請當地外部獨立專家驗證其法令遵循風險自行評估及監控機制之有效性。</w:t>
            </w:r>
          </w:p>
        </w:tc>
        <w:tc>
          <w:tcPr>
            <w:tcW w:w="5387" w:type="dxa"/>
            <w:tcBorders>
              <w:top w:val="nil"/>
              <w:bottom w:val="nil"/>
            </w:tcBorders>
          </w:tcPr>
          <w:p w14:paraId="1BFBB5A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2.建立法令遵循風險之自行評估及監控機制，對於其中業務規模大、複雜度或風險程度高者，並應委請當地外部獨立專家驗證其法令遵循風險自行評估及監控機制之有效性。</w:t>
            </w:r>
          </w:p>
        </w:tc>
        <w:tc>
          <w:tcPr>
            <w:tcW w:w="2023" w:type="dxa"/>
            <w:vMerge/>
            <w:tcBorders>
              <w:right w:val="single" w:sz="12" w:space="0" w:color="auto"/>
            </w:tcBorders>
          </w:tcPr>
          <w:p w14:paraId="227551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0EF8BBF" w14:textId="77777777">
        <w:tc>
          <w:tcPr>
            <w:tcW w:w="1384" w:type="dxa"/>
            <w:vMerge/>
            <w:tcBorders>
              <w:left w:val="single" w:sz="12" w:space="0" w:color="auto"/>
            </w:tcBorders>
          </w:tcPr>
          <w:p w14:paraId="2BA24F8D" w14:textId="77777777" w:rsidR="003B3105" w:rsidRDefault="003B3105" w:rsidP="001E533B">
            <w:pPr>
              <w:rPr>
                <w:rFonts w:ascii="新細明體" w:eastAsia="新細明體" w:hAnsi="新細明體"/>
              </w:rPr>
            </w:pPr>
          </w:p>
        </w:tc>
        <w:tc>
          <w:tcPr>
            <w:tcW w:w="1276" w:type="dxa"/>
            <w:vMerge/>
          </w:tcPr>
          <w:p w14:paraId="0CD29EA1" w14:textId="77777777" w:rsidR="003B3105" w:rsidRDefault="003B3105" w:rsidP="001E533B">
            <w:pPr>
              <w:rPr>
                <w:rFonts w:ascii="新細明體" w:eastAsia="新細明體" w:hAnsi="新細明體"/>
              </w:rPr>
            </w:pPr>
          </w:p>
        </w:tc>
        <w:tc>
          <w:tcPr>
            <w:tcW w:w="5386" w:type="dxa"/>
            <w:tcBorders>
              <w:top w:val="nil"/>
              <w:bottom w:val="nil"/>
            </w:tcBorders>
          </w:tcPr>
          <w:p w14:paraId="071C482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法令遵循自行評估作業，是否每年至少辦理一次（金融控股公司之子公司每半年至少須辦理一次），其辦理結果是否送法令遵循單位備查。各單位辦理自行評估作業，是否由該單位主管指定專人辦理。「法令遵循自行評估表」（代自行評估工作底稿）及資料是否至少保存五年。</w:t>
            </w:r>
          </w:p>
        </w:tc>
        <w:tc>
          <w:tcPr>
            <w:tcW w:w="5387" w:type="dxa"/>
            <w:tcBorders>
              <w:top w:val="nil"/>
              <w:bottom w:val="nil"/>
            </w:tcBorders>
          </w:tcPr>
          <w:p w14:paraId="6307D1F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法令遵循自行評估作業，是否每年至少辦理一次（金融控股公司之子公司每半年至少須辦理一次），其辦理結果是否送法令遵循單位備查。各單位辦理自行評估作業，是否由該單位主管指定專人辦理。「法令遵循自行評估表」（代自行評估工作底稿）及資料是否至少保存五年。</w:t>
            </w:r>
          </w:p>
        </w:tc>
        <w:tc>
          <w:tcPr>
            <w:tcW w:w="2023" w:type="dxa"/>
            <w:vMerge/>
            <w:tcBorders>
              <w:right w:val="single" w:sz="12" w:space="0" w:color="auto"/>
            </w:tcBorders>
          </w:tcPr>
          <w:p w14:paraId="3E0E982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744022" w14:textId="77777777">
        <w:tc>
          <w:tcPr>
            <w:tcW w:w="1384" w:type="dxa"/>
            <w:vMerge/>
            <w:tcBorders>
              <w:left w:val="single" w:sz="12" w:space="0" w:color="auto"/>
            </w:tcBorders>
          </w:tcPr>
          <w:p w14:paraId="10D10318" w14:textId="77777777" w:rsidR="003B3105" w:rsidRDefault="003B3105" w:rsidP="001E533B">
            <w:pPr>
              <w:rPr>
                <w:rFonts w:ascii="新細明體" w:eastAsia="新細明體" w:hAnsi="新細明體"/>
              </w:rPr>
            </w:pPr>
          </w:p>
        </w:tc>
        <w:tc>
          <w:tcPr>
            <w:tcW w:w="1276" w:type="dxa"/>
            <w:vMerge/>
          </w:tcPr>
          <w:p w14:paraId="3D7067FE" w14:textId="77777777" w:rsidR="003B3105" w:rsidRDefault="003B3105" w:rsidP="001E533B">
            <w:pPr>
              <w:rPr>
                <w:rFonts w:ascii="新細明體" w:eastAsia="新細明體" w:hAnsi="新細明體"/>
              </w:rPr>
            </w:pPr>
          </w:p>
        </w:tc>
        <w:tc>
          <w:tcPr>
            <w:tcW w:w="5386" w:type="dxa"/>
            <w:tcBorders>
              <w:top w:val="nil"/>
              <w:bottom w:val="nil"/>
            </w:tcBorders>
          </w:tcPr>
          <w:p w14:paraId="1C523E9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(六)內部稽核單位是否將法令遵循制度之執行情形，併入對業務及管理單位之查核。</w:t>
            </w:r>
          </w:p>
        </w:tc>
        <w:tc>
          <w:tcPr>
            <w:tcW w:w="5387" w:type="dxa"/>
            <w:tcBorders>
              <w:top w:val="nil"/>
              <w:bottom w:val="nil"/>
            </w:tcBorders>
          </w:tcPr>
          <w:p w14:paraId="1A36D22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(六)內部稽核單位是否將法令遵循制度之執行情形，併入對業務及管理單位之查核。</w:t>
            </w:r>
          </w:p>
        </w:tc>
        <w:tc>
          <w:tcPr>
            <w:tcW w:w="2023" w:type="dxa"/>
            <w:vMerge/>
            <w:tcBorders>
              <w:right w:val="single" w:sz="12" w:space="0" w:color="auto"/>
            </w:tcBorders>
          </w:tcPr>
          <w:p w14:paraId="442848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B700F1" w14:textId="77777777">
        <w:tc>
          <w:tcPr>
            <w:tcW w:w="1384" w:type="dxa"/>
            <w:vMerge/>
            <w:tcBorders>
              <w:left w:val="single" w:sz="12" w:space="0" w:color="auto"/>
            </w:tcBorders>
          </w:tcPr>
          <w:p w14:paraId="7ECD3C4D" w14:textId="77777777" w:rsidR="003B3105" w:rsidRDefault="003B3105" w:rsidP="001E533B">
            <w:pPr>
              <w:rPr>
                <w:rFonts w:ascii="新細明體" w:eastAsia="新細明體" w:hAnsi="新細明體"/>
              </w:rPr>
            </w:pPr>
          </w:p>
        </w:tc>
        <w:tc>
          <w:tcPr>
            <w:tcW w:w="1276" w:type="dxa"/>
            <w:vMerge/>
          </w:tcPr>
          <w:p w14:paraId="228F6204" w14:textId="77777777" w:rsidR="003B3105" w:rsidRDefault="003B3105" w:rsidP="001E533B">
            <w:pPr>
              <w:rPr>
                <w:rFonts w:ascii="新細明體" w:eastAsia="新細明體" w:hAnsi="新細明體"/>
              </w:rPr>
            </w:pPr>
          </w:p>
        </w:tc>
        <w:tc>
          <w:tcPr>
            <w:tcW w:w="5386" w:type="dxa"/>
            <w:tcBorders>
              <w:top w:val="nil"/>
              <w:bottom w:val="nil"/>
            </w:tcBorders>
          </w:tcPr>
          <w:p w14:paraId="71AFF9A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(七)法令遵循單位是否配置法令遵循主管，綜理法令遵循業務，除兼任法務單位主管與防制洗錢及打擊資恐專責單位主管外，是否未兼任內部其他職務。</w:t>
            </w:r>
          </w:p>
        </w:tc>
        <w:tc>
          <w:tcPr>
            <w:tcW w:w="5387" w:type="dxa"/>
            <w:tcBorders>
              <w:top w:val="nil"/>
              <w:bottom w:val="nil"/>
            </w:tcBorders>
          </w:tcPr>
          <w:p w14:paraId="0709A9C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(七)法令遵循單位是否配置法令遵循主管，綜理法令遵循業務，除兼任法務單位主管與防制洗錢及打擊資恐專責單位主管外，是否未兼任內部其他職務。</w:t>
            </w:r>
          </w:p>
        </w:tc>
        <w:tc>
          <w:tcPr>
            <w:tcW w:w="2023" w:type="dxa"/>
            <w:vMerge/>
            <w:tcBorders>
              <w:right w:val="single" w:sz="12" w:space="0" w:color="auto"/>
            </w:tcBorders>
          </w:tcPr>
          <w:p w14:paraId="18C3FC6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7F15BD" w14:textId="77777777">
        <w:tc>
          <w:tcPr>
            <w:tcW w:w="1384" w:type="dxa"/>
            <w:vMerge/>
            <w:tcBorders>
              <w:left w:val="single" w:sz="12" w:space="0" w:color="auto"/>
            </w:tcBorders>
          </w:tcPr>
          <w:p w14:paraId="54ABEB40" w14:textId="77777777" w:rsidR="003B3105" w:rsidRDefault="003B3105" w:rsidP="001E533B">
            <w:pPr>
              <w:rPr>
                <w:rFonts w:ascii="新細明體" w:eastAsia="新細明體" w:hAnsi="新細明體"/>
              </w:rPr>
            </w:pPr>
          </w:p>
        </w:tc>
        <w:tc>
          <w:tcPr>
            <w:tcW w:w="1276" w:type="dxa"/>
            <w:vMerge/>
          </w:tcPr>
          <w:p w14:paraId="626CDDF3" w14:textId="77777777" w:rsidR="003B3105" w:rsidRDefault="003B3105" w:rsidP="001E533B">
            <w:pPr>
              <w:rPr>
                <w:rFonts w:ascii="新細明體" w:eastAsia="新細明體" w:hAnsi="新細明體"/>
              </w:rPr>
            </w:pPr>
          </w:p>
        </w:tc>
        <w:tc>
          <w:tcPr>
            <w:tcW w:w="5386" w:type="dxa"/>
            <w:tcBorders>
              <w:top w:val="nil"/>
              <w:bottom w:val="nil"/>
            </w:tcBorders>
          </w:tcPr>
          <w:p w14:paraId="058B9C1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(八)法令遵循主管是否符合證券商負責人及業</w:t>
            </w:r>
            <w:r>
              <w:rPr>
                <w:rFonts w:ascii="新細明體" w:eastAsia="新細明體" w:hAnsi="新細明體" w:cs="新細明體" w:hint="eastAsia"/>
              </w:rPr>
              <w:lastRenderedPageBreak/>
              <w:t>務人員管理規則第五條所訂之資格條件。</w:t>
            </w:r>
          </w:p>
        </w:tc>
        <w:tc>
          <w:tcPr>
            <w:tcW w:w="5387" w:type="dxa"/>
            <w:tcBorders>
              <w:top w:val="nil"/>
              <w:bottom w:val="nil"/>
            </w:tcBorders>
          </w:tcPr>
          <w:p w14:paraId="57F06FB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(八)法令遵循主管是否符合證券商負責人及業</w:t>
            </w:r>
            <w:r>
              <w:rPr>
                <w:rFonts w:ascii="新細明體" w:eastAsia="新細明體" w:hAnsi="新細明體" w:cs="新細明體" w:hint="eastAsia"/>
              </w:rPr>
              <w:lastRenderedPageBreak/>
              <w:t>務人員管理規則第五條所訂之資格條件。</w:t>
            </w:r>
          </w:p>
        </w:tc>
        <w:tc>
          <w:tcPr>
            <w:tcW w:w="2023" w:type="dxa"/>
            <w:vMerge/>
            <w:tcBorders>
              <w:right w:val="single" w:sz="12" w:space="0" w:color="auto"/>
            </w:tcBorders>
          </w:tcPr>
          <w:p w14:paraId="3DFA399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2C2B8D" w14:textId="77777777">
        <w:tc>
          <w:tcPr>
            <w:tcW w:w="1384" w:type="dxa"/>
            <w:vMerge/>
            <w:tcBorders>
              <w:left w:val="single" w:sz="12" w:space="0" w:color="auto"/>
            </w:tcBorders>
          </w:tcPr>
          <w:p w14:paraId="7D71D7FC" w14:textId="77777777" w:rsidR="003B3105" w:rsidRDefault="003B3105" w:rsidP="001E533B">
            <w:pPr>
              <w:rPr>
                <w:rFonts w:ascii="新細明體" w:eastAsia="新細明體" w:hAnsi="新細明體"/>
              </w:rPr>
            </w:pPr>
          </w:p>
        </w:tc>
        <w:tc>
          <w:tcPr>
            <w:tcW w:w="1276" w:type="dxa"/>
            <w:vMerge/>
          </w:tcPr>
          <w:p w14:paraId="1377E712" w14:textId="77777777" w:rsidR="003B3105" w:rsidRDefault="003B3105" w:rsidP="001E533B">
            <w:pPr>
              <w:rPr>
                <w:rFonts w:ascii="新細明體" w:eastAsia="新細明體" w:hAnsi="新細明體"/>
              </w:rPr>
            </w:pPr>
          </w:p>
        </w:tc>
        <w:tc>
          <w:tcPr>
            <w:tcW w:w="5386" w:type="dxa"/>
            <w:tcBorders>
              <w:top w:val="nil"/>
              <w:bottom w:val="nil"/>
            </w:tcBorders>
          </w:tcPr>
          <w:p w14:paraId="79E84F3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(九)法令遵循單位是否配置適足適任之業務人員，其資格條件應符合證券商負責人及業務人員管理規則第六條之條件。</w:t>
            </w:r>
          </w:p>
        </w:tc>
        <w:tc>
          <w:tcPr>
            <w:tcW w:w="5387" w:type="dxa"/>
            <w:tcBorders>
              <w:top w:val="nil"/>
              <w:bottom w:val="nil"/>
            </w:tcBorders>
          </w:tcPr>
          <w:p w14:paraId="6033DB3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(九)法令遵循單位是否配置適足適任之業務人員，其資格條件應符合證券商負責人及業務人員管理規則第六條之條件。</w:t>
            </w:r>
          </w:p>
        </w:tc>
        <w:tc>
          <w:tcPr>
            <w:tcW w:w="2023" w:type="dxa"/>
            <w:vMerge/>
            <w:tcBorders>
              <w:right w:val="single" w:sz="12" w:space="0" w:color="auto"/>
            </w:tcBorders>
          </w:tcPr>
          <w:p w14:paraId="406E2F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587212" w14:textId="77777777">
        <w:tc>
          <w:tcPr>
            <w:tcW w:w="1384" w:type="dxa"/>
            <w:vMerge/>
            <w:tcBorders>
              <w:left w:val="single" w:sz="12" w:space="0" w:color="auto"/>
            </w:tcBorders>
          </w:tcPr>
          <w:p w14:paraId="5F8FB1E3" w14:textId="77777777" w:rsidR="003B3105" w:rsidRDefault="003B3105" w:rsidP="001E533B">
            <w:pPr>
              <w:rPr>
                <w:rFonts w:ascii="新細明體" w:eastAsia="新細明體" w:hAnsi="新細明體"/>
              </w:rPr>
            </w:pPr>
          </w:p>
        </w:tc>
        <w:tc>
          <w:tcPr>
            <w:tcW w:w="1276" w:type="dxa"/>
            <w:vMerge/>
          </w:tcPr>
          <w:p w14:paraId="26A8405C" w14:textId="77777777" w:rsidR="003B3105" w:rsidRDefault="003B3105" w:rsidP="001E533B">
            <w:pPr>
              <w:rPr>
                <w:rFonts w:ascii="新細明體" w:eastAsia="新細明體" w:hAnsi="新細明體"/>
              </w:rPr>
            </w:pPr>
          </w:p>
        </w:tc>
        <w:tc>
          <w:tcPr>
            <w:tcW w:w="5386" w:type="dxa"/>
            <w:tcBorders>
              <w:top w:val="nil"/>
              <w:bottom w:val="nil"/>
            </w:tcBorders>
          </w:tcPr>
          <w:p w14:paraId="1FB9DCA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(十)證券商推出各項新商品、服務及申請開辦新種業務前，法令遵循主管是否出具符合法令及內部規範之意見並簽署負責。</w:t>
            </w:r>
          </w:p>
        </w:tc>
        <w:tc>
          <w:tcPr>
            <w:tcW w:w="5387" w:type="dxa"/>
            <w:tcBorders>
              <w:top w:val="nil"/>
              <w:bottom w:val="nil"/>
            </w:tcBorders>
          </w:tcPr>
          <w:p w14:paraId="38535E6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(十)證券商推出各項新商品、服務及申請開辦新種業務前，法令遵循主管是否出具符合法令及內部規範之意見並簽署負責。</w:t>
            </w:r>
          </w:p>
        </w:tc>
        <w:tc>
          <w:tcPr>
            <w:tcW w:w="2023" w:type="dxa"/>
            <w:vMerge/>
            <w:tcBorders>
              <w:right w:val="single" w:sz="12" w:space="0" w:color="auto"/>
            </w:tcBorders>
          </w:tcPr>
          <w:p w14:paraId="71590D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(十一)法令遵循主管及業務人員資料之登記與變更，是否向證交所辦理申報。</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(十一)法令遵循主管及業務人員資料之登記與變更，是否向證交所辦理申報。</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EE60A" w14:textId="77777777" w:rsidR="00205F38" w:rsidRDefault="00205F38" w:rsidP="00E87601">
      <w:pPr>
        <w:spacing w:line="240" w:lineRule="auto"/>
      </w:pPr>
      <w:r>
        <w:separator/>
      </w:r>
    </w:p>
  </w:endnote>
  <w:endnote w:type="continuationSeparator" w:id="0">
    <w:p w14:paraId="4AD82D42" w14:textId="77777777" w:rsidR="00205F38" w:rsidRDefault="00205F38"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73DC2" w14:textId="77777777" w:rsidR="00205F38" w:rsidRDefault="00205F38" w:rsidP="00E87601">
      <w:pPr>
        <w:spacing w:line="240" w:lineRule="auto"/>
      </w:pPr>
      <w:r>
        <w:separator/>
      </w:r>
    </w:p>
  </w:footnote>
  <w:footnote w:type="continuationSeparator" w:id="0">
    <w:p w14:paraId="04BA6FB5" w14:textId="77777777" w:rsidR="00205F38" w:rsidRDefault="00205F38"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C56BA"/>
    <w:rsid w:val="001E533B"/>
    <w:rsid w:val="00200AE8"/>
    <w:rsid w:val="00205F38"/>
    <w:rsid w:val="00216524"/>
    <w:rsid w:val="00216A6E"/>
    <w:rsid w:val="002300E4"/>
    <w:rsid w:val="0024021C"/>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B77D9"/>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7794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366BB"/>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338</Words>
  <Characters>1930</Characters>
  <Application>Microsoft Office Word</Application>
  <DocSecurity>0</DocSecurity>
  <Lines>16</Lines>
  <Paragraphs>4</Paragraphs>
  <ScaleCrop>false</ScaleCrop>
  <Company>Hewlett-Packard Company</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3</cp:revision>
  <cp:lastPrinted>2004-03-09T19:20:00Z</cp:lastPrinted>
  <dcterms:created xsi:type="dcterms:W3CDTF">2026-03-08T07:56:00Z</dcterms:created>
  <dcterms:modified xsi:type="dcterms:W3CDTF">2026-05-19T03:10:00Z</dcterms:modified>
</cp:coreProperties>
</file>