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15DC180F" w14:textId="77777777" w:rsidTr="00206453">
        <w:tc>
          <w:tcPr>
            <w:tcW w:w="4853" w:type="dxa"/>
          </w:tcPr>
          <w:p w14:paraId="17AA270C"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5A8B938"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64D68C95" w14:textId="77777777" w:rsidR="00206453" w:rsidRDefault="00206453" w:rsidP="00A3347B">
            <w:pPr>
              <w:spacing w:line="300" w:lineRule="auto"/>
              <w:jc w:val="center"/>
              <w:rPr>
                <w:rFonts w:ascii="新細明體" w:hAnsi="新細明體"/>
                <w:color w:val="000000" w:themeColor="text1"/>
                <w:spacing w:val="24"/>
              </w:rPr>
            </w:pPr>
          </w:p>
        </w:tc>
      </w:tr>
      <w:tr w:rsidR="00206453" w14:paraId="5A196389" w14:textId="77777777" w:rsidTr="00206453">
        <w:tc>
          <w:tcPr>
            <w:tcW w:w="4853" w:type="dxa"/>
          </w:tcPr>
          <w:p w14:paraId="3793A874"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36B23C0A"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管理控制制度：法令遵循制度 </w:t>
            </w:r>
          </w:p>
        </w:tc>
        <w:tc>
          <w:tcPr>
            <w:tcW w:w="4854" w:type="dxa"/>
          </w:tcPr>
          <w:p w14:paraId="6EB61390" w14:textId="77777777" w:rsidR="00206453" w:rsidRDefault="00206453" w:rsidP="00A3347B">
            <w:pPr>
              <w:spacing w:line="300" w:lineRule="auto"/>
              <w:jc w:val="center"/>
              <w:rPr>
                <w:rFonts w:ascii="新細明體" w:hAnsi="新細明體"/>
                <w:color w:val="000000" w:themeColor="text1"/>
                <w:spacing w:val="24"/>
              </w:rPr>
            </w:pPr>
          </w:p>
        </w:tc>
      </w:tr>
      <w:tr w:rsidR="00206453" w14:paraId="3C935B97" w14:textId="77777777" w:rsidTr="00206453">
        <w:tc>
          <w:tcPr>
            <w:tcW w:w="4853" w:type="dxa"/>
          </w:tcPr>
          <w:p w14:paraId="1B0C7216"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作業週期：（每半年至少查核乙次）</w:t>
            </w:r>
          </w:p>
        </w:tc>
        <w:tc>
          <w:tcPr>
            <w:tcW w:w="4853" w:type="dxa"/>
          </w:tcPr>
          <w:p w14:paraId="47817E5F"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4DD9EE2F"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4C40D4C8"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7C2D7383"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76B5699D"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28A1A426"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5C22FFDF"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45BF0573"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5A08C1D1" w14:textId="77777777" w:rsidTr="00B77A59">
        <w:trPr>
          <w:cantSplit/>
          <w:trHeight w:hRule="exact" w:val="402"/>
          <w:tblHeader/>
        </w:trPr>
        <w:tc>
          <w:tcPr>
            <w:tcW w:w="1985" w:type="dxa"/>
            <w:vMerge/>
            <w:tcBorders>
              <w:left w:val="single" w:sz="12" w:space="0" w:color="auto"/>
            </w:tcBorders>
          </w:tcPr>
          <w:p w14:paraId="6E2FEBD9" w14:textId="77777777" w:rsidR="00A1667A" w:rsidRPr="00367148" w:rsidRDefault="00A1667A" w:rsidP="00647C22">
            <w:pPr>
              <w:rPr>
                <w:rFonts w:ascii="新細明體" w:hAnsi="新細明體"/>
                <w:color w:val="000000" w:themeColor="text1"/>
              </w:rPr>
            </w:pPr>
          </w:p>
        </w:tc>
        <w:tc>
          <w:tcPr>
            <w:tcW w:w="9383" w:type="dxa"/>
            <w:vMerge/>
          </w:tcPr>
          <w:p w14:paraId="3F77D2F3" w14:textId="77777777" w:rsidR="00A1667A" w:rsidRPr="00367148" w:rsidRDefault="00A1667A" w:rsidP="00647C22">
            <w:pPr>
              <w:rPr>
                <w:rFonts w:ascii="新細明體" w:hAnsi="新細明體"/>
                <w:color w:val="000000" w:themeColor="text1"/>
              </w:rPr>
            </w:pPr>
          </w:p>
        </w:tc>
        <w:tc>
          <w:tcPr>
            <w:tcW w:w="851" w:type="dxa"/>
          </w:tcPr>
          <w:p w14:paraId="72E49C80"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4754CDBD"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1B65B397"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27A758DC" w14:textId="77777777" w:rsidR="00A1667A" w:rsidRPr="00367148" w:rsidRDefault="00A1667A" w:rsidP="00647C22">
            <w:pPr>
              <w:rPr>
                <w:rFonts w:ascii="新細明體" w:hAnsi="新細明體"/>
                <w:color w:val="000000" w:themeColor="text1"/>
              </w:rPr>
            </w:pPr>
          </w:p>
        </w:tc>
      </w:tr>
      <w:tr w:rsidR="00367148" w:rsidRPr="00367148" w14:paraId="6B03D373" w14:textId="77777777" w:rsidTr="00260A68">
        <w:trPr>
          <w:trHeight w:val="489"/>
        </w:trPr>
        <w:tc>
          <w:tcPr>
            <w:tcW w:w="1985" w:type="dxa"/>
            <w:tcBorders>
              <w:left w:val="single" w:sz="12" w:space="0" w:color="auto"/>
            </w:tcBorders>
          </w:tcPr>
          <w:p w14:paraId="1D005D3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(FM-19400-S)</w:t>
            </w:r>
          </w:p>
          <w:p w14:paraId="32051592"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法令遵循制度</w:t>
            </w:r>
          </w:p>
        </w:tc>
        <w:tc>
          <w:tcPr>
            <w:tcW w:w="9383" w:type="dxa"/>
          </w:tcPr>
          <w:p w14:paraId="08194EEB" w14:textId="77777777" w:rsidR="00A76D7B" w:rsidRDefault="00000000">
            <w:pPr>
              <w:ind w:left="449" w:hangingChars="187" w:hanging="449"/>
            </w:pPr>
            <w:r>
              <w:t>一、經營證券承銷、自營及經紀業務之綜合證券商是否設立隸屬於總經理之法令遵循單位，負責法令遵循制度之規劃、管理及執行。</w:t>
            </w:r>
          </w:p>
          <w:p w14:paraId="4DF54EC8" w14:textId="77777777" w:rsidR="00A76D7B" w:rsidRDefault="00000000">
            <w:pPr>
              <w:ind w:left="449" w:hangingChars="187" w:hanging="449"/>
            </w:pPr>
            <w:r>
              <w:t>二、董事會是否指派高階主管一人擔任公司法令遵循主管，綜理法令遵循事務，至少每半年向董事會及各監察人報告，如發現有重大違反法令或遭主管機關調降評等時，是否即時通報董事及監察人，並就法令遵循事項，提報董事會，其報告內容是否至少包括上述事件原因分析、可能影響及改善建議。</w:t>
            </w:r>
          </w:p>
          <w:p w14:paraId="56DC3E73" w14:textId="77777777" w:rsidR="00A76D7B" w:rsidRDefault="00000000">
            <w:pPr>
              <w:ind w:left="449" w:hangingChars="187" w:hanging="449"/>
            </w:pPr>
            <w:r>
              <w:t>三、負責法令遵循之單位是否辦理下列事項：</w:t>
            </w:r>
          </w:p>
          <w:p w14:paraId="5A549BEA" w14:textId="77777777" w:rsidR="00A76D7B" w:rsidRDefault="00000000">
            <w:pPr>
              <w:ind w:leftChars="99" w:left="639" w:hangingChars="167" w:hanging="401"/>
            </w:pPr>
            <w:r>
              <w:t>(</w:t>
            </w:r>
            <w:r>
              <w:t>一</w:t>
            </w:r>
            <w:r>
              <w:t>)</w:t>
            </w:r>
            <w:r>
              <w:t>建立清楚適當之法令傳達、諮詢、協調與溝通系統。</w:t>
            </w:r>
          </w:p>
          <w:p w14:paraId="7AEE4D8D" w14:textId="77777777" w:rsidR="00A76D7B" w:rsidRDefault="00000000">
            <w:pPr>
              <w:ind w:leftChars="99" w:left="639" w:hangingChars="167" w:hanging="401"/>
            </w:pPr>
            <w:r>
              <w:t>(</w:t>
            </w:r>
            <w:r>
              <w:t>二</w:t>
            </w:r>
            <w:r>
              <w:t>)</w:t>
            </w:r>
            <w:r>
              <w:t>確認各項作業及管理規章均配合相關法規適時更新，使各項營運活動符合法令規定，並應建立確認機制，例如加註諮詢意見並簽章等。</w:t>
            </w:r>
          </w:p>
          <w:p w14:paraId="2322097E" w14:textId="77777777" w:rsidR="00A76D7B" w:rsidRDefault="00000000">
            <w:pPr>
              <w:ind w:leftChars="99" w:left="639" w:hangingChars="167" w:hanging="401"/>
            </w:pPr>
            <w:r>
              <w:t>(</w:t>
            </w:r>
            <w:r>
              <w:t>三</w:t>
            </w:r>
            <w:r>
              <w:t>)</w:t>
            </w:r>
            <w:r>
              <w:t>訂定法令遵循之評估內容與程序，並督導各單位定期自行評估執行情形。</w:t>
            </w:r>
          </w:p>
          <w:p w14:paraId="6BD2F692" w14:textId="77777777" w:rsidR="00A76D7B" w:rsidRDefault="00000000">
            <w:pPr>
              <w:ind w:leftChars="99" w:left="639" w:hangingChars="167" w:hanging="401"/>
            </w:pPr>
            <w:r>
              <w:t>(</w:t>
            </w:r>
            <w:r>
              <w:t>四</w:t>
            </w:r>
            <w:r>
              <w:t>)</w:t>
            </w:r>
            <w:r>
              <w:t>對各單位人員施以適當合宜之法規訓練。</w:t>
            </w:r>
          </w:p>
          <w:p w14:paraId="174A2A0A" w14:textId="77777777" w:rsidR="00A76D7B" w:rsidRDefault="00000000">
            <w:pPr>
              <w:ind w:leftChars="99" w:left="639" w:hangingChars="167" w:hanging="401"/>
            </w:pPr>
            <w:r>
              <w:t>(</w:t>
            </w:r>
            <w:r>
              <w:t>五</w:t>
            </w:r>
            <w:r>
              <w:t>)</w:t>
            </w:r>
            <w:r>
              <w:t>督導國內外分</w:t>
            </w:r>
            <w:r>
              <w:rPr>
                <w:strike/>
                <w:color w:val="FF0000"/>
              </w:rPr>
              <w:t>公司</w:t>
            </w:r>
            <w:r>
              <w:rPr>
                <w:u w:val="single"/>
              </w:rPr>
              <w:t>支機構及簡易分支機構</w:t>
            </w:r>
            <w:r>
              <w:t>遵循其所在地國家之法令。</w:t>
            </w:r>
          </w:p>
          <w:p w14:paraId="133B83CC" w14:textId="77777777" w:rsidR="00A76D7B" w:rsidRDefault="00000000">
            <w:pPr>
              <w:ind w:leftChars="99" w:left="639" w:hangingChars="167" w:hanging="401"/>
            </w:pPr>
            <w:r>
              <w:t>(</w:t>
            </w:r>
            <w:r>
              <w:t>六</w:t>
            </w:r>
            <w:r>
              <w:t>)</w:t>
            </w:r>
            <w:r>
              <w:t>其他經主管機關規定應辦理之事項。</w:t>
            </w:r>
          </w:p>
          <w:p w14:paraId="6D3BEB7E" w14:textId="77777777" w:rsidR="00A76D7B" w:rsidRDefault="00000000">
            <w:pPr>
              <w:ind w:left="449" w:hangingChars="187" w:hanging="449"/>
            </w:pPr>
            <w:r>
              <w:t>四、設有國外分公司者，負責法令遵循之單位是否督導國外分公司辦理下列事項：</w:t>
            </w:r>
          </w:p>
          <w:p w14:paraId="2EC63E6E" w14:textId="77777777" w:rsidR="00A76D7B" w:rsidRDefault="00000000">
            <w:pPr>
              <w:ind w:leftChars="99" w:left="639" w:hangingChars="167" w:hanging="401"/>
            </w:pPr>
            <w:r>
              <w:t>(</w:t>
            </w:r>
            <w:r>
              <w:t>一</w:t>
            </w:r>
            <w:r>
              <w:t>)</w:t>
            </w:r>
            <w:r>
              <w:t>蒐集當地金融法規資料、落實執行法令遵循自行評估作業、確保法令遵循主管適任性及法令遵循資源（含人員、配備及訓練）</w:t>
            </w:r>
            <w:r>
              <w:t xml:space="preserve"> </w:t>
            </w:r>
            <w:r>
              <w:t>是否適足等事項，以確保遵守其所在地國家之法令。</w:t>
            </w:r>
          </w:p>
          <w:p w14:paraId="0655CCF8" w14:textId="77777777" w:rsidR="00A76D7B" w:rsidRDefault="00000000">
            <w:pPr>
              <w:ind w:leftChars="99" w:left="639" w:hangingChars="167" w:hanging="401"/>
            </w:pPr>
            <w:r>
              <w:t>(</w:t>
            </w:r>
            <w:r>
              <w:t>二</w:t>
            </w:r>
            <w:r>
              <w:t>)</w:t>
            </w:r>
            <w:r>
              <w:t>建立法令遵循風險之自行評估及監控機制，對於其中業務規模大、複雜度或風險程度高者，並應委請當地外部獨立專家驗證其法令遵循風險自行評估及監控機制之有效性。</w:t>
            </w:r>
          </w:p>
          <w:p w14:paraId="24A4F2C1" w14:textId="77777777" w:rsidR="00A76D7B" w:rsidRDefault="00000000">
            <w:pPr>
              <w:ind w:left="449" w:hangingChars="187" w:hanging="449"/>
            </w:pPr>
            <w:r>
              <w:t>五、法令遵循自行評估作業，是否每年至少辦理一次（金融控股公司之子公司每半年至</w:t>
            </w:r>
            <w:r>
              <w:lastRenderedPageBreak/>
              <w:t>少須辦理一次），其辦理結果是否送法令遵循單位備查。各單位辦理自行評估作業，是否由該單位主管指定專人辦理。「法令遵循自行評估表」（代自行評估工作底稿）及資料是否至少保存五年。</w:t>
            </w:r>
          </w:p>
          <w:p w14:paraId="6701937A" w14:textId="77777777" w:rsidR="00A76D7B" w:rsidRDefault="00000000">
            <w:pPr>
              <w:ind w:left="449" w:hangingChars="187" w:hanging="449"/>
            </w:pPr>
            <w:r>
              <w:t>六、內部稽核單位是否將法令遵循制度之執行情形，併入對業務及管理單位之查核。</w:t>
            </w:r>
          </w:p>
          <w:p w14:paraId="4283A675" w14:textId="77777777" w:rsidR="00A76D7B" w:rsidRDefault="00000000">
            <w:pPr>
              <w:ind w:left="449" w:hangingChars="187" w:hanging="449"/>
            </w:pPr>
            <w:r>
              <w:t>七、法令遵循單位是否配置法令遵循主管，綜理法令遵循業務，除兼任法務單位主管與防制洗錢及打擊資恐專責單位主管外，是否未兼任內部其他職務。</w:t>
            </w:r>
          </w:p>
          <w:p w14:paraId="4F95A900" w14:textId="77777777" w:rsidR="00A76D7B" w:rsidRDefault="00000000">
            <w:pPr>
              <w:ind w:left="449" w:hangingChars="187" w:hanging="449"/>
            </w:pPr>
            <w:r>
              <w:t>八、法令遵循主管是否符合證券商負責人及業務人員管理規則第五條所訂之資格條件。</w:t>
            </w:r>
          </w:p>
          <w:p w14:paraId="3B813E51" w14:textId="77777777" w:rsidR="00A76D7B" w:rsidRDefault="00000000">
            <w:pPr>
              <w:ind w:left="449" w:hangingChars="187" w:hanging="449"/>
            </w:pPr>
            <w:r>
              <w:t>九、法令遵循單位是否配置適足適任之業務人員，其資格條件應符合證券商負責人及業務人員管理規則第六條之條件。</w:t>
            </w:r>
          </w:p>
          <w:p w14:paraId="684070AE" w14:textId="77777777" w:rsidR="00A76D7B" w:rsidRDefault="00000000">
            <w:pPr>
              <w:ind w:left="449" w:hangingChars="187" w:hanging="449"/>
            </w:pPr>
            <w:r>
              <w:t>十、證券商推出各項新商品、服務及申請開辦新種業務前，法令遵循主管是否出具符合法令及內部規範之意見並簽署負責。</w:t>
            </w:r>
          </w:p>
          <w:p w14:paraId="0B2FB974" w14:textId="77777777" w:rsidR="00A76D7B" w:rsidRDefault="00000000">
            <w:pPr>
              <w:ind w:left="703" w:hangingChars="293" w:hanging="703"/>
            </w:pPr>
            <w:r>
              <w:t>十一、法令遵循主管及業務人員資料之登記與變更，是否向證交所辦理申報。</w:t>
            </w:r>
          </w:p>
        </w:tc>
        <w:tc>
          <w:tcPr>
            <w:tcW w:w="851" w:type="dxa"/>
          </w:tcPr>
          <w:p w14:paraId="40EA3C61"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751B39A4"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307F31B4"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1AA29A3D" w14:textId="77777777" w:rsidR="00A1667A" w:rsidRPr="00367148" w:rsidRDefault="00A1667A" w:rsidP="00647C22">
            <w:pPr>
              <w:spacing w:line="260" w:lineRule="exact"/>
              <w:rPr>
                <w:rFonts w:ascii="新細明體" w:hAnsi="新細明體"/>
                <w:color w:val="000000" w:themeColor="text1"/>
              </w:rPr>
            </w:pPr>
          </w:p>
        </w:tc>
      </w:tr>
      <w:tr w:rsidR="00367148" w:rsidRPr="00367148" w14:paraId="3550649B" w14:textId="77777777" w:rsidTr="00455A5F">
        <w:trPr>
          <w:cantSplit/>
        </w:trPr>
        <w:tc>
          <w:tcPr>
            <w:tcW w:w="15054" w:type="dxa"/>
            <w:gridSpan w:val="6"/>
            <w:tcBorders>
              <w:left w:val="single" w:sz="12" w:space="0" w:color="auto"/>
              <w:bottom w:val="single" w:sz="12" w:space="0" w:color="auto"/>
              <w:right w:val="single" w:sz="12" w:space="0" w:color="auto"/>
            </w:tcBorders>
          </w:tcPr>
          <w:p w14:paraId="0CD3D2F3"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68306E37"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7880D" w14:textId="77777777" w:rsidR="00B031E1" w:rsidRDefault="00B031E1" w:rsidP="00D253DA">
      <w:r>
        <w:separator/>
      </w:r>
    </w:p>
  </w:endnote>
  <w:endnote w:type="continuationSeparator" w:id="0">
    <w:p w14:paraId="125B513B" w14:textId="77777777" w:rsidR="00B031E1" w:rsidRDefault="00B031E1"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2CA2F" w14:textId="77777777" w:rsidR="00B031E1" w:rsidRDefault="00B031E1" w:rsidP="00D253DA">
      <w:r>
        <w:separator/>
      </w:r>
    </w:p>
  </w:footnote>
  <w:footnote w:type="continuationSeparator" w:id="0">
    <w:p w14:paraId="5B97E8FE" w14:textId="77777777" w:rsidR="00B031E1" w:rsidRDefault="00B031E1"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6D7B"/>
    <w:rsid w:val="00A77465"/>
    <w:rsid w:val="00A804B1"/>
    <w:rsid w:val="00A863BF"/>
    <w:rsid w:val="00AA60EC"/>
    <w:rsid w:val="00AB5EAE"/>
    <w:rsid w:val="00AB60C4"/>
    <w:rsid w:val="00AC2A52"/>
    <w:rsid w:val="00AD06BC"/>
    <w:rsid w:val="00AF5854"/>
    <w:rsid w:val="00AF63DE"/>
    <w:rsid w:val="00B031E1"/>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233AF"/>
    <w:rsid w:val="00C40023"/>
    <w:rsid w:val="00C43224"/>
    <w:rsid w:val="00C502E5"/>
    <w:rsid w:val="00C54497"/>
    <w:rsid w:val="00C55D61"/>
    <w:rsid w:val="00C618D2"/>
    <w:rsid w:val="00C666C3"/>
    <w:rsid w:val="00C7577C"/>
    <w:rsid w:val="00C77171"/>
    <w:rsid w:val="00C80CB7"/>
    <w:rsid w:val="00C92619"/>
    <w:rsid w:val="00C9551B"/>
    <w:rsid w:val="00C97BBC"/>
    <w:rsid w:val="00CA3705"/>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4C82B"/>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傅筠嵐</cp:lastModifiedBy>
  <cp:revision>2</cp:revision>
  <cp:lastPrinted>2018-07-17T03:11:00Z</cp:lastPrinted>
  <dcterms:created xsi:type="dcterms:W3CDTF">2026-03-08T07:59:00Z</dcterms:created>
  <dcterms:modified xsi:type="dcterms:W3CDTF">2026-03-08T07:59:00Z</dcterms:modified>
</cp:coreProperties>
</file>