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061B3189"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CO-60000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總則</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配合主管機關114年9月2日金管證券字第1140346348號令明定證券商應設置之專任內部稽核最低人數，爰修正之。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一、訂定依據：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一、訂定依據：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531B31" w14:textId="77777777">
        <w:tc>
          <w:tcPr>
            <w:tcW w:w="1384" w:type="dxa"/>
            <w:vMerge/>
            <w:tcBorders>
              <w:left w:val="single" w:sz="12" w:space="0" w:color="auto"/>
            </w:tcBorders>
          </w:tcPr>
          <w:p w14:paraId="4A43FE63" w14:textId="77777777" w:rsidR="003B3105" w:rsidRDefault="003B3105" w:rsidP="001E533B">
            <w:pPr>
              <w:rPr>
                <w:rFonts w:ascii="新細明體" w:eastAsia="新細明體" w:hAnsi="新細明體"/>
              </w:rPr>
            </w:pPr>
          </w:p>
        </w:tc>
        <w:tc>
          <w:tcPr>
            <w:tcW w:w="1276" w:type="dxa"/>
            <w:vMerge/>
          </w:tcPr>
          <w:p w14:paraId="2D82FCC6" w14:textId="77777777" w:rsidR="003B3105" w:rsidRDefault="003B3105" w:rsidP="001E533B">
            <w:pPr>
              <w:rPr>
                <w:rFonts w:ascii="新細明體" w:eastAsia="新細明體" w:hAnsi="新細明體"/>
              </w:rPr>
            </w:pPr>
          </w:p>
        </w:tc>
        <w:tc>
          <w:tcPr>
            <w:tcW w:w="5386" w:type="dxa"/>
            <w:tcBorders>
              <w:top w:val="nil"/>
              <w:bottom w:val="nil"/>
            </w:tcBorders>
          </w:tcPr>
          <w:p w14:paraId="1528057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期貨商經營證券交易輔助業務管理規則」第九條規定，期貨商經營證券交易輔助業務者（以下簡稱證券交易輔助人）應依證券交易所等證券相關機構共同訂定之期貨商經營證券交易輔助業務內部控制制度標準規範之規定，訂定內部控制制度。</w:t>
            </w:r>
          </w:p>
        </w:tc>
        <w:tc>
          <w:tcPr>
            <w:tcW w:w="5387" w:type="dxa"/>
            <w:tcBorders>
              <w:top w:val="nil"/>
              <w:bottom w:val="nil"/>
            </w:tcBorders>
          </w:tcPr>
          <w:p w14:paraId="3B671973"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期貨商經營證券交易輔助業務管理規則」第九條規定，期貨商經營證券交易輔助業務者（以下簡稱證券交易輔助人）應依證券交易所等證券相關機構共同訂定之期貨商經營證券交易輔助業務內部控制制度標準規範之規定，訂定內部控制制度。</w:t>
            </w:r>
          </w:p>
        </w:tc>
        <w:tc>
          <w:tcPr>
            <w:tcW w:w="2023" w:type="dxa"/>
            <w:vMerge/>
            <w:tcBorders>
              <w:right w:val="single" w:sz="12" w:space="0" w:color="auto"/>
            </w:tcBorders>
          </w:tcPr>
          <w:p w14:paraId="7D481B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A3FBE6" w14:textId="77777777">
        <w:tc>
          <w:tcPr>
            <w:tcW w:w="1384" w:type="dxa"/>
            <w:vMerge/>
            <w:tcBorders>
              <w:left w:val="single" w:sz="12" w:space="0" w:color="auto"/>
            </w:tcBorders>
          </w:tcPr>
          <w:p w14:paraId="59471B03" w14:textId="77777777" w:rsidR="003B3105" w:rsidRDefault="003B3105" w:rsidP="001E533B">
            <w:pPr>
              <w:rPr>
                <w:rFonts w:ascii="新細明體" w:eastAsia="新細明體" w:hAnsi="新細明體"/>
              </w:rPr>
            </w:pPr>
          </w:p>
        </w:tc>
        <w:tc>
          <w:tcPr>
            <w:tcW w:w="1276" w:type="dxa"/>
            <w:vMerge/>
          </w:tcPr>
          <w:p w14:paraId="17E437BB" w14:textId="77777777" w:rsidR="003B3105" w:rsidRDefault="003B3105" w:rsidP="001E533B">
            <w:pPr>
              <w:rPr>
                <w:rFonts w:ascii="新細明體" w:eastAsia="新細明體" w:hAnsi="新細明體"/>
              </w:rPr>
            </w:pPr>
          </w:p>
        </w:tc>
        <w:tc>
          <w:tcPr>
            <w:tcW w:w="5386" w:type="dxa"/>
            <w:tcBorders>
              <w:top w:val="nil"/>
              <w:bottom w:val="nil"/>
            </w:tcBorders>
          </w:tcPr>
          <w:p w14:paraId="293ABB2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本標準規範依據「證券暨期貨市場各服務事業建立內部控制制度處理準則」等相關法規編製而成。</w:t>
            </w:r>
          </w:p>
        </w:tc>
        <w:tc>
          <w:tcPr>
            <w:tcW w:w="5387" w:type="dxa"/>
            <w:tcBorders>
              <w:top w:val="nil"/>
              <w:bottom w:val="nil"/>
            </w:tcBorders>
          </w:tcPr>
          <w:p w14:paraId="4D2AA62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本標準規範依據「證券暨期貨市場各服務事業建立內部控制制度處理準則」等相關法規編製而成。</w:t>
            </w:r>
          </w:p>
        </w:tc>
        <w:tc>
          <w:tcPr>
            <w:tcW w:w="2023" w:type="dxa"/>
            <w:vMerge/>
            <w:tcBorders>
              <w:right w:val="single" w:sz="12" w:space="0" w:color="auto"/>
            </w:tcBorders>
          </w:tcPr>
          <w:p w14:paraId="7835F2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3C2C8C" w14:textId="77777777">
        <w:tc>
          <w:tcPr>
            <w:tcW w:w="1384" w:type="dxa"/>
            <w:vMerge/>
            <w:tcBorders>
              <w:left w:val="single" w:sz="12" w:space="0" w:color="auto"/>
            </w:tcBorders>
          </w:tcPr>
          <w:p w14:paraId="56038EC7" w14:textId="77777777" w:rsidR="003B3105" w:rsidRDefault="003B3105" w:rsidP="001E533B">
            <w:pPr>
              <w:rPr>
                <w:rFonts w:ascii="新細明體" w:eastAsia="新細明體" w:hAnsi="新細明體"/>
              </w:rPr>
            </w:pPr>
          </w:p>
        </w:tc>
        <w:tc>
          <w:tcPr>
            <w:tcW w:w="1276" w:type="dxa"/>
            <w:vMerge/>
          </w:tcPr>
          <w:p w14:paraId="61895B88" w14:textId="77777777" w:rsidR="003B3105" w:rsidRDefault="003B3105" w:rsidP="001E533B">
            <w:pPr>
              <w:rPr>
                <w:rFonts w:ascii="新細明體" w:eastAsia="新細明體" w:hAnsi="新細明體"/>
              </w:rPr>
            </w:pPr>
          </w:p>
        </w:tc>
        <w:tc>
          <w:tcPr>
            <w:tcW w:w="5386" w:type="dxa"/>
            <w:tcBorders>
              <w:top w:val="nil"/>
              <w:bottom w:val="nil"/>
            </w:tcBorders>
          </w:tcPr>
          <w:p w14:paraId="6D89582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本標準規範係為各證券交易輔助人訂定內部控制制度之最低要求標準，各證券交易輔助人仍應視其規模、業務範圍等訂定有效之內部控制制度之規範。</w:t>
            </w:r>
          </w:p>
        </w:tc>
        <w:tc>
          <w:tcPr>
            <w:tcW w:w="5387" w:type="dxa"/>
            <w:tcBorders>
              <w:top w:val="nil"/>
              <w:bottom w:val="nil"/>
            </w:tcBorders>
          </w:tcPr>
          <w:p w14:paraId="4908CC8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本標準規範係為各證券交易輔助人訂定內部控制制度之最低要求標準，各證券交易輔助人仍應視其規模、業務範圍等訂定有效之內部控制制度之規範。</w:t>
            </w:r>
          </w:p>
        </w:tc>
        <w:tc>
          <w:tcPr>
            <w:tcW w:w="2023" w:type="dxa"/>
            <w:vMerge/>
            <w:tcBorders>
              <w:right w:val="single" w:sz="12" w:space="0" w:color="auto"/>
            </w:tcBorders>
          </w:tcPr>
          <w:p w14:paraId="719A4B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B113C1" w14:textId="77777777">
        <w:tc>
          <w:tcPr>
            <w:tcW w:w="1384" w:type="dxa"/>
            <w:vMerge/>
            <w:tcBorders>
              <w:left w:val="single" w:sz="12" w:space="0" w:color="auto"/>
            </w:tcBorders>
          </w:tcPr>
          <w:p w14:paraId="6A85BFEA" w14:textId="77777777" w:rsidR="003B3105" w:rsidRDefault="003B3105" w:rsidP="001E533B">
            <w:pPr>
              <w:rPr>
                <w:rFonts w:ascii="新細明體" w:eastAsia="新細明體" w:hAnsi="新細明體"/>
              </w:rPr>
            </w:pPr>
          </w:p>
        </w:tc>
        <w:tc>
          <w:tcPr>
            <w:tcW w:w="1276" w:type="dxa"/>
            <w:vMerge/>
          </w:tcPr>
          <w:p w14:paraId="282051AC" w14:textId="77777777" w:rsidR="003B3105" w:rsidRDefault="003B3105" w:rsidP="001E533B">
            <w:pPr>
              <w:rPr>
                <w:rFonts w:ascii="新細明體" w:eastAsia="新細明體" w:hAnsi="新細明體"/>
              </w:rPr>
            </w:pPr>
          </w:p>
        </w:tc>
        <w:tc>
          <w:tcPr>
            <w:tcW w:w="5386" w:type="dxa"/>
            <w:tcBorders>
              <w:top w:val="nil"/>
              <w:bottom w:val="nil"/>
            </w:tcBorders>
          </w:tcPr>
          <w:p w14:paraId="7AE9E8E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二、本標準規範之使用：</w:t>
            </w:r>
          </w:p>
        </w:tc>
        <w:tc>
          <w:tcPr>
            <w:tcW w:w="5387" w:type="dxa"/>
            <w:tcBorders>
              <w:top w:val="nil"/>
              <w:bottom w:val="nil"/>
            </w:tcBorders>
          </w:tcPr>
          <w:p w14:paraId="7A98F9A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二、本標準規範之使用：</w:t>
            </w:r>
          </w:p>
        </w:tc>
        <w:tc>
          <w:tcPr>
            <w:tcW w:w="2023" w:type="dxa"/>
            <w:vMerge/>
            <w:tcBorders>
              <w:right w:val="single" w:sz="12" w:space="0" w:color="auto"/>
            </w:tcBorders>
          </w:tcPr>
          <w:p w14:paraId="59AF43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EFAF4F" w14:textId="77777777">
        <w:tc>
          <w:tcPr>
            <w:tcW w:w="1384" w:type="dxa"/>
            <w:vMerge/>
            <w:tcBorders>
              <w:left w:val="single" w:sz="12" w:space="0" w:color="auto"/>
            </w:tcBorders>
          </w:tcPr>
          <w:p w14:paraId="2B4F9700" w14:textId="77777777" w:rsidR="003B3105" w:rsidRDefault="003B3105" w:rsidP="001E533B">
            <w:pPr>
              <w:rPr>
                <w:rFonts w:ascii="新細明體" w:eastAsia="新細明體" w:hAnsi="新細明體"/>
              </w:rPr>
            </w:pPr>
          </w:p>
        </w:tc>
        <w:tc>
          <w:tcPr>
            <w:tcW w:w="1276" w:type="dxa"/>
            <w:vMerge/>
          </w:tcPr>
          <w:p w14:paraId="2760A435" w14:textId="77777777" w:rsidR="003B3105" w:rsidRDefault="003B3105" w:rsidP="001E533B">
            <w:pPr>
              <w:rPr>
                <w:rFonts w:ascii="新細明體" w:eastAsia="新細明體" w:hAnsi="新細明體"/>
              </w:rPr>
            </w:pPr>
          </w:p>
        </w:tc>
        <w:tc>
          <w:tcPr>
            <w:tcW w:w="5386" w:type="dxa"/>
            <w:tcBorders>
              <w:top w:val="nil"/>
              <w:bottom w:val="nil"/>
            </w:tcBorders>
          </w:tcPr>
          <w:p w14:paraId="41884A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控制制度之設計，須考量公司控制環境、風險評估、控制作業、資訊及溝通、監督等控制因素訂定。本標準規範主要目的在提供形式上的範例，供各證券交易輔助人編製內部控制制度時之參考；至於實質內容，由於各證券交易輔助人規模大小、組織架構、管理方式不一，故本標準規範僅就該制度之控制重點作原則性規範，對各相關之內部管理控制用之規章、辦法、要點，如員工管</w:t>
            </w:r>
            <w:r>
              <w:rPr>
                <w:rFonts w:ascii="新細明體" w:eastAsia="新細明體" w:hAnsi="新細明體" w:cs="新細明體" w:hint="eastAsia"/>
              </w:rPr>
              <w:lastRenderedPageBreak/>
              <w:t>理規則、印鑑使用管理規章、會計制度等，則由各證券交易輔助人就其授權、核准、執行程序及相關控制表單自行訂立書面制度。</w:t>
            </w:r>
          </w:p>
        </w:tc>
        <w:tc>
          <w:tcPr>
            <w:tcW w:w="5387" w:type="dxa"/>
            <w:tcBorders>
              <w:top w:val="nil"/>
              <w:bottom w:val="nil"/>
            </w:tcBorders>
          </w:tcPr>
          <w:p w14:paraId="249E70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一)內部控制制度之設計，須考量公司控制環境、風險評估、控制作業、資訊及溝通、監督等控制因素訂定。本標準規範主要目的在提供形式上的範例，供各證券交易輔助人編製內部控制制度時之參考；至於實質內容，由於各證券交易輔助人規模大小、組織架構、管理方式不一，故本標準規範僅就該制度之控制重點作原則性規範，對各相關之內部管理控制用之規章、辦法、要點，如員工管</w:t>
            </w:r>
            <w:r>
              <w:rPr>
                <w:rFonts w:ascii="新細明體" w:eastAsia="新細明體" w:hAnsi="新細明體" w:cs="新細明體" w:hint="eastAsia"/>
              </w:rPr>
              <w:lastRenderedPageBreak/>
              <w:t>理規則、印鑑使用管理規章、會計制度等，則由各證券交易輔助人就其授權、核准、執行程序及相關控制表單自行訂立書面制度。</w:t>
            </w:r>
          </w:p>
        </w:tc>
        <w:tc>
          <w:tcPr>
            <w:tcW w:w="2023" w:type="dxa"/>
            <w:vMerge/>
            <w:tcBorders>
              <w:right w:val="single" w:sz="12" w:space="0" w:color="auto"/>
            </w:tcBorders>
          </w:tcPr>
          <w:p w14:paraId="6D602E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7C9F91" w14:textId="77777777">
        <w:tc>
          <w:tcPr>
            <w:tcW w:w="1384" w:type="dxa"/>
            <w:vMerge/>
            <w:tcBorders>
              <w:left w:val="single" w:sz="12" w:space="0" w:color="auto"/>
            </w:tcBorders>
          </w:tcPr>
          <w:p w14:paraId="0F253EE5" w14:textId="77777777" w:rsidR="003B3105" w:rsidRDefault="003B3105" w:rsidP="001E533B">
            <w:pPr>
              <w:rPr>
                <w:rFonts w:ascii="新細明體" w:eastAsia="新細明體" w:hAnsi="新細明體"/>
              </w:rPr>
            </w:pPr>
          </w:p>
        </w:tc>
        <w:tc>
          <w:tcPr>
            <w:tcW w:w="1276" w:type="dxa"/>
            <w:vMerge/>
          </w:tcPr>
          <w:p w14:paraId="22EA9ED3" w14:textId="77777777" w:rsidR="003B3105" w:rsidRDefault="003B3105" w:rsidP="001E533B">
            <w:pPr>
              <w:rPr>
                <w:rFonts w:ascii="新細明體" w:eastAsia="新細明體" w:hAnsi="新細明體"/>
              </w:rPr>
            </w:pPr>
          </w:p>
        </w:tc>
        <w:tc>
          <w:tcPr>
            <w:tcW w:w="5386" w:type="dxa"/>
            <w:tcBorders>
              <w:top w:val="nil"/>
              <w:bottom w:val="nil"/>
            </w:tcBorders>
          </w:tcPr>
          <w:p w14:paraId="1DDBD1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各證券交易輔助人自訂之內部控制制度，其作業程序及控制重點至少應包括本標準規範所訂內容，並得視公司本身經營狀況自行增列控制重點，惟自行增列部分，不得違反相關法令規章或集保作業手冊等規定。爾後如有法令增、修訂或公司內、外在情況變動等情事，應依最新法令規章要求辦理，並即配合檢討、修正其內部控制制度內容，以確保制度之完整性及有效性。</w:t>
            </w:r>
          </w:p>
        </w:tc>
        <w:tc>
          <w:tcPr>
            <w:tcW w:w="5387" w:type="dxa"/>
            <w:tcBorders>
              <w:top w:val="nil"/>
              <w:bottom w:val="nil"/>
            </w:tcBorders>
          </w:tcPr>
          <w:p w14:paraId="14EDF0B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各證券交易輔助人自訂之內部控制制度，其作業程序及控制重點至少應包括本標準規範所訂內容，並得視公司本身經營狀況自行增列控制重點，惟自行增列部分，不得違反相關法令規章或集保作業手冊等規定。爾後如有法令增、修訂或公司內、外在情況變動等情事，應依最新法令規章要求辦理，並即配合檢討、修正其內部控制制度內容，以確保制度之完整性及有效性。</w:t>
            </w:r>
          </w:p>
        </w:tc>
        <w:tc>
          <w:tcPr>
            <w:tcW w:w="2023" w:type="dxa"/>
            <w:vMerge/>
            <w:tcBorders>
              <w:right w:val="single" w:sz="12" w:space="0" w:color="auto"/>
            </w:tcBorders>
          </w:tcPr>
          <w:p w14:paraId="0738CF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F302A1" w14:textId="77777777">
        <w:tc>
          <w:tcPr>
            <w:tcW w:w="1384" w:type="dxa"/>
            <w:vMerge/>
            <w:tcBorders>
              <w:left w:val="single" w:sz="12" w:space="0" w:color="auto"/>
            </w:tcBorders>
          </w:tcPr>
          <w:p w14:paraId="2D023726" w14:textId="77777777" w:rsidR="003B3105" w:rsidRDefault="003B3105" w:rsidP="001E533B">
            <w:pPr>
              <w:rPr>
                <w:rFonts w:ascii="新細明體" w:eastAsia="新細明體" w:hAnsi="新細明體"/>
              </w:rPr>
            </w:pPr>
          </w:p>
        </w:tc>
        <w:tc>
          <w:tcPr>
            <w:tcW w:w="1276" w:type="dxa"/>
            <w:vMerge/>
          </w:tcPr>
          <w:p w14:paraId="490A6C7E" w14:textId="77777777" w:rsidR="003B3105" w:rsidRDefault="003B3105" w:rsidP="001E533B">
            <w:pPr>
              <w:rPr>
                <w:rFonts w:ascii="新細明體" w:eastAsia="新細明體" w:hAnsi="新細明體"/>
              </w:rPr>
            </w:pPr>
          </w:p>
        </w:tc>
        <w:tc>
          <w:tcPr>
            <w:tcW w:w="5386" w:type="dxa"/>
            <w:tcBorders>
              <w:top w:val="nil"/>
              <w:bottom w:val="nil"/>
            </w:tcBorders>
          </w:tcPr>
          <w:p w14:paraId="2FF106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(三)本標準規範中各單位名稱簡稱如下：</w:t>
            </w:r>
          </w:p>
        </w:tc>
        <w:tc>
          <w:tcPr>
            <w:tcW w:w="5387" w:type="dxa"/>
            <w:tcBorders>
              <w:top w:val="nil"/>
              <w:bottom w:val="nil"/>
            </w:tcBorders>
          </w:tcPr>
          <w:p w14:paraId="4C9CB9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(三)本標準規範中各單位名稱簡稱如下：</w:t>
            </w:r>
          </w:p>
        </w:tc>
        <w:tc>
          <w:tcPr>
            <w:tcW w:w="2023" w:type="dxa"/>
            <w:vMerge/>
            <w:tcBorders>
              <w:right w:val="single" w:sz="12" w:space="0" w:color="auto"/>
            </w:tcBorders>
          </w:tcPr>
          <w:p w14:paraId="33886E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014D44" w14:textId="77777777">
        <w:tc>
          <w:tcPr>
            <w:tcW w:w="1384" w:type="dxa"/>
            <w:vMerge/>
            <w:tcBorders>
              <w:left w:val="single" w:sz="12" w:space="0" w:color="auto"/>
            </w:tcBorders>
          </w:tcPr>
          <w:p w14:paraId="6CB89169" w14:textId="77777777" w:rsidR="003B3105" w:rsidRDefault="003B3105" w:rsidP="001E533B">
            <w:pPr>
              <w:rPr>
                <w:rFonts w:ascii="新細明體" w:eastAsia="新細明體" w:hAnsi="新細明體"/>
              </w:rPr>
            </w:pPr>
          </w:p>
        </w:tc>
        <w:tc>
          <w:tcPr>
            <w:tcW w:w="1276" w:type="dxa"/>
            <w:vMerge/>
          </w:tcPr>
          <w:p w14:paraId="7FAF4873" w14:textId="77777777" w:rsidR="003B3105" w:rsidRDefault="003B3105" w:rsidP="001E533B">
            <w:pPr>
              <w:rPr>
                <w:rFonts w:ascii="新細明體" w:eastAsia="新細明體" w:hAnsi="新細明體"/>
              </w:rPr>
            </w:pPr>
          </w:p>
        </w:tc>
        <w:tc>
          <w:tcPr>
            <w:tcW w:w="5386" w:type="dxa"/>
            <w:tcBorders>
              <w:top w:val="nil"/>
              <w:bottom w:val="nil"/>
            </w:tcBorders>
          </w:tcPr>
          <w:p w14:paraId="027B65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1.金融監督管理委員會：主管機關</w:t>
            </w:r>
          </w:p>
        </w:tc>
        <w:tc>
          <w:tcPr>
            <w:tcW w:w="5387" w:type="dxa"/>
            <w:tcBorders>
              <w:top w:val="nil"/>
              <w:bottom w:val="nil"/>
            </w:tcBorders>
          </w:tcPr>
          <w:p w14:paraId="52FC62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1.金融監督管理委員會：主管機關</w:t>
            </w:r>
          </w:p>
        </w:tc>
        <w:tc>
          <w:tcPr>
            <w:tcW w:w="2023" w:type="dxa"/>
            <w:vMerge/>
            <w:tcBorders>
              <w:right w:val="single" w:sz="12" w:space="0" w:color="auto"/>
            </w:tcBorders>
          </w:tcPr>
          <w:p w14:paraId="376829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374F44" w14:textId="77777777">
        <w:tc>
          <w:tcPr>
            <w:tcW w:w="1384" w:type="dxa"/>
            <w:vMerge/>
            <w:tcBorders>
              <w:left w:val="single" w:sz="12" w:space="0" w:color="auto"/>
            </w:tcBorders>
          </w:tcPr>
          <w:p w14:paraId="76FDE4F8" w14:textId="77777777" w:rsidR="003B3105" w:rsidRDefault="003B3105" w:rsidP="001E533B">
            <w:pPr>
              <w:rPr>
                <w:rFonts w:ascii="新細明體" w:eastAsia="新細明體" w:hAnsi="新細明體"/>
              </w:rPr>
            </w:pPr>
          </w:p>
        </w:tc>
        <w:tc>
          <w:tcPr>
            <w:tcW w:w="1276" w:type="dxa"/>
            <w:vMerge/>
          </w:tcPr>
          <w:p w14:paraId="0545F1F0" w14:textId="77777777" w:rsidR="003B3105" w:rsidRDefault="003B3105" w:rsidP="001E533B">
            <w:pPr>
              <w:rPr>
                <w:rFonts w:ascii="新細明體" w:eastAsia="新細明體" w:hAnsi="新細明體"/>
              </w:rPr>
            </w:pPr>
          </w:p>
        </w:tc>
        <w:tc>
          <w:tcPr>
            <w:tcW w:w="5386" w:type="dxa"/>
            <w:tcBorders>
              <w:top w:val="nil"/>
              <w:bottom w:val="nil"/>
            </w:tcBorders>
          </w:tcPr>
          <w:p w14:paraId="675F30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2.臺灣證券交易所股份有限公司：證交所</w:t>
            </w:r>
          </w:p>
        </w:tc>
        <w:tc>
          <w:tcPr>
            <w:tcW w:w="5387" w:type="dxa"/>
            <w:tcBorders>
              <w:top w:val="nil"/>
              <w:bottom w:val="nil"/>
            </w:tcBorders>
          </w:tcPr>
          <w:p w14:paraId="49DED25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2.臺灣證券交易所股份有限公司：證交所</w:t>
            </w:r>
          </w:p>
        </w:tc>
        <w:tc>
          <w:tcPr>
            <w:tcW w:w="2023" w:type="dxa"/>
            <w:vMerge/>
            <w:tcBorders>
              <w:right w:val="single" w:sz="12" w:space="0" w:color="auto"/>
            </w:tcBorders>
          </w:tcPr>
          <w:p w14:paraId="0437B5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C060D6" w14:textId="77777777">
        <w:tc>
          <w:tcPr>
            <w:tcW w:w="1384" w:type="dxa"/>
            <w:vMerge/>
            <w:tcBorders>
              <w:left w:val="single" w:sz="12" w:space="0" w:color="auto"/>
            </w:tcBorders>
          </w:tcPr>
          <w:p w14:paraId="2CE8C08A" w14:textId="77777777" w:rsidR="003B3105" w:rsidRDefault="003B3105" w:rsidP="001E533B">
            <w:pPr>
              <w:rPr>
                <w:rFonts w:ascii="新細明體" w:eastAsia="新細明體" w:hAnsi="新細明體"/>
              </w:rPr>
            </w:pPr>
          </w:p>
        </w:tc>
        <w:tc>
          <w:tcPr>
            <w:tcW w:w="1276" w:type="dxa"/>
            <w:vMerge/>
          </w:tcPr>
          <w:p w14:paraId="782F49FE" w14:textId="77777777" w:rsidR="003B3105" w:rsidRDefault="003B3105" w:rsidP="001E533B">
            <w:pPr>
              <w:rPr>
                <w:rFonts w:ascii="新細明體" w:eastAsia="新細明體" w:hAnsi="新細明體"/>
              </w:rPr>
            </w:pPr>
          </w:p>
        </w:tc>
        <w:tc>
          <w:tcPr>
            <w:tcW w:w="5386" w:type="dxa"/>
            <w:tcBorders>
              <w:top w:val="nil"/>
              <w:bottom w:val="nil"/>
            </w:tcBorders>
          </w:tcPr>
          <w:p w14:paraId="493689A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3.財團法人中華民國證券櫃檯買賣中心：櫃檯買賣中心</w:t>
            </w:r>
          </w:p>
        </w:tc>
        <w:tc>
          <w:tcPr>
            <w:tcW w:w="5387" w:type="dxa"/>
            <w:tcBorders>
              <w:top w:val="nil"/>
              <w:bottom w:val="nil"/>
            </w:tcBorders>
          </w:tcPr>
          <w:p w14:paraId="4C4B0F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3.財團法人中華民國證券櫃檯買賣中心：櫃檯買賣中心</w:t>
            </w:r>
          </w:p>
        </w:tc>
        <w:tc>
          <w:tcPr>
            <w:tcW w:w="2023" w:type="dxa"/>
            <w:vMerge/>
            <w:tcBorders>
              <w:right w:val="single" w:sz="12" w:space="0" w:color="auto"/>
            </w:tcBorders>
          </w:tcPr>
          <w:p w14:paraId="769E80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5EB6D6" w14:textId="77777777">
        <w:tc>
          <w:tcPr>
            <w:tcW w:w="1384" w:type="dxa"/>
            <w:vMerge/>
            <w:tcBorders>
              <w:left w:val="single" w:sz="12" w:space="0" w:color="auto"/>
            </w:tcBorders>
          </w:tcPr>
          <w:p w14:paraId="244FD147" w14:textId="77777777" w:rsidR="003B3105" w:rsidRDefault="003B3105" w:rsidP="001E533B">
            <w:pPr>
              <w:rPr>
                <w:rFonts w:ascii="新細明體" w:eastAsia="新細明體" w:hAnsi="新細明體"/>
              </w:rPr>
            </w:pPr>
          </w:p>
        </w:tc>
        <w:tc>
          <w:tcPr>
            <w:tcW w:w="1276" w:type="dxa"/>
            <w:vMerge/>
          </w:tcPr>
          <w:p w14:paraId="251C5AF9" w14:textId="77777777" w:rsidR="003B3105" w:rsidRDefault="003B3105" w:rsidP="001E533B">
            <w:pPr>
              <w:rPr>
                <w:rFonts w:ascii="新細明體" w:eastAsia="新細明體" w:hAnsi="新細明體"/>
              </w:rPr>
            </w:pPr>
          </w:p>
        </w:tc>
        <w:tc>
          <w:tcPr>
            <w:tcW w:w="5386" w:type="dxa"/>
            <w:tcBorders>
              <w:top w:val="nil"/>
              <w:bottom w:val="nil"/>
            </w:tcBorders>
          </w:tcPr>
          <w:p w14:paraId="4BDAD58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4.臺灣集中保管結算所股份有限公司：集保公司</w:t>
            </w:r>
          </w:p>
        </w:tc>
        <w:tc>
          <w:tcPr>
            <w:tcW w:w="5387" w:type="dxa"/>
            <w:tcBorders>
              <w:top w:val="nil"/>
              <w:bottom w:val="nil"/>
            </w:tcBorders>
          </w:tcPr>
          <w:p w14:paraId="253F6CE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4.臺灣集中保管結算所股份有限公司：集保公司</w:t>
            </w:r>
          </w:p>
        </w:tc>
        <w:tc>
          <w:tcPr>
            <w:tcW w:w="2023" w:type="dxa"/>
            <w:vMerge/>
            <w:tcBorders>
              <w:right w:val="single" w:sz="12" w:space="0" w:color="auto"/>
            </w:tcBorders>
          </w:tcPr>
          <w:p w14:paraId="0D4266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C72300" w14:textId="77777777">
        <w:tc>
          <w:tcPr>
            <w:tcW w:w="1384" w:type="dxa"/>
            <w:vMerge/>
            <w:tcBorders>
              <w:left w:val="single" w:sz="12" w:space="0" w:color="auto"/>
            </w:tcBorders>
          </w:tcPr>
          <w:p w14:paraId="1799058A" w14:textId="77777777" w:rsidR="003B3105" w:rsidRDefault="003B3105" w:rsidP="001E533B">
            <w:pPr>
              <w:rPr>
                <w:rFonts w:ascii="新細明體" w:eastAsia="新細明體" w:hAnsi="新細明體"/>
              </w:rPr>
            </w:pPr>
          </w:p>
        </w:tc>
        <w:tc>
          <w:tcPr>
            <w:tcW w:w="1276" w:type="dxa"/>
            <w:vMerge/>
          </w:tcPr>
          <w:p w14:paraId="647631C8" w14:textId="77777777" w:rsidR="003B3105" w:rsidRDefault="003B3105" w:rsidP="001E533B">
            <w:pPr>
              <w:rPr>
                <w:rFonts w:ascii="新細明體" w:eastAsia="新細明體" w:hAnsi="新細明體"/>
              </w:rPr>
            </w:pPr>
          </w:p>
        </w:tc>
        <w:tc>
          <w:tcPr>
            <w:tcW w:w="5386" w:type="dxa"/>
            <w:tcBorders>
              <w:top w:val="nil"/>
              <w:bottom w:val="nil"/>
            </w:tcBorders>
          </w:tcPr>
          <w:p w14:paraId="2560BDC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5.中華民國證券商業同業公會：券商公會</w:t>
            </w:r>
          </w:p>
        </w:tc>
        <w:tc>
          <w:tcPr>
            <w:tcW w:w="5387" w:type="dxa"/>
            <w:tcBorders>
              <w:top w:val="nil"/>
              <w:bottom w:val="nil"/>
            </w:tcBorders>
          </w:tcPr>
          <w:p w14:paraId="0B5CE89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5.中華民國證券商業同業公會：券商公會</w:t>
            </w:r>
          </w:p>
        </w:tc>
        <w:tc>
          <w:tcPr>
            <w:tcW w:w="2023" w:type="dxa"/>
            <w:vMerge/>
            <w:tcBorders>
              <w:right w:val="single" w:sz="12" w:space="0" w:color="auto"/>
            </w:tcBorders>
          </w:tcPr>
          <w:p w14:paraId="0652A6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934DC1" w14:textId="77777777">
        <w:tc>
          <w:tcPr>
            <w:tcW w:w="1384" w:type="dxa"/>
            <w:vMerge/>
            <w:tcBorders>
              <w:left w:val="single" w:sz="12" w:space="0" w:color="auto"/>
            </w:tcBorders>
          </w:tcPr>
          <w:p w14:paraId="11967F75" w14:textId="77777777" w:rsidR="003B3105" w:rsidRDefault="003B3105" w:rsidP="001E533B">
            <w:pPr>
              <w:rPr>
                <w:rFonts w:ascii="新細明體" w:eastAsia="新細明體" w:hAnsi="新細明體"/>
              </w:rPr>
            </w:pPr>
          </w:p>
        </w:tc>
        <w:tc>
          <w:tcPr>
            <w:tcW w:w="1276" w:type="dxa"/>
            <w:vMerge/>
          </w:tcPr>
          <w:p w14:paraId="55A477C8" w14:textId="77777777" w:rsidR="003B3105" w:rsidRDefault="003B3105" w:rsidP="001E533B">
            <w:pPr>
              <w:rPr>
                <w:rFonts w:ascii="新細明體" w:eastAsia="新細明體" w:hAnsi="新細明體"/>
              </w:rPr>
            </w:pPr>
          </w:p>
        </w:tc>
        <w:tc>
          <w:tcPr>
            <w:tcW w:w="5386" w:type="dxa"/>
            <w:tcBorders>
              <w:top w:val="nil"/>
              <w:bottom w:val="nil"/>
            </w:tcBorders>
          </w:tcPr>
          <w:p w14:paraId="21940A0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6.財團法人中華民國證券暨期貨市場發展基金會：證基會</w:t>
            </w:r>
          </w:p>
        </w:tc>
        <w:tc>
          <w:tcPr>
            <w:tcW w:w="5387" w:type="dxa"/>
            <w:tcBorders>
              <w:top w:val="nil"/>
              <w:bottom w:val="nil"/>
            </w:tcBorders>
          </w:tcPr>
          <w:p w14:paraId="475258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6.財團法人中華民國證券暨期貨市場發展基金會：證基會</w:t>
            </w:r>
          </w:p>
        </w:tc>
        <w:tc>
          <w:tcPr>
            <w:tcW w:w="2023" w:type="dxa"/>
            <w:vMerge/>
            <w:tcBorders>
              <w:right w:val="single" w:sz="12" w:space="0" w:color="auto"/>
            </w:tcBorders>
          </w:tcPr>
          <w:p w14:paraId="3D23E1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A295D3" w14:textId="77777777">
        <w:tc>
          <w:tcPr>
            <w:tcW w:w="1384" w:type="dxa"/>
            <w:vMerge/>
            <w:tcBorders>
              <w:left w:val="single" w:sz="12" w:space="0" w:color="auto"/>
            </w:tcBorders>
          </w:tcPr>
          <w:p w14:paraId="421AB968" w14:textId="77777777" w:rsidR="003B3105" w:rsidRDefault="003B3105" w:rsidP="001E533B">
            <w:pPr>
              <w:rPr>
                <w:rFonts w:ascii="新細明體" w:eastAsia="新細明體" w:hAnsi="新細明體"/>
              </w:rPr>
            </w:pPr>
          </w:p>
        </w:tc>
        <w:tc>
          <w:tcPr>
            <w:tcW w:w="1276" w:type="dxa"/>
            <w:vMerge/>
          </w:tcPr>
          <w:p w14:paraId="1647B1E3" w14:textId="77777777" w:rsidR="003B3105" w:rsidRDefault="003B3105" w:rsidP="001E533B">
            <w:pPr>
              <w:rPr>
                <w:rFonts w:ascii="新細明體" w:eastAsia="新細明體" w:hAnsi="新細明體"/>
              </w:rPr>
            </w:pPr>
          </w:p>
        </w:tc>
        <w:tc>
          <w:tcPr>
            <w:tcW w:w="5386" w:type="dxa"/>
            <w:tcBorders>
              <w:top w:val="nil"/>
              <w:bottom w:val="nil"/>
            </w:tcBorders>
          </w:tcPr>
          <w:p w14:paraId="578002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7.臺灣期貨交易所股份有限公司：期交所</w:t>
            </w:r>
          </w:p>
        </w:tc>
        <w:tc>
          <w:tcPr>
            <w:tcW w:w="5387" w:type="dxa"/>
            <w:tcBorders>
              <w:top w:val="nil"/>
              <w:bottom w:val="nil"/>
            </w:tcBorders>
          </w:tcPr>
          <w:p w14:paraId="64EE675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7.臺灣期貨交易所股份有限公司：期交所</w:t>
            </w:r>
          </w:p>
        </w:tc>
        <w:tc>
          <w:tcPr>
            <w:tcW w:w="2023" w:type="dxa"/>
            <w:vMerge/>
            <w:tcBorders>
              <w:right w:val="single" w:sz="12" w:space="0" w:color="auto"/>
            </w:tcBorders>
          </w:tcPr>
          <w:p w14:paraId="29001E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CFA74A" w14:textId="77777777">
        <w:tc>
          <w:tcPr>
            <w:tcW w:w="1384" w:type="dxa"/>
            <w:vMerge/>
            <w:tcBorders>
              <w:left w:val="single" w:sz="12" w:space="0" w:color="auto"/>
            </w:tcBorders>
          </w:tcPr>
          <w:p w14:paraId="6C5A62A4" w14:textId="77777777" w:rsidR="003B3105" w:rsidRDefault="003B3105" w:rsidP="001E533B">
            <w:pPr>
              <w:rPr>
                <w:rFonts w:ascii="新細明體" w:eastAsia="新細明體" w:hAnsi="新細明體"/>
              </w:rPr>
            </w:pPr>
          </w:p>
        </w:tc>
        <w:tc>
          <w:tcPr>
            <w:tcW w:w="1276" w:type="dxa"/>
            <w:vMerge/>
          </w:tcPr>
          <w:p w14:paraId="6287271C" w14:textId="77777777" w:rsidR="003B3105" w:rsidRDefault="003B3105" w:rsidP="001E533B">
            <w:pPr>
              <w:rPr>
                <w:rFonts w:ascii="新細明體" w:eastAsia="新細明體" w:hAnsi="新細明體"/>
              </w:rPr>
            </w:pPr>
          </w:p>
        </w:tc>
        <w:tc>
          <w:tcPr>
            <w:tcW w:w="5386" w:type="dxa"/>
            <w:tcBorders>
              <w:top w:val="nil"/>
              <w:bottom w:val="nil"/>
            </w:tcBorders>
          </w:tcPr>
          <w:p w14:paraId="75F44EF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8.中華民國期貨商業同業公會：期商公會</w:t>
            </w:r>
          </w:p>
        </w:tc>
        <w:tc>
          <w:tcPr>
            <w:tcW w:w="5387" w:type="dxa"/>
            <w:tcBorders>
              <w:top w:val="nil"/>
              <w:bottom w:val="nil"/>
            </w:tcBorders>
          </w:tcPr>
          <w:p w14:paraId="3887166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8.中華民國期貨商業同業公會：期商公會</w:t>
            </w:r>
          </w:p>
        </w:tc>
        <w:tc>
          <w:tcPr>
            <w:tcW w:w="2023" w:type="dxa"/>
            <w:vMerge/>
            <w:tcBorders>
              <w:right w:val="single" w:sz="12" w:space="0" w:color="auto"/>
            </w:tcBorders>
          </w:tcPr>
          <w:p w14:paraId="317252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4CAADB" w14:textId="77777777">
        <w:tc>
          <w:tcPr>
            <w:tcW w:w="1384" w:type="dxa"/>
            <w:vMerge/>
            <w:tcBorders>
              <w:left w:val="single" w:sz="12" w:space="0" w:color="auto"/>
            </w:tcBorders>
          </w:tcPr>
          <w:p w14:paraId="7E517701" w14:textId="77777777" w:rsidR="003B3105" w:rsidRDefault="003B3105" w:rsidP="001E533B">
            <w:pPr>
              <w:rPr>
                <w:rFonts w:ascii="新細明體" w:eastAsia="新細明體" w:hAnsi="新細明體"/>
              </w:rPr>
            </w:pPr>
          </w:p>
        </w:tc>
        <w:tc>
          <w:tcPr>
            <w:tcW w:w="1276" w:type="dxa"/>
            <w:vMerge/>
          </w:tcPr>
          <w:p w14:paraId="164F5940" w14:textId="77777777" w:rsidR="003B3105" w:rsidRDefault="003B3105" w:rsidP="001E533B">
            <w:pPr>
              <w:rPr>
                <w:rFonts w:ascii="新細明體" w:eastAsia="新細明體" w:hAnsi="新細明體"/>
              </w:rPr>
            </w:pPr>
          </w:p>
        </w:tc>
        <w:tc>
          <w:tcPr>
            <w:tcW w:w="5386" w:type="dxa"/>
            <w:tcBorders>
              <w:top w:val="nil"/>
              <w:bottom w:val="nil"/>
            </w:tcBorders>
          </w:tcPr>
          <w:p w14:paraId="7D1FB7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三、各證券交易輔助人訂立內部控制制度時，</w:t>
            </w:r>
            <w:r>
              <w:rPr>
                <w:rFonts w:ascii="新細明體" w:eastAsia="新細明體" w:hAnsi="新細明體" w:cs="新細明體" w:hint="eastAsia"/>
              </w:rPr>
              <w:lastRenderedPageBreak/>
              <w:t>應於總則部分至少敘明下列事項：</w:t>
            </w:r>
          </w:p>
        </w:tc>
        <w:tc>
          <w:tcPr>
            <w:tcW w:w="5387" w:type="dxa"/>
            <w:tcBorders>
              <w:top w:val="nil"/>
              <w:bottom w:val="nil"/>
            </w:tcBorders>
          </w:tcPr>
          <w:p w14:paraId="44D74AD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三、各證券交易輔助人訂立內部控制制度時，</w:t>
            </w:r>
            <w:r>
              <w:rPr>
                <w:rFonts w:ascii="新細明體" w:eastAsia="新細明體" w:hAnsi="新細明體" w:cs="新細明體" w:hint="eastAsia"/>
              </w:rPr>
              <w:lastRenderedPageBreak/>
              <w:t>應於總則部分至少敘明下列事項：</w:t>
            </w:r>
          </w:p>
        </w:tc>
        <w:tc>
          <w:tcPr>
            <w:tcW w:w="2023" w:type="dxa"/>
            <w:vMerge/>
            <w:tcBorders>
              <w:right w:val="single" w:sz="12" w:space="0" w:color="auto"/>
            </w:tcBorders>
          </w:tcPr>
          <w:p w14:paraId="125FA5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638BD9" w14:textId="77777777">
        <w:tc>
          <w:tcPr>
            <w:tcW w:w="1384" w:type="dxa"/>
            <w:vMerge/>
            <w:tcBorders>
              <w:left w:val="single" w:sz="12" w:space="0" w:color="auto"/>
            </w:tcBorders>
          </w:tcPr>
          <w:p w14:paraId="6A439568" w14:textId="77777777" w:rsidR="003B3105" w:rsidRDefault="003B3105" w:rsidP="001E533B">
            <w:pPr>
              <w:rPr>
                <w:rFonts w:ascii="新細明體" w:eastAsia="新細明體" w:hAnsi="新細明體"/>
              </w:rPr>
            </w:pPr>
          </w:p>
        </w:tc>
        <w:tc>
          <w:tcPr>
            <w:tcW w:w="1276" w:type="dxa"/>
            <w:vMerge/>
          </w:tcPr>
          <w:p w14:paraId="3DC7AEBE" w14:textId="77777777" w:rsidR="003B3105" w:rsidRDefault="003B3105" w:rsidP="001E533B">
            <w:pPr>
              <w:rPr>
                <w:rFonts w:ascii="新細明體" w:eastAsia="新細明體" w:hAnsi="新細明體"/>
              </w:rPr>
            </w:pPr>
          </w:p>
        </w:tc>
        <w:tc>
          <w:tcPr>
            <w:tcW w:w="5386" w:type="dxa"/>
            <w:tcBorders>
              <w:top w:val="nil"/>
              <w:bottom w:val="nil"/>
            </w:tcBorders>
          </w:tcPr>
          <w:p w14:paraId="308781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(一)訂定依據(請參閱期貨商經營證券交易輔助業務管理規則第九條之規定)</w:t>
            </w:r>
          </w:p>
        </w:tc>
        <w:tc>
          <w:tcPr>
            <w:tcW w:w="5387" w:type="dxa"/>
            <w:tcBorders>
              <w:top w:val="nil"/>
              <w:bottom w:val="nil"/>
            </w:tcBorders>
          </w:tcPr>
          <w:p w14:paraId="597DC4C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(一)訂定依據(請參閱期貨商經營證券交易輔助業務管理規則第九條之規定)</w:t>
            </w:r>
          </w:p>
        </w:tc>
        <w:tc>
          <w:tcPr>
            <w:tcW w:w="2023" w:type="dxa"/>
            <w:vMerge/>
            <w:tcBorders>
              <w:right w:val="single" w:sz="12" w:space="0" w:color="auto"/>
            </w:tcBorders>
          </w:tcPr>
          <w:p w14:paraId="48F238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6107C4" w14:textId="77777777">
        <w:tc>
          <w:tcPr>
            <w:tcW w:w="1384" w:type="dxa"/>
            <w:vMerge/>
            <w:tcBorders>
              <w:left w:val="single" w:sz="12" w:space="0" w:color="auto"/>
            </w:tcBorders>
          </w:tcPr>
          <w:p w14:paraId="78F8AC97" w14:textId="77777777" w:rsidR="003B3105" w:rsidRDefault="003B3105" w:rsidP="001E533B">
            <w:pPr>
              <w:rPr>
                <w:rFonts w:ascii="新細明體" w:eastAsia="新細明體" w:hAnsi="新細明體"/>
              </w:rPr>
            </w:pPr>
          </w:p>
        </w:tc>
        <w:tc>
          <w:tcPr>
            <w:tcW w:w="1276" w:type="dxa"/>
            <w:vMerge/>
          </w:tcPr>
          <w:p w14:paraId="770215DD" w14:textId="77777777" w:rsidR="003B3105" w:rsidRDefault="003B3105" w:rsidP="001E533B">
            <w:pPr>
              <w:rPr>
                <w:rFonts w:ascii="新細明體" w:eastAsia="新細明體" w:hAnsi="新細明體"/>
              </w:rPr>
            </w:pPr>
          </w:p>
        </w:tc>
        <w:tc>
          <w:tcPr>
            <w:tcW w:w="5386" w:type="dxa"/>
            <w:tcBorders>
              <w:top w:val="nil"/>
              <w:bottom w:val="nil"/>
            </w:tcBorders>
          </w:tcPr>
          <w:p w14:paraId="260DA6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(二)內部控制制度之定義、通過程序及設計暨執行準則</w:t>
            </w:r>
          </w:p>
        </w:tc>
        <w:tc>
          <w:tcPr>
            <w:tcW w:w="5387" w:type="dxa"/>
            <w:tcBorders>
              <w:top w:val="nil"/>
              <w:bottom w:val="nil"/>
            </w:tcBorders>
          </w:tcPr>
          <w:p w14:paraId="74BD9B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(二)內部控制制度之定義、通過程序及設計暨執行準則</w:t>
            </w:r>
          </w:p>
        </w:tc>
        <w:tc>
          <w:tcPr>
            <w:tcW w:w="2023" w:type="dxa"/>
            <w:vMerge/>
            <w:tcBorders>
              <w:right w:val="single" w:sz="12" w:space="0" w:color="auto"/>
            </w:tcBorders>
          </w:tcPr>
          <w:p w14:paraId="28F3BB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1F44FC" w14:textId="77777777">
        <w:tc>
          <w:tcPr>
            <w:tcW w:w="1384" w:type="dxa"/>
            <w:vMerge/>
            <w:tcBorders>
              <w:left w:val="single" w:sz="12" w:space="0" w:color="auto"/>
            </w:tcBorders>
          </w:tcPr>
          <w:p w14:paraId="0A73B031" w14:textId="77777777" w:rsidR="003B3105" w:rsidRDefault="003B3105" w:rsidP="001E533B">
            <w:pPr>
              <w:rPr>
                <w:rFonts w:ascii="新細明體" w:eastAsia="新細明體" w:hAnsi="新細明體"/>
              </w:rPr>
            </w:pPr>
          </w:p>
        </w:tc>
        <w:tc>
          <w:tcPr>
            <w:tcW w:w="1276" w:type="dxa"/>
            <w:vMerge/>
          </w:tcPr>
          <w:p w14:paraId="133AEDF1" w14:textId="77777777" w:rsidR="003B3105" w:rsidRDefault="003B3105" w:rsidP="001E533B">
            <w:pPr>
              <w:rPr>
                <w:rFonts w:ascii="新細明體" w:eastAsia="新細明體" w:hAnsi="新細明體"/>
              </w:rPr>
            </w:pPr>
          </w:p>
        </w:tc>
        <w:tc>
          <w:tcPr>
            <w:tcW w:w="5386" w:type="dxa"/>
            <w:tcBorders>
              <w:top w:val="nil"/>
              <w:bottom w:val="nil"/>
            </w:tcBorders>
          </w:tcPr>
          <w:p w14:paraId="56C6FB7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(三)內部控制之組成要素</w:t>
            </w:r>
          </w:p>
        </w:tc>
        <w:tc>
          <w:tcPr>
            <w:tcW w:w="5387" w:type="dxa"/>
            <w:tcBorders>
              <w:top w:val="nil"/>
              <w:bottom w:val="nil"/>
            </w:tcBorders>
          </w:tcPr>
          <w:p w14:paraId="2AAAA2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(三)內部控制之組成要素</w:t>
            </w:r>
          </w:p>
        </w:tc>
        <w:tc>
          <w:tcPr>
            <w:tcW w:w="2023" w:type="dxa"/>
            <w:vMerge/>
            <w:tcBorders>
              <w:right w:val="single" w:sz="12" w:space="0" w:color="auto"/>
            </w:tcBorders>
          </w:tcPr>
          <w:p w14:paraId="6F18D7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331FC6" w14:textId="77777777">
        <w:tc>
          <w:tcPr>
            <w:tcW w:w="1384" w:type="dxa"/>
            <w:vMerge/>
            <w:tcBorders>
              <w:left w:val="single" w:sz="12" w:space="0" w:color="auto"/>
            </w:tcBorders>
          </w:tcPr>
          <w:p w14:paraId="75A63476" w14:textId="77777777" w:rsidR="003B3105" w:rsidRDefault="003B3105" w:rsidP="001E533B">
            <w:pPr>
              <w:rPr>
                <w:rFonts w:ascii="新細明體" w:eastAsia="新細明體" w:hAnsi="新細明體"/>
              </w:rPr>
            </w:pPr>
          </w:p>
        </w:tc>
        <w:tc>
          <w:tcPr>
            <w:tcW w:w="1276" w:type="dxa"/>
            <w:vMerge/>
          </w:tcPr>
          <w:p w14:paraId="0437868F" w14:textId="77777777" w:rsidR="003B3105" w:rsidRDefault="003B3105" w:rsidP="001E533B">
            <w:pPr>
              <w:rPr>
                <w:rFonts w:ascii="新細明體" w:eastAsia="新細明體" w:hAnsi="新細明體"/>
              </w:rPr>
            </w:pPr>
          </w:p>
        </w:tc>
        <w:tc>
          <w:tcPr>
            <w:tcW w:w="5386" w:type="dxa"/>
            <w:tcBorders>
              <w:top w:val="nil"/>
              <w:bottom w:val="nil"/>
            </w:tcBorders>
          </w:tcPr>
          <w:p w14:paraId="6131E0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(四)公司組織結構與部門職掌</w:t>
            </w:r>
          </w:p>
        </w:tc>
        <w:tc>
          <w:tcPr>
            <w:tcW w:w="5387" w:type="dxa"/>
            <w:tcBorders>
              <w:top w:val="nil"/>
              <w:bottom w:val="nil"/>
            </w:tcBorders>
          </w:tcPr>
          <w:p w14:paraId="518A3C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(四)公司組織結構與部門職掌</w:t>
            </w:r>
          </w:p>
        </w:tc>
        <w:tc>
          <w:tcPr>
            <w:tcW w:w="2023" w:type="dxa"/>
            <w:vMerge/>
            <w:tcBorders>
              <w:right w:val="single" w:sz="12" w:space="0" w:color="auto"/>
            </w:tcBorders>
          </w:tcPr>
          <w:p w14:paraId="3F36D9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39A331" w14:textId="77777777">
        <w:tc>
          <w:tcPr>
            <w:tcW w:w="1384" w:type="dxa"/>
            <w:vMerge/>
            <w:tcBorders>
              <w:left w:val="single" w:sz="12" w:space="0" w:color="auto"/>
            </w:tcBorders>
          </w:tcPr>
          <w:p w14:paraId="6256AF4B" w14:textId="77777777" w:rsidR="003B3105" w:rsidRDefault="003B3105" w:rsidP="001E533B">
            <w:pPr>
              <w:rPr>
                <w:rFonts w:ascii="新細明體" w:eastAsia="新細明體" w:hAnsi="新細明體"/>
              </w:rPr>
            </w:pPr>
          </w:p>
        </w:tc>
        <w:tc>
          <w:tcPr>
            <w:tcW w:w="1276" w:type="dxa"/>
            <w:vMerge/>
          </w:tcPr>
          <w:p w14:paraId="328FAB36" w14:textId="77777777" w:rsidR="003B3105" w:rsidRDefault="003B3105" w:rsidP="001E533B">
            <w:pPr>
              <w:rPr>
                <w:rFonts w:ascii="新細明體" w:eastAsia="新細明體" w:hAnsi="新細明體"/>
              </w:rPr>
            </w:pPr>
          </w:p>
        </w:tc>
        <w:tc>
          <w:tcPr>
            <w:tcW w:w="5386" w:type="dxa"/>
            <w:tcBorders>
              <w:top w:val="nil"/>
              <w:bottom w:val="nil"/>
            </w:tcBorders>
          </w:tcPr>
          <w:p w14:paraId="4CA7FD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(五)業務經營原則與方針</w:t>
            </w:r>
          </w:p>
        </w:tc>
        <w:tc>
          <w:tcPr>
            <w:tcW w:w="5387" w:type="dxa"/>
            <w:tcBorders>
              <w:top w:val="nil"/>
              <w:bottom w:val="nil"/>
            </w:tcBorders>
          </w:tcPr>
          <w:p w14:paraId="63BD8A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(五)業務經營原則與方針</w:t>
            </w:r>
          </w:p>
        </w:tc>
        <w:tc>
          <w:tcPr>
            <w:tcW w:w="2023" w:type="dxa"/>
            <w:vMerge/>
            <w:tcBorders>
              <w:right w:val="single" w:sz="12" w:space="0" w:color="auto"/>
            </w:tcBorders>
          </w:tcPr>
          <w:p w14:paraId="797771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0F57EA" w14:textId="77777777">
        <w:tc>
          <w:tcPr>
            <w:tcW w:w="1384" w:type="dxa"/>
            <w:vMerge/>
            <w:tcBorders>
              <w:left w:val="single" w:sz="12" w:space="0" w:color="auto"/>
            </w:tcBorders>
          </w:tcPr>
          <w:p w14:paraId="1C367F1F" w14:textId="77777777" w:rsidR="003B3105" w:rsidRDefault="003B3105" w:rsidP="001E533B">
            <w:pPr>
              <w:rPr>
                <w:rFonts w:ascii="新細明體" w:eastAsia="新細明體" w:hAnsi="新細明體"/>
              </w:rPr>
            </w:pPr>
          </w:p>
        </w:tc>
        <w:tc>
          <w:tcPr>
            <w:tcW w:w="1276" w:type="dxa"/>
            <w:vMerge/>
          </w:tcPr>
          <w:p w14:paraId="71B78686" w14:textId="77777777" w:rsidR="003B3105" w:rsidRDefault="003B3105" w:rsidP="001E533B">
            <w:pPr>
              <w:rPr>
                <w:rFonts w:ascii="新細明體" w:eastAsia="新細明體" w:hAnsi="新細明體"/>
              </w:rPr>
            </w:pPr>
          </w:p>
        </w:tc>
        <w:tc>
          <w:tcPr>
            <w:tcW w:w="5386" w:type="dxa"/>
            <w:tcBorders>
              <w:top w:val="nil"/>
              <w:bottom w:val="nil"/>
            </w:tcBorders>
          </w:tcPr>
          <w:p w14:paraId="28B0C0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(六)內部控制制度之內容</w:t>
            </w:r>
          </w:p>
        </w:tc>
        <w:tc>
          <w:tcPr>
            <w:tcW w:w="5387" w:type="dxa"/>
            <w:tcBorders>
              <w:top w:val="nil"/>
              <w:bottom w:val="nil"/>
            </w:tcBorders>
          </w:tcPr>
          <w:p w14:paraId="1FDDCD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(六)內部控制制度之內容</w:t>
            </w:r>
          </w:p>
        </w:tc>
        <w:tc>
          <w:tcPr>
            <w:tcW w:w="2023" w:type="dxa"/>
            <w:vMerge/>
            <w:tcBorders>
              <w:right w:val="single" w:sz="12" w:space="0" w:color="auto"/>
            </w:tcBorders>
          </w:tcPr>
          <w:p w14:paraId="1B282B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2D4ED5" w14:textId="77777777">
        <w:tc>
          <w:tcPr>
            <w:tcW w:w="1384" w:type="dxa"/>
            <w:vMerge/>
            <w:tcBorders>
              <w:left w:val="single" w:sz="12" w:space="0" w:color="auto"/>
            </w:tcBorders>
          </w:tcPr>
          <w:p w14:paraId="3AAC91E9" w14:textId="77777777" w:rsidR="003B3105" w:rsidRDefault="003B3105" w:rsidP="001E533B">
            <w:pPr>
              <w:rPr>
                <w:rFonts w:ascii="新細明體" w:eastAsia="新細明體" w:hAnsi="新細明體"/>
              </w:rPr>
            </w:pPr>
          </w:p>
        </w:tc>
        <w:tc>
          <w:tcPr>
            <w:tcW w:w="1276" w:type="dxa"/>
            <w:vMerge/>
          </w:tcPr>
          <w:p w14:paraId="096672B0" w14:textId="77777777" w:rsidR="003B3105" w:rsidRDefault="003B3105" w:rsidP="001E533B">
            <w:pPr>
              <w:rPr>
                <w:rFonts w:ascii="新細明體" w:eastAsia="新細明體" w:hAnsi="新細明體"/>
              </w:rPr>
            </w:pPr>
          </w:p>
        </w:tc>
        <w:tc>
          <w:tcPr>
            <w:tcW w:w="5386" w:type="dxa"/>
            <w:tcBorders>
              <w:top w:val="nil"/>
              <w:bottom w:val="nil"/>
            </w:tcBorders>
          </w:tcPr>
          <w:p w14:paraId="3A4A71A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(七)內部控制制度之設計</w:t>
            </w:r>
          </w:p>
        </w:tc>
        <w:tc>
          <w:tcPr>
            <w:tcW w:w="5387" w:type="dxa"/>
            <w:tcBorders>
              <w:top w:val="nil"/>
              <w:bottom w:val="nil"/>
            </w:tcBorders>
          </w:tcPr>
          <w:p w14:paraId="54F6D17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(七)內部控制制度之設計</w:t>
            </w:r>
          </w:p>
        </w:tc>
        <w:tc>
          <w:tcPr>
            <w:tcW w:w="2023" w:type="dxa"/>
            <w:vMerge/>
            <w:tcBorders>
              <w:right w:val="single" w:sz="12" w:space="0" w:color="auto"/>
            </w:tcBorders>
          </w:tcPr>
          <w:p w14:paraId="1BCF56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C419BB" w14:textId="77777777">
        <w:tc>
          <w:tcPr>
            <w:tcW w:w="1384" w:type="dxa"/>
            <w:vMerge/>
            <w:tcBorders>
              <w:left w:val="single" w:sz="12" w:space="0" w:color="auto"/>
            </w:tcBorders>
          </w:tcPr>
          <w:p w14:paraId="7136434D" w14:textId="77777777" w:rsidR="003B3105" w:rsidRDefault="003B3105" w:rsidP="001E533B">
            <w:pPr>
              <w:rPr>
                <w:rFonts w:ascii="新細明體" w:eastAsia="新細明體" w:hAnsi="新細明體"/>
              </w:rPr>
            </w:pPr>
          </w:p>
        </w:tc>
        <w:tc>
          <w:tcPr>
            <w:tcW w:w="1276" w:type="dxa"/>
            <w:vMerge/>
          </w:tcPr>
          <w:p w14:paraId="49C0DFFA" w14:textId="77777777" w:rsidR="003B3105" w:rsidRDefault="003B3105" w:rsidP="001E533B">
            <w:pPr>
              <w:rPr>
                <w:rFonts w:ascii="新細明體" w:eastAsia="新細明體" w:hAnsi="新細明體"/>
              </w:rPr>
            </w:pPr>
          </w:p>
        </w:tc>
        <w:tc>
          <w:tcPr>
            <w:tcW w:w="5386" w:type="dxa"/>
            <w:tcBorders>
              <w:top w:val="nil"/>
              <w:bottom w:val="nil"/>
            </w:tcBorders>
          </w:tcPr>
          <w:p w14:paraId="075D4F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(八)內部稽核單位之目的、職權及責任</w:t>
            </w:r>
          </w:p>
        </w:tc>
        <w:tc>
          <w:tcPr>
            <w:tcW w:w="5387" w:type="dxa"/>
            <w:tcBorders>
              <w:top w:val="nil"/>
              <w:bottom w:val="nil"/>
            </w:tcBorders>
          </w:tcPr>
          <w:p w14:paraId="21B2D3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(八)內部稽核單位之目的、職權及責任</w:t>
            </w:r>
          </w:p>
        </w:tc>
        <w:tc>
          <w:tcPr>
            <w:tcW w:w="2023" w:type="dxa"/>
            <w:vMerge/>
            <w:tcBorders>
              <w:right w:val="single" w:sz="12" w:space="0" w:color="auto"/>
            </w:tcBorders>
          </w:tcPr>
          <w:p w14:paraId="647530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7C881E" w14:textId="77777777">
        <w:tc>
          <w:tcPr>
            <w:tcW w:w="1384" w:type="dxa"/>
            <w:vMerge/>
            <w:tcBorders>
              <w:left w:val="single" w:sz="12" w:space="0" w:color="auto"/>
            </w:tcBorders>
          </w:tcPr>
          <w:p w14:paraId="441C2088" w14:textId="77777777" w:rsidR="003B3105" w:rsidRDefault="003B3105" w:rsidP="001E533B">
            <w:pPr>
              <w:rPr>
                <w:rFonts w:ascii="新細明體" w:eastAsia="新細明體" w:hAnsi="新細明體"/>
              </w:rPr>
            </w:pPr>
          </w:p>
        </w:tc>
        <w:tc>
          <w:tcPr>
            <w:tcW w:w="1276" w:type="dxa"/>
            <w:vMerge/>
          </w:tcPr>
          <w:p w14:paraId="0618D627" w14:textId="77777777" w:rsidR="003B3105" w:rsidRDefault="003B3105" w:rsidP="001E533B">
            <w:pPr>
              <w:rPr>
                <w:rFonts w:ascii="新細明體" w:eastAsia="新細明體" w:hAnsi="新細明體"/>
              </w:rPr>
            </w:pPr>
          </w:p>
        </w:tc>
        <w:tc>
          <w:tcPr>
            <w:tcW w:w="5386" w:type="dxa"/>
            <w:tcBorders>
              <w:top w:val="nil"/>
              <w:bottom w:val="nil"/>
            </w:tcBorders>
          </w:tcPr>
          <w:p w14:paraId="01DC5A5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(九)內部稽核作業適用範圍</w:t>
            </w:r>
          </w:p>
        </w:tc>
        <w:tc>
          <w:tcPr>
            <w:tcW w:w="5387" w:type="dxa"/>
            <w:tcBorders>
              <w:top w:val="nil"/>
              <w:bottom w:val="nil"/>
            </w:tcBorders>
          </w:tcPr>
          <w:p w14:paraId="7D8313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(九)內部稽核作業適用範圍</w:t>
            </w:r>
          </w:p>
        </w:tc>
        <w:tc>
          <w:tcPr>
            <w:tcW w:w="2023" w:type="dxa"/>
            <w:vMerge/>
            <w:tcBorders>
              <w:right w:val="single" w:sz="12" w:space="0" w:color="auto"/>
            </w:tcBorders>
          </w:tcPr>
          <w:p w14:paraId="289A6E0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AD8FD5" w14:textId="77777777">
        <w:tc>
          <w:tcPr>
            <w:tcW w:w="1384" w:type="dxa"/>
            <w:vMerge/>
            <w:tcBorders>
              <w:left w:val="single" w:sz="12" w:space="0" w:color="auto"/>
            </w:tcBorders>
          </w:tcPr>
          <w:p w14:paraId="0F7EC4DD" w14:textId="77777777" w:rsidR="003B3105" w:rsidRDefault="003B3105" w:rsidP="001E533B">
            <w:pPr>
              <w:rPr>
                <w:rFonts w:ascii="新細明體" w:eastAsia="新細明體" w:hAnsi="新細明體"/>
              </w:rPr>
            </w:pPr>
          </w:p>
        </w:tc>
        <w:tc>
          <w:tcPr>
            <w:tcW w:w="1276" w:type="dxa"/>
            <w:vMerge/>
          </w:tcPr>
          <w:p w14:paraId="0D52FD39" w14:textId="77777777" w:rsidR="003B3105" w:rsidRDefault="003B3105" w:rsidP="001E533B">
            <w:pPr>
              <w:rPr>
                <w:rFonts w:ascii="新細明體" w:eastAsia="新細明體" w:hAnsi="新細明體"/>
              </w:rPr>
            </w:pPr>
          </w:p>
        </w:tc>
        <w:tc>
          <w:tcPr>
            <w:tcW w:w="5386" w:type="dxa"/>
            <w:tcBorders>
              <w:top w:val="nil"/>
              <w:bottom w:val="nil"/>
            </w:tcBorders>
          </w:tcPr>
          <w:p w14:paraId="43C92A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(十)內部稽核之職能</w:t>
            </w:r>
          </w:p>
        </w:tc>
        <w:tc>
          <w:tcPr>
            <w:tcW w:w="5387" w:type="dxa"/>
            <w:tcBorders>
              <w:top w:val="nil"/>
              <w:bottom w:val="nil"/>
            </w:tcBorders>
          </w:tcPr>
          <w:p w14:paraId="1766E2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(十)內部稽核之職能</w:t>
            </w:r>
          </w:p>
        </w:tc>
        <w:tc>
          <w:tcPr>
            <w:tcW w:w="2023" w:type="dxa"/>
            <w:vMerge/>
            <w:tcBorders>
              <w:right w:val="single" w:sz="12" w:space="0" w:color="auto"/>
            </w:tcBorders>
          </w:tcPr>
          <w:p w14:paraId="6109F9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CAEA54" w14:textId="77777777">
        <w:tc>
          <w:tcPr>
            <w:tcW w:w="1384" w:type="dxa"/>
            <w:vMerge/>
            <w:tcBorders>
              <w:left w:val="single" w:sz="12" w:space="0" w:color="auto"/>
            </w:tcBorders>
          </w:tcPr>
          <w:p w14:paraId="5B73B332" w14:textId="77777777" w:rsidR="003B3105" w:rsidRDefault="003B3105" w:rsidP="001E533B">
            <w:pPr>
              <w:rPr>
                <w:rFonts w:ascii="新細明體" w:eastAsia="新細明體" w:hAnsi="新細明體"/>
              </w:rPr>
            </w:pPr>
          </w:p>
        </w:tc>
        <w:tc>
          <w:tcPr>
            <w:tcW w:w="1276" w:type="dxa"/>
            <w:vMerge/>
          </w:tcPr>
          <w:p w14:paraId="00AE76AF" w14:textId="77777777" w:rsidR="003B3105" w:rsidRDefault="003B3105" w:rsidP="001E533B">
            <w:pPr>
              <w:rPr>
                <w:rFonts w:ascii="新細明體" w:eastAsia="新細明體" w:hAnsi="新細明體"/>
              </w:rPr>
            </w:pPr>
          </w:p>
        </w:tc>
        <w:tc>
          <w:tcPr>
            <w:tcW w:w="5386" w:type="dxa"/>
            <w:tcBorders>
              <w:top w:val="nil"/>
              <w:bottom w:val="nil"/>
            </w:tcBorders>
          </w:tcPr>
          <w:p w14:paraId="400BD22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(十一)稽核人員之職責</w:t>
            </w:r>
          </w:p>
        </w:tc>
        <w:tc>
          <w:tcPr>
            <w:tcW w:w="5387" w:type="dxa"/>
            <w:tcBorders>
              <w:top w:val="nil"/>
              <w:bottom w:val="nil"/>
            </w:tcBorders>
          </w:tcPr>
          <w:p w14:paraId="208A971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(十一)稽核人員之職責</w:t>
            </w:r>
          </w:p>
        </w:tc>
        <w:tc>
          <w:tcPr>
            <w:tcW w:w="2023" w:type="dxa"/>
            <w:vMerge/>
            <w:tcBorders>
              <w:right w:val="single" w:sz="12" w:space="0" w:color="auto"/>
            </w:tcBorders>
          </w:tcPr>
          <w:p w14:paraId="7FD3EA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DEF771" w14:textId="77777777">
        <w:tc>
          <w:tcPr>
            <w:tcW w:w="1384" w:type="dxa"/>
            <w:vMerge/>
            <w:tcBorders>
              <w:left w:val="single" w:sz="12" w:space="0" w:color="auto"/>
            </w:tcBorders>
          </w:tcPr>
          <w:p w14:paraId="268C84A4" w14:textId="77777777" w:rsidR="003B3105" w:rsidRDefault="003B3105" w:rsidP="001E533B">
            <w:pPr>
              <w:rPr>
                <w:rFonts w:ascii="新細明體" w:eastAsia="新細明體" w:hAnsi="新細明體"/>
              </w:rPr>
            </w:pPr>
          </w:p>
        </w:tc>
        <w:tc>
          <w:tcPr>
            <w:tcW w:w="1276" w:type="dxa"/>
            <w:vMerge/>
          </w:tcPr>
          <w:p w14:paraId="77C93F3F" w14:textId="77777777" w:rsidR="003B3105" w:rsidRDefault="003B3105" w:rsidP="001E533B">
            <w:pPr>
              <w:rPr>
                <w:rFonts w:ascii="新細明體" w:eastAsia="新細明體" w:hAnsi="新細明體"/>
              </w:rPr>
            </w:pPr>
          </w:p>
        </w:tc>
        <w:tc>
          <w:tcPr>
            <w:tcW w:w="5386" w:type="dxa"/>
            <w:tcBorders>
              <w:top w:val="nil"/>
              <w:bottom w:val="nil"/>
            </w:tcBorders>
          </w:tcPr>
          <w:p w14:paraId="7E8C528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(十二)稽核人員應注意事項</w:t>
            </w:r>
          </w:p>
        </w:tc>
        <w:tc>
          <w:tcPr>
            <w:tcW w:w="5387" w:type="dxa"/>
            <w:tcBorders>
              <w:top w:val="nil"/>
              <w:bottom w:val="nil"/>
            </w:tcBorders>
          </w:tcPr>
          <w:p w14:paraId="68466AE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(十二)稽核人員應注意事項</w:t>
            </w:r>
          </w:p>
        </w:tc>
        <w:tc>
          <w:tcPr>
            <w:tcW w:w="2023" w:type="dxa"/>
            <w:vMerge/>
            <w:tcBorders>
              <w:right w:val="single" w:sz="12" w:space="0" w:color="auto"/>
            </w:tcBorders>
          </w:tcPr>
          <w:p w14:paraId="707F9E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FFFB7F" w14:textId="77777777">
        <w:tc>
          <w:tcPr>
            <w:tcW w:w="1384" w:type="dxa"/>
            <w:vMerge/>
            <w:tcBorders>
              <w:left w:val="single" w:sz="12" w:space="0" w:color="auto"/>
            </w:tcBorders>
          </w:tcPr>
          <w:p w14:paraId="06C7962D" w14:textId="77777777" w:rsidR="003B3105" w:rsidRDefault="003B3105" w:rsidP="001E533B">
            <w:pPr>
              <w:rPr>
                <w:rFonts w:ascii="新細明體" w:eastAsia="新細明體" w:hAnsi="新細明體"/>
              </w:rPr>
            </w:pPr>
          </w:p>
        </w:tc>
        <w:tc>
          <w:tcPr>
            <w:tcW w:w="1276" w:type="dxa"/>
            <w:vMerge/>
          </w:tcPr>
          <w:p w14:paraId="31D8F405" w14:textId="77777777" w:rsidR="003B3105" w:rsidRDefault="003B3105" w:rsidP="001E533B">
            <w:pPr>
              <w:rPr>
                <w:rFonts w:ascii="新細明體" w:eastAsia="新細明體" w:hAnsi="新細明體"/>
              </w:rPr>
            </w:pPr>
          </w:p>
        </w:tc>
        <w:tc>
          <w:tcPr>
            <w:tcW w:w="5386" w:type="dxa"/>
            <w:tcBorders>
              <w:top w:val="nil"/>
              <w:bottom w:val="nil"/>
            </w:tcBorders>
          </w:tcPr>
          <w:p w14:paraId="6B163C1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四、內部控制制度之定義、通過程序及設計暨執行準則：</w:t>
            </w:r>
          </w:p>
        </w:tc>
        <w:tc>
          <w:tcPr>
            <w:tcW w:w="5387" w:type="dxa"/>
            <w:tcBorders>
              <w:top w:val="nil"/>
              <w:bottom w:val="nil"/>
            </w:tcBorders>
          </w:tcPr>
          <w:p w14:paraId="4F0BCA6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四、內部控制制度之定義、通過程序及設計暨執行準則：</w:t>
            </w:r>
          </w:p>
        </w:tc>
        <w:tc>
          <w:tcPr>
            <w:tcW w:w="2023" w:type="dxa"/>
            <w:vMerge/>
            <w:tcBorders>
              <w:right w:val="single" w:sz="12" w:space="0" w:color="auto"/>
            </w:tcBorders>
          </w:tcPr>
          <w:p w14:paraId="12614E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1C808A" w14:textId="77777777">
        <w:tc>
          <w:tcPr>
            <w:tcW w:w="1384" w:type="dxa"/>
            <w:vMerge/>
            <w:tcBorders>
              <w:left w:val="single" w:sz="12" w:space="0" w:color="auto"/>
            </w:tcBorders>
          </w:tcPr>
          <w:p w14:paraId="2C5FFBFF" w14:textId="77777777" w:rsidR="003B3105" w:rsidRDefault="003B3105" w:rsidP="001E533B">
            <w:pPr>
              <w:rPr>
                <w:rFonts w:ascii="新細明體" w:eastAsia="新細明體" w:hAnsi="新細明體"/>
              </w:rPr>
            </w:pPr>
          </w:p>
        </w:tc>
        <w:tc>
          <w:tcPr>
            <w:tcW w:w="1276" w:type="dxa"/>
            <w:vMerge/>
          </w:tcPr>
          <w:p w14:paraId="79533CB3" w14:textId="77777777" w:rsidR="003B3105" w:rsidRDefault="003B3105" w:rsidP="001E533B">
            <w:pPr>
              <w:rPr>
                <w:rFonts w:ascii="新細明體" w:eastAsia="新細明體" w:hAnsi="新細明體"/>
              </w:rPr>
            </w:pPr>
          </w:p>
        </w:tc>
        <w:tc>
          <w:tcPr>
            <w:tcW w:w="5386" w:type="dxa"/>
            <w:tcBorders>
              <w:top w:val="nil"/>
              <w:bottom w:val="nil"/>
            </w:tcBorders>
          </w:tcPr>
          <w:p w14:paraId="094CA1C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四條之規定，內部控制制度係由事業經理人所設計，董事會通過，並由董事會、經理人及其他員工執行之管理過程，其目的在於促進事業之健全經營，以合理確保下列目標之達成：</w:t>
            </w:r>
          </w:p>
        </w:tc>
        <w:tc>
          <w:tcPr>
            <w:tcW w:w="5387" w:type="dxa"/>
            <w:tcBorders>
              <w:top w:val="nil"/>
              <w:bottom w:val="nil"/>
            </w:tcBorders>
          </w:tcPr>
          <w:p w14:paraId="5BE727C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四條之規定，內部控制制度係由事業經理人所設計，董事會通過，並由董事會、經理人及其他員工執行之管理過程，其目的在於促進事業之健全經營，以合理確保下列目標之達成：</w:t>
            </w:r>
          </w:p>
        </w:tc>
        <w:tc>
          <w:tcPr>
            <w:tcW w:w="2023" w:type="dxa"/>
            <w:vMerge/>
            <w:tcBorders>
              <w:right w:val="single" w:sz="12" w:space="0" w:color="auto"/>
            </w:tcBorders>
          </w:tcPr>
          <w:p w14:paraId="4DEE11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B67AA5" w14:textId="77777777">
        <w:tc>
          <w:tcPr>
            <w:tcW w:w="1384" w:type="dxa"/>
            <w:vMerge/>
            <w:tcBorders>
              <w:left w:val="single" w:sz="12" w:space="0" w:color="auto"/>
            </w:tcBorders>
          </w:tcPr>
          <w:p w14:paraId="7D7BF59C" w14:textId="77777777" w:rsidR="003B3105" w:rsidRDefault="003B3105" w:rsidP="001E533B">
            <w:pPr>
              <w:rPr>
                <w:rFonts w:ascii="新細明體" w:eastAsia="新細明體" w:hAnsi="新細明體"/>
              </w:rPr>
            </w:pPr>
          </w:p>
        </w:tc>
        <w:tc>
          <w:tcPr>
            <w:tcW w:w="1276" w:type="dxa"/>
            <w:vMerge/>
          </w:tcPr>
          <w:p w14:paraId="178A6CD1" w14:textId="77777777" w:rsidR="003B3105" w:rsidRDefault="003B3105" w:rsidP="001E533B">
            <w:pPr>
              <w:rPr>
                <w:rFonts w:ascii="新細明體" w:eastAsia="新細明體" w:hAnsi="新細明體"/>
              </w:rPr>
            </w:pPr>
          </w:p>
        </w:tc>
        <w:tc>
          <w:tcPr>
            <w:tcW w:w="5386" w:type="dxa"/>
            <w:tcBorders>
              <w:top w:val="nil"/>
              <w:bottom w:val="nil"/>
            </w:tcBorders>
          </w:tcPr>
          <w:p w14:paraId="347D4D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(一)營運之效果及效率。</w:t>
            </w:r>
          </w:p>
        </w:tc>
        <w:tc>
          <w:tcPr>
            <w:tcW w:w="5387" w:type="dxa"/>
            <w:tcBorders>
              <w:top w:val="nil"/>
              <w:bottom w:val="nil"/>
            </w:tcBorders>
          </w:tcPr>
          <w:p w14:paraId="460909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(一)營運之效果及效率。</w:t>
            </w:r>
          </w:p>
        </w:tc>
        <w:tc>
          <w:tcPr>
            <w:tcW w:w="2023" w:type="dxa"/>
            <w:vMerge/>
            <w:tcBorders>
              <w:right w:val="single" w:sz="12" w:space="0" w:color="auto"/>
            </w:tcBorders>
          </w:tcPr>
          <w:p w14:paraId="63C44C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5EC6A8" w14:textId="77777777">
        <w:tc>
          <w:tcPr>
            <w:tcW w:w="1384" w:type="dxa"/>
            <w:vMerge/>
            <w:tcBorders>
              <w:left w:val="single" w:sz="12" w:space="0" w:color="auto"/>
            </w:tcBorders>
          </w:tcPr>
          <w:p w14:paraId="7F8C1116" w14:textId="77777777" w:rsidR="003B3105" w:rsidRDefault="003B3105" w:rsidP="001E533B">
            <w:pPr>
              <w:rPr>
                <w:rFonts w:ascii="新細明體" w:eastAsia="新細明體" w:hAnsi="新細明體"/>
              </w:rPr>
            </w:pPr>
          </w:p>
        </w:tc>
        <w:tc>
          <w:tcPr>
            <w:tcW w:w="1276" w:type="dxa"/>
            <w:vMerge/>
          </w:tcPr>
          <w:p w14:paraId="3B7870A7" w14:textId="77777777" w:rsidR="003B3105" w:rsidRDefault="003B3105" w:rsidP="001E533B">
            <w:pPr>
              <w:rPr>
                <w:rFonts w:ascii="新細明體" w:eastAsia="新細明體" w:hAnsi="新細明體"/>
              </w:rPr>
            </w:pPr>
          </w:p>
        </w:tc>
        <w:tc>
          <w:tcPr>
            <w:tcW w:w="5386" w:type="dxa"/>
            <w:tcBorders>
              <w:top w:val="nil"/>
              <w:bottom w:val="nil"/>
            </w:tcBorders>
          </w:tcPr>
          <w:p w14:paraId="168693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(二)報導具可靠性、及時性、透明性及符合相關規範。</w:t>
            </w:r>
          </w:p>
        </w:tc>
        <w:tc>
          <w:tcPr>
            <w:tcW w:w="5387" w:type="dxa"/>
            <w:tcBorders>
              <w:top w:val="nil"/>
              <w:bottom w:val="nil"/>
            </w:tcBorders>
          </w:tcPr>
          <w:p w14:paraId="43DB57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(二)報導具可靠性、及時性、透明性及符合相關規範。</w:t>
            </w:r>
          </w:p>
        </w:tc>
        <w:tc>
          <w:tcPr>
            <w:tcW w:w="2023" w:type="dxa"/>
            <w:vMerge/>
            <w:tcBorders>
              <w:right w:val="single" w:sz="12" w:space="0" w:color="auto"/>
            </w:tcBorders>
          </w:tcPr>
          <w:p w14:paraId="50B75C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C5A01E" w14:textId="77777777">
        <w:tc>
          <w:tcPr>
            <w:tcW w:w="1384" w:type="dxa"/>
            <w:vMerge/>
            <w:tcBorders>
              <w:left w:val="single" w:sz="12" w:space="0" w:color="auto"/>
            </w:tcBorders>
          </w:tcPr>
          <w:p w14:paraId="3FF7EC54" w14:textId="77777777" w:rsidR="003B3105" w:rsidRDefault="003B3105" w:rsidP="001E533B">
            <w:pPr>
              <w:rPr>
                <w:rFonts w:ascii="新細明體" w:eastAsia="新細明體" w:hAnsi="新細明體"/>
              </w:rPr>
            </w:pPr>
          </w:p>
        </w:tc>
        <w:tc>
          <w:tcPr>
            <w:tcW w:w="1276" w:type="dxa"/>
            <w:vMerge/>
          </w:tcPr>
          <w:p w14:paraId="25322F6E" w14:textId="77777777" w:rsidR="003B3105" w:rsidRDefault="003B3105" w:rsidP="001E533B">
            <w:pPr>
              <w:rPr>
                <w:rFonts w:ascii="新細明體" w:eastAsia="新細明體" w:hAnsi="新細明體"/>
              </w:rPr>
            </w:pPr>
          </w:p>
        </w:tc>
        <w:tc>
          <w:tcPr>
            <w:tcW w:w="5386" w:type="dxa"/>
            <w:tcBorders>
              <w:top w:val="nil"/>
              <w:bottom w:val="nil"/>
            </w:tcBorders>
          </w:tcPr>
          <w:p w14:paraId="11524B6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(三)相關法令規章之遵循。</w:t>
            </w:r>
          </w:p>
        </w:tc>
        <w:tc>
          <w:tcPr>
            <w:tcW w:w="5387" w:type="dxa"/>
            <w:tcBorders>
              <w:top w:val="nil"/>
              <w:bottom w:val="nil"/>
            </w:tcBorders>
          </w:tcPr>
          <w:p w14:paraId="1D2484D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(三)相關法令規章之遵循。</w:t>
            </w:r>
          </w:p>
        </w:tc>
        <w:tc>
          <w:tcPr>
            <w:tcW w:w="2023" w:type="dxa"/>
            <w:vMerge/>
            <w:tcBorders>
              <w:right w:val="single" w:sz="12" w:space="0" w:color="auto"/>
            </w:tcBorders>
          </w:tcPr>
          <w:p w14:paraId="1D0909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80460E" w14:textId="77777777">
        <w:tc>
          <w:tcPr>
            <w:tcW w:w="1384" w:type="dxa"/>
            <w:vMerge/>
            <w:tcBorders>
              <w:left w:val="single" w:sz="12" w:space="0" w:color="auto"/>
            </w:tcBorders>
          </w:tcPr>
          <w:p w14:paraId="7E9C9069" w14:textId="77777777" w:rsidR="003B3105" w:rsidRDefault="003B3105" w:rsidP="001E533B">
            <w:pPr>
              <w:rPr>
                <w:rFonts w:ascii="新細明體" w:eastAsia="新細明體" w:hAnsi="新細明體"/>
              </w:rPr>
            </w:pPr>
          </w:p>
        </w:tc>
        <w:tc>
          <w:tcPr>
            <w:tcW w:w="1276" w:type="dxa"/>
            <w:vMerge/>
          </w:tcPr>
          <w:p w14:paraId="575D138A" w14:textId="77777777" w:rsidR="003B3105" w:rsidRDefault="003B3105" w:rsidP="001E533B">
            <w:pPr>
              <w:rPr>
                <w:rFonts w:ascii="新細明體" w:eastAsia="新細明體" w:hAnsi="新細明體"/>
              </w:rPr>
            </w:pPr>
          </w:p>
        </w:tc>
        <w:tc>
          <w:tcPr>
            <w:tcW w:w="5386" w:type="dxa"/>
            <w:tcBorders>
              <w:top w:val="nil"/>
              <w:bottom w:val="nil"/>
            </w:tcBorders>
          </w:tcPr>
          <w:p w14:paraId="28C377AA"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5387" w:type="dxa"/>
            <w:tcBorders>
              <w:top w:val="nil"/>
              <w:bottom w:val="nil"/>
            </w:tcBorders>
          </w:tcPr>
          <w:p w14:paraId="6DD2892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2023" w:type="dxa"/>
            <w:vMerge/>
            <w:tcBorders>
              <w:right w:val="single" w:sz="12" w:space="0" w:color="auto"/>
            </w:tcBorders>
          </w:tcPr>
          <w:p w14:paraId="40E37E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023BDB" w14:textId="77777777">
        <w:tc>
          <w:tcPr>
            <w:tcW w:w="1384" w:type="dxa"/>
            <w:vMerge/>
            <w:tcBorders>
              <w:left w:val="single" w:sz="12" w:space="0" w:color="auto"/>
            </w:tcBorders>
          </w:tcPr>
          <w:p w14:paraId="3E0C8DA8" w14:textId="77777777" w:rsidR="003B3105" w:rsidRDefault="003B3105" w:rsidP="001E533B">
            <w:pPr>
              <w:rPr>
                <w:rFonts w:ascii="新細明體" w:eastAsia="新細明體" w:hAnsi="新細明體"/>
              </w:rPr>
            </w:pPr>
          </w:p>
        </w:tc>
        <w:tc>
          <w:tcPr>
            <w:tcW w:w="1276" w:type="dxa"/>
            <w:vMerge/>
          </w:tcPr>
          <w:p w14:paraId="02A34891" w14:textId="77777777" w:rsidR="003B3105" w:rsidRDefault="003B3105" w:rsidP="001E533B">
            <w:pPr>
              <w:rPr>
                <w:rFonts w:ascii="新細明體" w:eastAsia="新細明體" w:hAnsi="新細明體"/>
              </w:rPr>
            </w:pPr>
          </w:p>
        </w:tc>
        <w:tc>
          <w:tcPr>
            <w:tcW w:w="5386" w:type="dxa"/>
            <w:tcBorders>
              <w:top w:val="nil"/>
              <w:bottom w:val="nil"/>
            </w:tcBorders>
          </w:tcPr>
          <w:p w14:paraId="4D2390AE"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5387" w:type="dxa"/>
            <w:tcBorders>
              <w:top w:val="nil"/>
              <w:bottom w:val="nil"/>
            </w:tcBorders>
          </w:tcPr>
          <w:p w14:paraId="6872514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2023" w:type="dxa"/>
            <w:vMerge/>
            <w:tcBorders>
              <w:right w:val="single" w:sz="12" w:space="0" w:color="auto"/>
            </w:tcBorders>
          </w:tcPr>
          <w:p w14:paraId="04A521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B1DE69" w14:textId="77777777">
        <w:tc>
          <w:tcPr>
            <w:tcW w:w="1384" w:type="dxa"/>
            <w:vMerge/>
            <w:tcBorders>
              <w:left w:val="single" w:sz="12" w:space="0" w:color="auto"/>
            </w:tcBorders>
          </w:tcPr>
          <w:p w14:paraId="46BF2809" w14:textId="77777777" w:rsidR="003B3105" w:rsidRDefault="003B3105" w:rsidP="001E533B">
            <w:pPr>
              <w:rPr>
                <w:rFonts w:ascii="新細明體" w:eastAsia="新細明體" w:hAnsi="新細明體"/>
              </w:rPr>
            </w:pPr>
          </w:p>
        </w:tc>
        <w:tc>
          <w:tcPr>
            <w:tcW w:w="1276" w:type="dxa"/>
            <w:vMerge/>
          </w:tcPr>
          <w:p w14:paraId="2E6FB531" w14:textId="77777777" w:rsidR="003B3105" w:rsidRDefault="003B3105" w:rsidP="001E533B">
            <w:pPr>
              <w:rPr>
                <w:rFonts w:ascii="新細明體" w:eastAsia="新細明體" w:hAnsi="新細明體"/>
              </w:rPr>
            </w:pPr>
          </w:p>
        </w:tc>
        <w:tc>
          <w:tcPr>
            <w:tcW w:w="5386" w:type="dxa"/>
            <w:tcBorders>
              <w:top w:val="nil"/>
              <w:bottom w:val="nil"/>
            </w:tcBorders>
          </w:tcPr>
          <w:p w14:paraId="0E86DD1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已依證券交易法規定設置審計委員會者，訂定或修正內部控制制度，應經審計委員會全體實際在任成員二分之一以上同意，並提董事會決議。未經審計委員會全體實際在任成員二分之一以上同意者，得由全體實際在任董事三分之二以上同意行之，並應於董事會議事錄載明審計委員會之決議。</w:t>
            </w:r>
          </w:p>
        </w:tc>
        <w:tc>
          <w:tcPr>
            <w:tcW w:w="5387" w:type="dxa"/>
            <w:tcBorders>
              <w:top w:val="nil"/>
              <w:bottom w:val="nil"/>
            </w:tcBorders>
          </w:tcPr>
          <w:p w14:paraId="66DB747E"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已依證券交易法規定設置審計委員會者，訂定或修正內部控制制度，應經審計委員會全體實際在任成員二分之一以上同意，並提董事會決議。未經審計委員會全體實際在任成員二分之一以上同意者，得由全體實際在任董事三分之二以上同意行之，並應於董事會議事錄載明審計委員會之決議。</w:t>
            </w:r>
          </w:p>
        </w:tc>
        <w:tc>
          <w:tcPr>
            <w:tcW w:w="2023" w:type="dxa"/>
            <w:vMerge/>
            <w:tcBorders>
              <w:right w:val="single" w:sz="12" w:space="0" w:color="auto"/>
            </w:tcBorders>
          </w:tcPr>
          <w:p w14:paraId="0C1103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DA25D5" w14:textId="77777777">
        <w:tc>
          <w:tcPr>
            <w:tcW w:w="1384" w:type="dxa"/>
            <w:vMerge/>
            <w:tcBorders>
              <w:left w:val="single" w:sz="12" w:space="0" w:color="auto"/>
            </w:tcBorders>
          </w:tcPr>
          <w:p w14:paraId="59AE1851" w14:textId="77777777" w:rsidR="003B3105" w:rsidRDefault="003B3105" w:rsidP="001E533B">
            <w:pPr>
              <w:rPr>
                <w:rFonts w:ascii="新細明體" w:eastAsia="新細明體" w:hAnsi="新細明體"/>
              </w:rPr>
            </w:pPr>
          </w:p>
        </w:tc>
        <w:tc>
          <w:tcPr>
            <w:tcW w:w="1276" w:type="dxa"/>
            <w:vMerge/>
          </w:tcPr>
          <w:p w14:paraId="06E7C1C8" w14:textId="77777777" w:rsidR="003B3105" w:rsidRDefault="003B3105" w:rsidP="001E533B">
            <w:pPr>
              <w:rPr>
                <w:rFonts w:ascii="新細明體" w:eastAsia="新細明體" w:hAnsi="新細明體"/>
              </w:rPr>
            </w:pPr>
          </w:p>
        </w:tc>
        <w:tc>
          <w:tcPr>
            <w:tcW w:w="5386" w:type="dxa"/>
            <w:tcBorders>
              <w:top w:val="nil"/>
              <w:bottom w:val="nil"/>
            </w:tcBorders>
          </w:tcPr>
          <w:p w14:paraId="0401CDC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公司應考量本事業及子公司（依各服務事</w:t>
            </w:r>
            <w:r>
              <w:rPr>
                <w:rFonts w:ascii="新細明體" w:eastAsia="新細明體" w:hAnsi="新細明體" w:cs="新細明體" w:hint="eastAsia"/>
              </w:rPr>
              <w:lastRenderedPageBreak/>
              <w:t>業財務報告編製規範之規定認定之）整體之營運活動，設計並確實執行內部控制制度，且應隨時檢討，以因應公司內外在環境的變遷，俾確保內部控制制度之設計及執行持續有效。</w:t>
            </w:r>
          </w:p>
        </w:tc>
        <w:tc>
          <w:tcPr>
            <w:tcW w:w="5387" w:type="dxa"/>
            <w:tcBorders>
              <w:top w:val="nil"/>
              <w:bottom w:val="nil"/>
            </w:tcBorders>
          </w:tcPr>
          <w:p w14:paraId="54402701"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公司應考量本事業及子公司（依各服務事</w:t>
            </w:r>
            <w:r>
              <w:rPr>
                <w:rFonts w:ascii="新細明體" w:eastAsia="新細明體" w:hAnsi="新細明體" w:cs="新細明體" w:hint="eastAsia"/>
              </w:rPr>
              <w:lastRenderedPageBreak/>
              <w:t>業財務報告編製規範之規定認定之）整體之營運活動，設計並確實執行內部控制制度，且應隨時檢討，以因應公司內外在環境的變遷，俾確保內部控制制度之設計及執行持續有效。</w:t>
            </w:r>
          </w:p>
        </w:tc>
        <w:tc>
          <w:tcPr>
            <w:tcW w:w="2023" w:type="dxa"/>
            <w:vMerge/>
            <w:tcBorders>
              <w:right w:val="single" w:sz="12" w:space="0" w:color="auto"/>
            </w:tcBorders>
          </w:tcPr>
          <w:p w14:paraId="3C2537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3C171E" w14:textId="77777777">
        <w:tc>
          <w:tcPr>
            <w:tcW w:w="1384" w:type="dxa"/>
            <w:vMerge/>
            <w:tcBorders>
              <w:left w:val="single" w:sz="12" w:space="0" w:color="auto"/>
            </w:tcBorders>
          </w:tcPr>
          <w:p w14:paraId="1DEA5A56" w14:textId="77777777" w:rsidR="003B3105" w:rsidRDefault="003B3105" w:rsidP="001E533B">
            <w:pPr>
              <w:rPr>
                <w:rFonts w:ascii="新細明體" w:eastAsia="新細明體" w:hAnsi="新細明體"/>
              </w:rPr>
            </w:pPr>
          </w:p>
        </w:tc>
        <w:tc>
          <w:tcPr>
            <w:tcW w:w="1276" w:type="dxa"/>
            <w:vMerge/>
          </w:tcPr>
          <w:p w14:paraId="429855C1" w14:textId="77777777" w:rsidR="003B3105" w:rsidRDefault="003B3105" w:rsidP="001E533B">
            <w:pPr>
              <w:rPr>
                <w:rFonts w:ascii="新細明體" w:eastAsia="新細明體" w:hAnsi="新細明體"/>
              </w:rPr>
            </w:pPr>
          </w:p>
        </w:tc>
        <w:tc>
          <w:tcPr>
            <w:tcW w:w="5386" w:type="dxa"/>
            <w:tcBorders>
              <w:top w:val="nil"/>
              <w:bottom w:val="nil"/>
            </w:tcBorders>
          </w:tcPr>
          <w:p w14:paraId="691EB6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五、內部控制之組成要素：</w:t>
            </w:r>
          </w:p>
        </w:tc>
        <w:tc>
          <w:tcPr>
            <w:tcW w:w="5387" w:type="dxa"/>
            <w:tcBorders>
              <w:top w:val="nil"/>
              <w:bottom w:val="nil"/>
            </w:tcBorders>
          </w:tcPr>
          <w:p w14:paraId="5A39765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五、內部控制之組成要素：</w:t>
            </w:r>
          </w:p>
        </w:tc>
        <w:tc>
          <w:tcPr>
            <w:tcW w:w="2023" w:type="dxa"/>
            <w:vMerge/>
            <w:tcBorders>
              <w:right w:val="single" w:sz="12" w:space="0" w:color="auto"/>
            </w:tcBorders>
          </w:tcPr>
          <w:p w14:paraId="697CEA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D3194D" w14:textId="77777777">
        <w:tc>
          <w:tcPr>
            <w:tcW w:w="1384" w:type="dxa"/>
            <w:vMerge/>
            <w:tcBorders>
              <w:left w:val="single" w:sz="12" w:space="0" w:color="auto"/>
            </w:tcBorders>
          </w:tcPr>
          <w:p w14:paraId="344FE112" w14:textId="77777777" w:rsidR="003B3105" w:rsidRDefault="003B3105" w:rsidP="001E533B">
            <w:pPr>
              <w:rPr>
                <w:rFonts w:ascii="新細明體" w:eastAsia="新細明體" w:hAnsi="新細明體"/>
              </w:rPr>
            </w:pPr>
          </w:p>
        </w:tc>
        <w:tc>
          <w:tcPr>
            <w:tcW w:w="1276" w:type="dxa"/>
            <w:vMerge/>
          </w:tcPr>
          <w:p w14:paraId="777A3D16" w14:textId="77777777" w:rsidR="003B3105" w:rsidRDefault="003B3105" w:rsidP="001E533B">
            <w:pPr>
              <w:rPr>
                <w:rFonts w:ascii="新細明體" w:eastAsia="新細明體" w:hAnsi="新細明體"/>
              </w:rPr>
            </w:pPr>
          </w:p>
        </w:tc>
        <w:tc>
          <w:tcPr>
            <w:tcW w:w="5386" w:type="dxa"/>
            <w:tcBorders>
              <w:top w:val="nil"/>
              <w:bottom w:val="nil"/>
            </w:tcBorders>
          </w:tcPr>
          <w:p w14:paraId="2786751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依「證券暨期貨市場各服務事業建立內部控制制度處理準則」第七條之規定，內部控制制度應包括下列組成要素：</w:t>
            </w:r>
          </w:p>
        </w:tc>
        <w:tc>
          <w:tcPr>
            <w:tcW w:w="5387" w:type="dxa"/>
            <w:tcBorders>
              <w:top w:val="nil"/>
              <w:bottom w:val="nil"/>
            </w:tcBorders>
          </w:tcPr>
          <w:p w14:paraId="6C47F11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依「證券暨期貨市場各服務事業建立內部控制制度處理準則」第七條之規定，內部控制制度應包括下列組成要素：</w:t>
            </w:r>
          </w:p>
        </w:tc>
        <w:tc>
          <w:tcPr>
            <w:tcW w:w="2023" w:type="dxa"/>
            <w:vMerge/>
            <w:tcBorders>
              <w:right w:val="single" w:sz="12" w:space="0" w:color="auto"/>
            </w:tcBorders>
          </w:tcPr>
          <w:p w14:paraId="1EF9D0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96BC75" w14:textId="77777777">
        <w:tc>
          <w:tcPr>
            <w:tcW w:w="1384" w:type="dxa"/>
            <w:vMerge/>
            <w:tcBorders>
              <w:left w:val="single" w:sz="12" w:space="0" w:color="auto"/>
            </w:tcBorders>
          </w:tcPr>
          <w:p w14:paraId="6D7EA34B" w14:textId="77777777" w:rsidR="003B3105" w:rsidRDefault="003B3105" w:rsidP="001E533B">
            <w:pPr>
              <w:rPr>
                <w:rFonts w:ascii="新細明體" w:eastAsia="新細明體" w:hAnsi="新細明體"/>
              </w:rPr>
            </w:pPr>
          </w:p>
        </w:tc>
        <w:tc>
          <w:tcPr>
            <w:tcW w:w="1276" w:type="dxa"/>
            <w:vMerge/>
          </w:tcPr>
          <w:p w14:paraId="2E4B6C0F" w14:textId="77777777" w:rsidR="003B3105" w:rsidRDefault="003B3105" w:rsidP="001E533B">
            <w:pPr>
              <w:rPr>
                <w:rFonts w:ascii="新細明體" w:eastAsia="新細明體" w:hAnsi="新細明體"/>
              </w:rPr>
            </w:pPr>
          </w:p>
        </w:tc>
        <w:tc>
          <w:tcPr>
            <w:tcW w:w="5386" w:type="dxa"/>
            <w:tcBorders>
              <w:top w:val="nil"/>
              <w:bottom w:val="nil"/>
            </w:tcBorders>
          </w:tcPr>
          <w:p w14:paraId="1E7D40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5387" w:type="dxa"/>
            <w:tcBorders>
              <w:top w:val="nil"/>
              <w:bottom w:val="nil"/>
            </w:tcBorders>
          </w:tcPr>
          <w:p w14:paraId="460D6E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2023" w:type="dxa"/>
            <w:vMerge/>
            <w:tcBorders>
              <w:right w:val="single" w:sz="12" w:space="0" w:color="auto"/>
            </w:tcBorders>
          </w:tcPr>
          <w:p w14:paraId="0C4CAD0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6CEA29" w14:textId="77777777">
        <w:tc>
          <w:tcPr>
            <w:tcW w:w="1384" w:type="dxa"/>
            <w:vMerge/>
            <w:tcBorders>
              <w:left w:val="single" w:sz="12" w:space="0" w:color="auto"/>
            </w:tcBorders>
          </w:tcPr>
          <w:p w14:paraId="55C8C951" w14:textId="77777777" w:rsidR="003B3105" w:rsidRDefault="003B3105" w:rsidP="001E533B">
            <w:pPr>
              <w:rPr>
                <w:rFonts w:ascii="新細明體" w:eastAsia="新細明體" w:hAnsi="新細明體"/>
              </w:rPr>
            </w:pPr>
          </w:p>
        </w:tc>
        <w:tc>
          <w:tcPr>
            <w:tcW w:w="1276" w:type="dxa"/>
            <w:vMerge/>
          </w:tcPr>
          <w:p w14:paraId="12E00929" w14:textId="77777777" w:rsidR="003B3105" w:rsidRDefault="003B3105" w:rsidP="001E533B">
            <w:pPr>
              <w:rPr>
                <w:rFonts w:ascii="新細明體" w:eastAsia="新細明體" w:hAnsi="新細明體"/>
              </w:rPr>
            </w:pPr>
          </w:p>
        </w:tc>
        <w:tc>
          <w:tcPr>
            <w:tcW w:w="5386" w:type="dxa"/>
            <w:tcBorders>
              <w:top w:val="nil"/>
              <w:bottom w:val="nil"/>
            </w:tcBorders>
          </w:tcPr>
          <w:p w14:paraId="37CC30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風險評估：風險評估之先決條件為確立各項目標，並與事業不同層級單位相連結，同時需考慮事業目標之適合性。管理階層應考量事業外部環境與商業模式改變之影響，以及可能發生之舞弊情事。其評估結果，可協助事業及時設計、修正及執行必要之控制作業。</w:t>
            </w:r>
          </w:p>
        </w:tc>
        <w:tc>
          <w:tcPr>
            <w:tcW w:w="5387" w:type="dxa"/>
            <w:tcBorders>
              <w:top w:val="nil"/>
              <w:bottom w:val="nil"/>
            </w:tcBorders>
          </w:tcPr>
          <w:p w14:paraId="2F6C96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風險評估：風險評估之先決條件為確立各項目標，並與事業不同層級單位相連結，同時需考慮事業目標之適合性。管理階層應考量事業外部環境與商業模式改變之影響，以及可能發生之舞弊情事。其評估結果，可協助事業及時設計、修正及執行必要之控制作業。</w:t>
            </w:r>
          </w:p>
        </w:tc>
        <w:tc>
          <w:tcPr>
            <w:tcW w:w="2023" w:type="dxa"/>
            <w:vMerge/>
            <w:tcBorders>
              <w:right w:val="single" w:sz="12" w:space="0" w:color="auto"/>
            </w:tcBorders>
          </w:tcPr>
          <w:p w14:paraId="73CB39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E50434" w14:textId="77777777">
        <w:tc>
          <w:tcPr>
            <w:tcW w:w="1384" w:type="dxa"/>
            <w:vMerge/>
            <w:tcBorders>
              <w:left w:val="single" w:sz="12" w:space="0" w:color="auto"/>
            </w:tcBorders>
          </w:tcPr>
          <w:p w14:paraId="2B60096D" w14:textId="77777777" w:rsidR="003B3105" w:rsidRDefault="003B3105" w:rsidP="001E533B">
            <w:pPr>
              <w:rPr>
                <w:rFonts w:ascii="新細明體" w:eastAsia="新細明體" w:hAnsi="新細明體"/>
              </w:rPr>
            </w:pPr>
          </w:p>
        </w:tc>
        <w:tc>
          <w:tcPr>
            <w:tcW w:w="1276" w:type="dxa"/>
            <w:vMerge/>
          </w:tcPr>
          <w:p w14:paraId="1E566EF8" w14:textId="77777777" w:rsidR="003B3105" w:rsidRDefault="003B3105" w:rsidP="001E533B">
            <w:pPr>
              <w:rPr>
                <w:rFonts w:ascii="新細明體" w:eastAsia="新細明體" w:hAnsi="新細明體"/>
              </w:rPr>
            </w:pPr>
          </w:p>
        </w:tc>
        <w:tc>
          <w:tcPr>
            <w:tcW w:w="5386" w:type="dxa"/>
            <w:tcBorders>
              <w:top w:val="nil"/>
              <w:bottom w:val="nil"/>
            </w:tcBorders>
          </w:tcPr>
          <w:p w14:paraId="74EBE7C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(三)控制作業：係指事業依據風險評估結果，採用適當政策與程序之行動，將風險控制在可承受範圍之內。控制作業之執行應包括事業所有層級、業務流程內</w:t>
            </w:r>
            <w:r>
              <w:rPr>
                <w:rFonts w:ascii="新細明體" w:eastAsia="新細明體" w:hAnsi="新細明體" w:cs="新細明體" w:hint="eastAsia"/>
              </w:rPr>
              <w:lastRenderedPageBreak/>
              <w:t>之各個階段、所有科技環境等範圍及對子公司之監督與管理。</w:t>
            </w:r>
          </w:p>
        </w:tc>
        <w:tc>
          <w:tcPr>
            <w:tcW w:w="5387" w:type="dxa"/>
            <w:tcBorders>
              <w:top w:val="nil"/>
              <w:bottom w:val="nil"/>
            </w:tcBorders>
          </w:tcPr>
          <w:p w14:paraId="192876C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(三)控制作業：係指事業依據風險評估結果，採用適當政策與程序之行動，將風險控制在可承受範圍之內。控制作業之執行應包括事業所有層級、業務流程內</w:t>
            </w:r>
            <w:r>
              <w:rPr>
                <w:rFonts w:ascii="新細明體" w:eastAsia="新細明體" w:hAnsi="新細明體" w:cs="新細明體" w:hint="eastAsia"/>
              </w:rPr>
              <w:lastRenderedPageBreak/>
              <w:t>之各個階段、所有科技環境等範圍及對子公司之監督與管理。</w:t>
            </w:r>
          </w:p>
        </w:tc>
        <w:tc>
          <w:tcPr>
            <w:tcW w:w="2023" w:type="dxa"/>
            <w:vMerge/>
            <w:tcBorders>
              <w:right w:val="single" w:sz="12" w:space="0" w:color="auto"/>
            </w:tcBorders>
          </w:tcPr>
          <w:p w14:paraId="406222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7AFB53" w14:textId="77777777">
        <w:tc>
          <w:tcPr>
            <w:tcW w:w="1384" w:type="dxa"/>
            <w:vMerge/>
            <w:tcBorders>
              <w:left w:val="single" w:sz="12" w:space="0" w:color="auto"/>
            </w:tcBorders>
          </w:tcPr>
          <w:p w14:paraId="5FDEEC85" w14:textId="77777777" w:rsidR="003B3105" w:rsidRDefault="003B3105" w:rsidP="001E533B">
            <w:pPr>
              <w:rPr>
                <w:rFonts w:ascii="新細明體" w:eastAsia="新細明體" w:hAnsi="新細明體"/>
              </w:rPr>
            </w:pPr>
          </w:p>
        </w:tc>
        <w:tc>
          <w:tcPr>
            <w:tcW w:w="1276" w:type="dxa"/>
            <w:vMerge/>
          </w:tcPr>
          <w:p w14:paraId="06249BE9" w14:textId="77777777" w:rsidR="003B3105" w:rsidRDefault="003B3105" w:rsidP="001E533B">
            <w:pPr>
              <w:rPr>
                <w:rFonts w:ascii="新細明體" w:eastAsia="新細明體" w:hAnsi="新細明體"/>
              </w:rPr>
            </w:pPr>
          </w:p>
        </w:tc>
        <w:tc>
          <w:tcPr>
            <w:tcW w:w="5386" w:type="dxa"/>
            <w:tcBorders>
              <w:top w:val="nil"/>
              <w:bottom w:val="nil"/>
            </w:tcBorders>
          </w:tcPr>
          <w:p w14:paraId="457DFB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5387" w:type="dxa"/>
            <w:tcBorders>
              <w:top w:val="nil"/>
              <w:bottom w:val="nil"/>
            </w:tcBorders>
          </w:tcPr>
          <w:p w14:paraId="0D1AF7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2023" w:type="dxa"/>
            <w:vMerge/>
            <w:tcBorders>
              <w:right w:val="single" w:sz="12" w:space="0" w:color="auto"/>
            </w:tcBorders>
          </w:tcPr>
          <w:p w14:paraId="5E9A60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73F64B" w14:textId="77777777">
        <w:tc>
          <w:tcPr>
            <w:tcW w:w="1384" w:type="dxa"/>
            <w:vMerge/>
            <w:tcBorders>
              <w:left w:val="single" w:sz="12" w:space="0" w:color="auto"/>
            </w:tcBorders>
          </w:tcPr>
          <w:p w14:paraId="00088762" w14:textId="77777777" w:rsidR="003B3105" w:rsidRDefault="003B3105" w:rsidP="001E533B">
            <w:pPr>
              <w:rPr>
                <w:rFonts w:ascii="新細明體" w:eastAsia="新細明體" w:hAnsi="新細明體"/>
              </w:rPr>
            </w:pPr>
          </w:p>
        </w:tc>
        <w:tc>
          <w:tcPr>
            <w:tcW w:w="1276" w:type="dxa"/>
            <w:vMerge/>
          </w:tcPr>
          <w:p w14:paraId="623E611D" w14:textId="77777777" w:rsidR="003B3105" w:rsidRDefault="003B3105" w:rsidP="001E533B">
            <w:pPr>
              <w:rPr>
                <w:rFonts w:ascii="新細明體" w:eastAsia="新細明體" w:hAnsi="新細明體"/>
              </w:rPr>
            </w:pPr>
          </w:p>
        </w:tc>
        <w:tc>
          <w:tcPr>
            <w:tcW w:w="5386" w:type="dxa"/>
            <w:tcBorders>
              <w:top w:val="nil"/>
              <w:bottom w:val="nil"/>
            </w:tcBorders>
          </w:tcPr>
          <w:p w14:paraId="0E207D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及監察人溝通，並及時改善。</w:t>
            </w:r>
          </w:p>
        </w:tc>
        <w:tc>
          <w:tcPr>
            <w:tcW w:w="5387" w:type="dxa"/>
            <w:tcBorders>
              <w:top w:val="nil"/>
              <w:bottom w:val="nil"/>
            </w:tcBorders>
          </w:tcPr>
          <w:p w14:paraId="0F743D2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及監察人溝通，並及時改善。</w:t>
            </w:r>
          </w:p>
        </w:tc>
        <w:tc>
          <w:tcPr>
            <w:tcW w:w="2023" w:type="dxa"/>
            <w:vMerge/>
            <w:tcBorders>
              <w:right w:val="single" w:sz="12" w:space="0" w:color="auto"/>
            </w:tcBorders>
          </w:tcPr>
          <w:p w14:paraId="7959F7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8C4696" w14:textId="77777777">
        <w:tc>
          <w:tcPr>
            <w:tcW w:w="1384" w:type="dxa"/>
            <w:vMerge/>
            <w:tcBorders>
              <w:left w:val="single" w:sz="12" w:space="0" w:color="auto"/>
            </w:tcBorders>
          </w:tcPr>
          <w:p w14:paraId="7ABC5B9B" w14:textId="77777777" w:rsidR="003B3105" w:rsidRDefault="003B3105" w:rsidP="001E533B">
            <w:pPr>
              <w:rPr>
                <w:rFonts w:ascii="新細明體" w:eastAsia="新細明體" w:hAnsi="新細明體"/>
              </w:rPr>
            </w:pPr>
          </w:p>
        </w:tc>
        <w:tc>
          <w:tcPr>
            <w:tcW w:w="1276" w:type="dxa"/>
            <w:vMerge/>
          </w:tcPr>
          <w:p w14:paraId="27134AA3" w14:textId="77777777" w:rsidR="003B3105" w:rsidRDefault="003B3105" w:rsidP="001E533B">
            <w:pPr>
              <w:rPr>
                <w:rFonts w:ascii="新細明體" w:eastAsia="新細明體" w:hAnsi="新細明體"/>
              </w:rPr>
            </w:pPr>
          </w:p>
        </w:tc>
        <w:tc>
          <w:tcPr>
            <w:tcW w:w="5386" w:type="dxa"/>
            <w:tcBorders>
              <w:top w:val="nil"/>
              <w:bottom w:val="nil"/>
            </w:tcBorders>
          </w:tcPr>
          <w:p w14:paraId="2A2316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六、公司組織結構與部門職掌：</w:t>
            </w:r>
          </w:p>
        </w:tc>
        <w:tc>
          <w:tcPr>
            <w:tcW w:w="5387" w:type="dxa"/>
            <w:tcBorders>
              <w:top w:val="nil"/>
              <w:bottom w:val="nil"/>
            </w:tcBorders>
          </w:tcPr>
          <w:p w14:paraId="1F21EF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六、公司組織結構與部門職掌：</w:t>
            </w:r>
          </w:p>
        </w:tc>
        <w:tc>
          <w:tcPr>
            <w:tcW w:w="2023" w:type="dxa"/>
            <w:vMerge/>
            <w:tcBorders>
              <w:right w:val="single" w:sz="12" w:space="0" w:color="auto"/>
            </w:tcBorders>
          </w:tcPr>
          <w:p w14:paraId="73FA89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7671FB" w14:textId="77777777">
        <w:tc>
          <w:tcPr>
            <w:tcW w:w="1384" w:type="dxa"/>
            <w:vMerge/>
            <w:tcBorders>
              <w:left w:val="single" w:sz="12" w:space="0" w:color="auto"/>
            </w:tcBorders>
          </w:tcPr>
          <w:p w14:paraId="397CD19E" w14:textId="77777777" w:rsidR="003B3105" w:rsidRDefault="003B3105" w:rsidP="001E533B">
            <w:pPr>
              <w:rPr>
                <w:rFonts w:ascii="新細明體" w:eastAsia="新細明體" w:hAnsi="新細明體"/>
              </w:rPr>
            </w:pPr>
          </w:p>
        </w:tc>
        <w:tc>
          <w:tcPr>
            <w:tcW w:w="1276" w:type="dxa"/>
            <w:vMerge/>
          </w:tcPr>
          <w:p w14:paraId="04826E3F" w14:textId="77777777" w:rsidR="003B3105" w:rsidRDefault="003B3105" w:rsidP="001E533B">
            <w:pPr>
              <w:rPr>
                <w:rFonts w:ascii="新細明體" w:eastAsia="新細明體" w:hAnsi="新細明體"/>
              </w:rPr>
            </w:pPr>
          </w:p>
        </w:tc>
        <w:tc>
          <w:tcPr>
            <w:tcW w:w="5386" w:type="dxa"/>
            <w:tcBorders>
              <w:top w:val="nil"/>
              <w:bottom w:val="nil"/>
            </w:tcBorders>
          </w:tcPr>
          <w:p w14:paraId="1ACC242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應訂定明確之內部組織結構、呈報體系，及適當權限與責任，包括公司組織系統圖、部門分工、職權範圍及各項業務之分層負責等應予以敘明(有關各項業務之分層負責劃分，請依附表所列示項目，得由各證券交易輔助人於法令許可範圍內視情況調整訂定)，並載明經理人之設置、職稱、委任與解</w:t>
            </w:r>
            <w:r>
              <w:rPr>
                <w:rFonts w:ascii="新細明體" w:eastAsia="新細明體" w:hAnsi="新細明體" w:cs="新細明體" w:hint="eastAsia"/>
              </w:rPr>
              <w:lastRenderedPageBreak/>
              <w:t>任、職權範圍及薪資報酬政策與制度等事項。</w:t>
            </w:r>
          </w:p>
        </w:tc>
        <w:tc>
          <w:tcPr>
            <w:tcW w:w="5387" w:type="dxa"/>
            <w:tcBorders>
              <w:top w:val="nil"/>
              <w:bottom w:val="nil"/>
            </w:tcBorders>
          </w:tcPr>
          <w:p w14:paraId="2494C284"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應訂定明確之內部組織結構、呈報體系，及適當權限與責任，包括公司組織系統圖、部門分工、職權範圍及各項業務之分層負責等應予以敘明(有關各項業務之分層負責劃分，請依附表所列示項目，得由各證券交易輔助人於法令許可範圍內視情況調整訂定)，並載明經理人之設置、職稱、委任與解</w:t>
            </w:r>
            <w:r>
              <w:rPr>
                <w:rFonts w:ascii="新細明體" w:eastAsia="新細明體" w:hAnsi="新細明體" w:cs="新細明體" w:hint="eastAsia"/>
              </w:rPr>
              <w:lastRenderedPageBreak/>
              <w:t>任、職權範圍及薪資報酬政策與制度等事項。</w:t>
            </w:r>
          </w:p>
        </w:tc>
        <w:tc>
          <w:tcPr>
            <w:tcW w:w="2023" w:type="dxa"/>
            <w:vMerge/>
            <w:tcBorders>
              <w:right w:val="single" w:sz="12" w:space="0" w:color="auto"/>
            </w:tcBorders>
          </w:tcPr>
          <w:p w14:paraId="79F718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0D5146" w14:textId="77777777">
        <w:tc>
          <w:tcPr>
            <w:tcW w:w="1384" w:type="dxa"/>
            <w:vMerge/>
            <w:tcBorders>
              <w:left w:val="single" w:sz="12" w:space="0" w:color="auto"/>
            </w:tcBorders>
          </w:tcPr>
          <w:p w14:paraId="35FF750A" w14:textId="77777777" w:rsidR="003B3105" w:rsidRDefault="003B3105" w:rsidP="001E533B">
            <w:pPr>
              <w:rPr>
                <w:rFonts w:ascii="新細明體" w:eastAsia="新細明體" w:hAnsi="新細明體"/>
              </w:rPr>
            </w:pPr>
          </w:p>
        </w:tc>
        <w:tc>
          <w:tcPr>
            <w:tcW w:w="1276" w:type="dxa"/>
            <w:vMerge/>
          </w:tcPr>
          <w:p w14:paraId="2439C5B8" w14:textId="77777777" w:rsidR="003B3105" w:rsidRDefault="003B3105" w:rsidP="001E533B">
            <w:pPr>
              <w:rPr>
                <w:rFonts w:ascii="新細明體" w:eastAsia="新細明體" w:hAnsi="新細明體"/>
              </w:rPr>
            </w:pPr>
          </w:p>
        </w:tc>
        <w:tc>
          <w:tcPr>
            <w:tcW w:w="5386" w:type="dxa"/>
            <w:tcBorders>
              <w:top w:val="nil"/>
              <w:bottom w:val="nil"/>
            </w:tcBorders>
          </w:tcPr>
          <w:p w14:paraId="5762E97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七、業務經營原則與方針：</w:t>
            </w:r>
          </w:p>
        </w:tc>
        <w:tc>
          <w:tcPr>
            <w:tcW w:w="5387" w:type="dxa"/>
            <w:tcBorders>
              <w:top w:val="nil"/>
              <w:bottom w:val="nil"/>
            </w:tcBorders>
          </w:tcPr>
          <w:p w14:paraId="08A2D72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七、業務經營原則與方針：</w:t>
            </w:r>
          </w:p>
        </w:tc>
        <w:tc>
          <w:tcPr>
            <w:tcW w:w="2023" w:type="dxa"/>
            <w:vMerge/>
            <w:tcBorders>
              <w:right w:val="single" w:sz="12" w:space="0" w:color="auto"/>
            </w:tcBorders>
          </w:tcPr>
          <w:p w14:paraId="6A253F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4DDCA7" w14:textId="77777777">
        <w:tc>
          <w:tcPr>
            <w:tcW w:w="1384" w:type="dxa"/>
            <w:vMerge/>
            <w:tcBorders>
              <w:left w:val="single" w:sz="12" w:space="0" w:color="auto"/>
            </w:tcBorders>
          </w:tcPr>
          <w:p w14:paraId="43F3ADF1" w14:textId="77777777" w:rsidR="003B3105" w:rsidRDefault="003B3105" w:rsidP="001E533B">
            <w:pPr>
              <w:rPr>
                <w:rFonts w:ascii="新細明體" w:eastAsia="新細明體" w:hAnsi="新細明體"/>
              </w:rPr>
            </w:pPr>
          </w:p>
        </w:tc>
        <w:tc>
          <w:tcPr>
            <w:tcW w:w="1276" w:type="dxa"/>
            <w:vMerge/>
          </w:tcPr>
          <w:p w14:paraId="7664C346" w14:textId="77777777" w:rsidR="003B3105" w:rsidRDefault="003B3105" w:rsidP="001E533B">
            <w:pPr>
              <w:rPr>
                <w:rFonts w:ascii="新細明體" w:eastAsia="新細明體" w:hAnsi="新細明體"/>
              </w:rPr>
            </w:pPr>
          </w:p>
        </w:tc>
        <w:tc>
          <w:tcPr>
            <w:tcW w:w="5386" w:type="dxa"/>
            <w:tcBorders>
              <w:top w:val="nil"/>
              <w:bottom w:val="nil"/>
            </w:tcBorders>
          </w:tcPr>
          <w:p w14:paraId="12A454A3"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包括經營業務內容及範圍、業務經營原則及發展方針等應予以敘明。</w:t>
            </w:r>
          </w:p>
        </w:tc>
        <w:tc>
          <w:tcPr>
            <w:tcW w:w="5387" w:type="dxa"/>
            <w:tcBorders>
              <w:top w:val="nil"/>
              <w:bottom w:val="nil"/>
            </w:tcBorders>
          </w:tcPr>
          <w:p w14:paraId="454F9C9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包括經營業務內容及範圍、業務經營原則及發展方針等應予以敘明。</w:t>
            </w:r>
          </w:p>
        </w:tc>
        <w:tc>
          <w:tcPr>
            <w:tcW w:w="2023" w:type="dxa"/>
            <w:vMerge/>
            <w:tcBorders>
              <w:right w:val="single" w:sz="12" w:space="0" w:color="auto"/>
            </w:tcBorders>
          </w:tcPr>
          <w:p w14:paraId="1A3779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FB915A" w14:textId="77777777">
        <w:tc>
          <w:tcPr>
            <w:tcW w:w="1384" w:type="dxa"/>
            <w:vMerge/>
            <w:tcBorders>
              <w:left w:val="single" w:sz="12" w:space="0" w:color="auto"/>
            </w:tcBorders>
          </w:tcPr>
          <w:p w14:paraId="0F16E529" w14:textId="77777777" w:rsidR="003B3105" w:rsidRDefault="003B3105" w:rsidP="001E533B">
            <w:pPr>
              <w:rPr>
                <w:rFonts w:ascii="新細明體" w:eastAsia="新細明體" w:hAnsi="新細明體"/>
              </w:rPr>
            </w:pPr>
          </w:p>
        </w:tc>
        <w:tc>
          <w:tcPr>
            <w:tcW w:w="1276" w:type="dxa"/>
            <w:vMerge/>
          </w:tcPr>
          <w:p w14:paraId="7C621E59" w14:textId="77777777" w:rsidR="003B3105" w:rsidRDefault="003B3105" w:rsidP="001E533B">
            <w:pPr>
              <w:rPr>
                <w:rFonts w:ascii="新細明體" w:eastAsia="新細明體" w:hAnsi="新細明體"/>
              </w:rPr>
            </w:pPr>
          </w:p>
        </w:tc>
        <w:tc>
          <w:tcPr>
            <w:tcW w:w="5386" w:type="dxa"/>
            <w:tcBorders>
              <w:top w:val="nil"/>
              <w:bottom w:val="nil"/>
            </w:tcBorders>
          </w:tcPr>
          <w:p w14:paraId="5B332EF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八、內部控制制度之內容：</w:t>
            </w:r>
          </w:p>
        </w:tc>
        <w:tc>
          <w:tcPr>
            <w:tcW w:w="5387" w:type="dxa"/>
            <w:tcBorders>
              <w:top w:val="nil"/>
              <w:bottom w:val="nil"/>
            </w:tcBorders>
          </w:tcPr>
          <w:p w14:paraId="559DDD0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八、內部控制制度之內容：</w:t>
            </w:r>
          </w:p>
        </w:tc>
        <w:tc>
          <w:tcPr>
            <w:tcW w:w="2023" w:type="dxa"/>
            <w:vMerge/>
            <w:tcBorders>
              <w:right w:val="single" w:sz="12" w:space="0" w:color="auto"/>
            </w:tcBorders>
          </w:tcPr>
          <w:p w14:paraId="24341AF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09751D" w14:textId="77777777">
        <w:tc>
          <w:tcPr>
            <w:tcW w:w="1384" w:type="dxa"/>
            <w:vMerge/>
            <w:tcBorders>
              <w:left w:val="single" w:sz="12" w:space="0" w:color="auto"/>
            </w:tcBorders>
          </w:tcPr>
          <w:p w14:paraId="3704342A" w14:textId="77777777" w:rsidR="003B3105" w:rsidRDefault="003B3105" w:rsidP="001E533B">
            <w:pPr>
              <w:rPr>
                <w:rFonts w:ascii="新細明體" w:eastAsia="新細明體" w:hAnsi="新細明體"/>
              </w:rPr>
            </w:pPr>
          </w:p>
        </w:tc>
        <w:tc>
          <w:tcPr>
            <w:tcW w:w="1276" w:type="dxa"/>
            <w:vMerge/>
          </w:tcPr>
          <w:p w14:paraId="3751FC82" w14:textId="77777777" w:rsidR="003B3105" w:rsidRDefault="003B3105" w:rsidP="001E533B">
            <w:pPr>
              <w:rPr>
                <w:rFonts w:ascii="新細明體" w:eastAsia="新細明體" w:hAnsi="新細明體"/>
              </w:rPr>
            </w:pPr>
          </w:p>
        </w:tc>
        <w:tc>
          <w:tcPr>
            <w:tcW w:w="5386" w:type="dxa"/>
            <w:tcBorders>
              <w:top w:val="nil"/>
              <w:bottom w:val="nil"/>
            </w:tcBorders>
          </w:tcPr>
          <w:p w14:paraId="5F50EB7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公司之內部控制制度，除視公司之性質訂定各種營運循環類型之控制作業外，尚應視需要包括對下列作業之控制：</w:t>
            </w:r>
          </w:p>
        </w:tc>
        <w:tc>
          <w:tcPr>
            <w:tcW w:w="5387" w:type="dxa"/>
            <w:tcBorders>
              <w:top w:val="nil"/>
              <w:bottom w:val="nil"/>
            </w:tcBorders>
          </w:tcPr>
          <w:p w14:paraId="3E66A8D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公司之內部控制制度，除視公司之性質訂定各種營運循環類型之控制作業外，尚應視需要包括對下列作業之控制：</w:t>
            </w:r>
          </w:p>
        </w:tc>
        <w:tc>
          <w:tcPr>
            <w:tcW w:w="2023" w:type="dxa"/>
            <w:vMerge/>
            <w:tcBorders>
              <w:right w:val="single" w:sz="12" w:space="0" w:color="auto"/>
            </w:tcBorders>
          </w:tcPr>
          <w:p w14:paraId="03694F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55E6AC" w14:textId="77777777">
        <w:tc>
          <w:tcPr>
            <w:tcW w:w="1384" w:type="dxa"/>
            <w:vMerge/>
            <w:tcBorders>
              <w:left w:val="single" w:sz="12" w:space="0" w:color="auto"/>
            </w:tcBorders>
          </w:tcPr>
          <w:p w14:paraId="57DED4DE" w14:textId="77777777" w:rsidR="003B3105" w:rsidRDefault="003B3105" w:rsidP="001E533B">
            <w:pPr>
              <w:rPr>
                <w:rFonts w:ascii="新細明體" w:eastAsia="新細明體" w:hAnsi="新細明體"/>
              </w:rPr>
            </w:pPr>
          </w:p>
        </w:tc>
        <w:tc>
          <w:tcPr>
            <w:tcW w:w="1276" w:type="dxa"/>
            <w:vMerge/>
          </w:tcPr>
          <w:p w14:paraId="1A9921E4" w14:textId="77777777" w:rsidR="003B3105" w:rsidRDefault="003B3105" w:rsidP="001E533B">
            <w:pPr>
              <w:rPr>
                <w:rFonts w:ascii="新細明體" w:eastAsia="新細明體" w:hAnsi="新細明體"/>
              </w:rPr>
            </w:pPr>
          </w:p>
        </w:tc>
        <w:tc>
          <w:tcPr>
            <w:tcW w:w="5386" w:type="dxa"/>
            <w:tcBorders>
              <w:top w:val="nil"/>
              <w:bottom w:val="nil"/>
            </w:tcBorders>
          </w:tcPr>
          <w:p w14:paraId="7FB5E81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(一)印鑑使用之管理。</w:t>
            </w:r>
          </w:p>
        </w:tc>
        <w:tc>
          <w:tcPr>
            <w:tcW w:w="5387" w:type="dxa"/>
            <w:tcBorders>
              <w:top w:val="nil"/>
              <w:bottom w:val="nil"/>
            </w:tcBorders>
          </w:tcPr>
          <w:p w14:paraId="00969A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(一)印鑑使用之管理。</w:t>
            </w:r>
          </w:p>
        </w:tc>
        <w:tc>
          <w:tcPr>
            <w:tcW w:w="2023" w:type="dxa"/>
            <w:vMerge/>
            <w:tcBorders>
              <w:right w:val="single" w:sz="12" w:space="0" w:color="auto"/>
            </w:tcBorders>
          </w:tcPr>
          <w:p w14:paraId="2CC10E7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86F205" w14:textId="77777777">
        <w:tc>
          <w:tcPr>
            <w:tcW w:w="1384" w:type="dxa"/>
            <w:vMerge/>
            <w:tcBorders>
              <w:left w:val="single" w:sz="12" w:space="0" w:color="auto"/>
            </w:tcBorders>
          </w:tcPr>
          <w:p w14:paraId="4B7F0CDE" w14:textId="77777777" w:rsidR="003B3105" w:rsidRDefault="003B3105" w:rsidP="001E533B">
            <w:pPr>
              <w:rPr>
                <w:rFonts w:ascii="新細明體" w:eastAsia="新細明體" w:hAnsi="新細明體"/>
              </w:rPr>
            </w:pPr>
          </w:p>
        </w:tc>
        <w:tc>
          <w:tcPr>
            <w:tcW w:w="1276" w:type="dxa"/>
            <w:vMerge/>
          </w:tcPr>
          <w:p w14:paraId="641D8191" w14:textId="77777777" w:rsidR="003B3105" w:rsidRDefault="003B3105" w:rsidP="001E533B">
            <w:pPr>
              <w:rPr>
                <w:rFonts w:ascii="新細明體" w:eastAsia="新細明體" w:hAnsi="新細明體"/>
              </w:rPr>
            </w:pPr>
          </w:p>
        </w:tc>
        <w:tc>
          <w:tcPr>
            <w:tcW w:w="5386" w:type="dxa"/>
            <w:tcBorders>
              <w:top w:val="nil"/>
              <w:bottom w:val="nil"/>
            </w:tcBorders>
          </w:tcPr>
          <w:p w14:paraId="5B0082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(二)票據領用之管理。</w:t>
            </w:r>
          </w:p>
        </w:tc>
        <w:tc>
          <w:tcPr>
            <w:tcW w:w="5387" w:type="dxa"/>
            <w:tcBorders>
              <w:top w:val="nil"/>
              <w:bottom w:val="nil"/>
            </w:tcBorders>
          </w:tcPr>
          <w:p w14:paraId="3DA7A8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(二)票據領用之管理。</w:t>
            </w:r>
          </w:p>
        </w:tc>
        <w:tc>
          <w:tcPr>
            <w:tcW w:w="2023" w:type="dxa"/>
            <w:vMerge/>
            <w:tcBorders>
              <w:right w:val="single" w:sz="12" w:space="0" w:color="auto"/>
            </w:tcBorders>
          </w:tcPr>
          <w:p w14:paraId="6401AE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BDA3F3" w14:textId="77777777">
        <w:tc>
          <w:tcPr>
            <w:tcW w:w="1384" w:type="dxa"/>
            <w:vMerge/>
            <w:tcBorders>
              <w:left w:val="single" w:sz="12" w:space="0" w:color="auto"/>
            </w:tcBorders>
          </w:tcPr>
          <w:p w14:paraId="66FF6DB3" w14:textId="77777777" w:rsidR="003B3105" w:rsidRDefault="003B3105" w:rsidP="001E533B">
            <w:pPr>
              <w:rPr>
                <w:rFonts w:ascii="新細明體" w:eastAsia="新細明體" w:hAnsi="新細明體"/>
              </w:rPr>
            </w:pPr>
          </w:p>
        </w:tc>
        <w:tc>
          <w:tcPr>
            <w:tcW w:w="1276" w:type="dxa"/>
            <w:vMerge/>
          </w:tcPr>
          <w:p w14:paraId="70205B98" w14:textId="77777777" w:rsidR="003B3105" w:rsidRDefault="003B3105" w:rsidP="001E533B">
            <w:pPr>
              <w:rPr>
                <w:rFonts w:ascii="新細明體" w:eastAsia="新細明體" w:hAnsi="新細明體"/>
              </w:rPr>
            </w:pPr>
          </w:p>
        </w:tc>
        <w:tc>
          <w:tcPr>
            <w:tcW w:w="5386" w:type="dxa"/>
            <w:tcBorders>
              <w:top w:val="nil"/>
              <w:bottom w:val="nil"/>
            </w:tcBorders>
          </w:tcPr>
          <w:p w14:paraId="2466C1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(三)預算之管理。</w:t>
            </w:r>
          </w:p>
        </w:tc>
        <w:tc>
          <w:tcPr>
            <w:tcW w:w="5387" w:type="dxa"/>
            <w:tcBorders>
              <w:top w:val="nil"/>
              <w:bottom w:val="nil"/>
            </w:tcBorders>
          </w:tcPr>
          <w:p w14:paraId="152642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(三)預算之管理。</w:t>
            </w:r>
          </w:p>
        </w:tc>
        <w:tc>
          <w:tcPr>
            <w:tcW w:w="2023" w:type="dxa"/>
            <w:vMerge/>
            <w:tcBorders>
              <w:right w:val="single" w:sz="12" w:space="0" w:color="auto"/>
            </w:tcBorders>
          </w:tcPr>
          <w:p w14:paraId="77D0E3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DC0D6A" w14:textId="77777777">
        <w:tc>
          <w:tcPr>
            <w:tcW w:w="1384" w:type="dxa"/>
            <w:vMerge/>
            <w:tcBorders>
              <w:left w:val="single" w:sz="12" w:space="0" w:color="auto"/>
            </w:tcBorders>
          </w:tcPr>
          <w:p w14:paraId="3D477679" w14:textId="77777777" w:rsidR="003B3105" w:rsidRDefault="003B3105" w:rsidP="001E533B">
            <w:pPr>
              <w:rPr>
                <w:rFonts w:ascii="新細明體" w:eastAsia="新細明體" w:hAnsi="新細明體"/>
              </w:rPr>
            </w:pPr>
          </w:p>
        </w:tc>
        <w:tc>
          <w:tcPr>
            <w:tcW w:w="1276" w:type="dxa"/>
            <w:vMerge/>
          </w:tcPr>
          <w:p w14:paraId="7998C796" w14:textId="77777777" w:rsidR="003B3105" w:rsidRDefault="003B3105" w:rsidP="001E533B">
            <w:pPr>
              <w:rPr>
                <w:rFonts w:ascii="新細明體" w:eastAsia="新細明體" w:hAnsi="新細明體"/>
              </w:rPr>
            </w:pPr>
          </w:p>
        </w:tc>
        <w:tc>
          <w:tcPr>
            <w:tcW w:w="5386" w:type="dxa"/>
            <w:tcBorders>
              <w:top w:val="nil"/>
              <w:bottom w:val="nil"/>
            </w:tcBorders>
          </w:tcPr>
          <w:p w14:paraId="752DB8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(四)財產之管理。</w:t>
            </w:r>
          </w:p>
        </w:tc>
        <w:tc>
          <w:tcPr>
            <w:tcW w:w="5387" w:type="dxa"/>
            <w:tcBorders>
              <w:top w:val="nil"/>
              <w:bottom w:val="nil"/>
            </w:tcBorders>
          </w:tcPr>
          <w:p w14:paraId="7600A6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(四)財產之管理。</w:t>
            </w:r>
          </w:p>
        </w:tc>
        <w:tc>
          <w:tcPr>
            <w:tcW w:w="2023" w:type="dxa"/>
            <w:vMerge/>
            <w:tcBorders>
              <w:right w:val="single" w:sz="12" w:space="0" w:color="auto"/>
            </w:tcBorders>
          </w:tcPr>
          <w:p w14:paraId="12079B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F51A0B" w14:textId="77777777">
        <w:tc>
          <w:tcPr>
            <w:tcW w:w="1384" w:type="dxa"/>
            <w:vMerge/>
            <w:tcBorders>
              <w:left w:val="single" w:sz="12" w:space="0" w:color="auto"/>
            </w:tcBorders>
          </w:tcPr>
          <w:p w14:paraId="3CFB7E90" w14:textId="77777777" w:rsidR="003B3105" w:rsidRDefault="003B3105" w:rsidP="001E533B">
            <w:pPr>
              <w:rPr>
                <w:rFonts w:ascii="新細明體" w:eastAsia="新細明體" w:hAnsi="新細明體"/>
              </w:rPr>
            </w:pPr>
          </w:p>
        </w:tc>
        <w:tc>
          <w:tcPr>
            <w:tcW w:w="1276" w:type="dxa"/>
            <w:vMerge/>
          </w:tcPr>
          <w:p w14:paraId="17333919" w14:textId="77777777" w:rsidR="003B3105" w:rsidRDefault="003B3105" w:rsidP="001E533B">
            <w:pPr>
              <w:rPr>
                <w:rFonts w:ascii="新細明體" w:eastAsia="新細明體" w:hAnsi="新細明體"/>
              </w:rPr>
            </w:pPr>
          </w:p>
        </w:tc>
        <w:tc>
          <w:tcPr>
            <w:tcW w:w="5386" w:type="dxa"/>
            <w:tcBorders>
              <w:top w:val="nil"/>
              <w:bottom w:val="nil"/>
            </w:tcBorders>
          </w:tcPr>
          <w:p w14:paraId="232245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(五)背書保證之管理。</w:t>
            </w:r>
          </w:p>
        </w:tc>
        <w:tc>
          <w:tcPr>
            <w:tcW w:w="5387" w:type="dxa"/>
            <w:tcBorders>
              <w:top w:val="nil"/>
              <w:bottom w:val="nil"/>
            </w:tcBorders>
          </w:tcPr>
          <w:p w14:paraId="74C997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(五)背書保證之管理。</w:t>
            </w:r>
          </w:p>
        </w:tc>
        <w:tc>
          <w:tcPr>
            <w:tcW w:w="2023" w:type="dxa"/>
            <w:vMerge/>
            <w:tcBorders>
              <w:right w:val="single" w:sz="12" w:space="0" w:color="auto"/>
            </w:tcBorders>
          </w:tcPr>
          <w:p w14:paraId="74BD65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B209EF" w14:textId="77777777">
        <w:tc>
          <w:tcPr>
            <w:tcW w:w="1384" w:type="dxa"/>
            <w:vMerge/>
            <w:tcBorders>
              <w:left w:val="single" w:sz="12" w:space="0" w:color="auto"/>
            </w:tcBorders>
          </w:tcPr>
          <w:p w14:paraId="75F4E0C0" w14:textId="77777777" w:rsidR="003B3105" w:rsidRDefault="003B3105" w:rsidP="001E533B">
            <w:pPr>
              <w:rPr>
                <w:rFonts w:ascii="新細明體" w:eastAsia="新細明體" w:hAnsi="新細明體"/>
              </w:rPr>
            </w:pPr>
          </w:p>
        </w:tc>
        <w:tc>
          <w:tcPr>
            <w:tcW w:w="1276" w:type="dxa"/>
            <w:vMerge/>
          </w:tcPr>
          <w:p w14:paraId="4E5F0DE6" w14:textId="77777777" w:rsidR="003B3105" w:rsidRDefault="003B3105" w:rsidP="001E533B">
            <w:pPr>
              <w:rPr>
                <w:rFonts w:ascii="新細明體" w:eastAsia="新細明體" w:hAnsi="新細明體"/>
              </w:rPr>
            </w:pPr>
          </w:p>
        </w:tc>
        <w:tc>
          <w:tcPr>
            <w:tcW w:w="5386" w:type="dxa"/>
            <w:tcBorders>
              <w:top w:val="nil"/>
              <w:bottom w:val="nil"/>
            </w:tcBorders>
          </w:tcPr>
          <w:p w14:paraId="2FA51C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(六)負債承諾及或有事項之管理。</w:t>
            </w:r>
          </w:p>
        </w:tc>
        <w:tc>
          <w:tcPr>
            <w:tcW w:w="5387" w:type="dxa"/>
            <w:tcBorders>
              <w:top w:val="nil"/>
              <w:bottom w:val="nil"/>
            </w:tcBorders>
          </w:tcPr>
          <w:p w14:paraId="6C5576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(六)負債承諾及或有事項之管理。</w:t>
            </w:r>
          </w:p>
        </w:tc>
        <w:tc>
          <w:tcPr>
            <w:tcW w:w="2023" w:type="dxa"/>
            <w:vMerge/>
            <w:tcBorders>
              <w:right w:val="single" w:sz="12" w:space="0" w:color="auto"/>
            </w:tcBorders>
          </w:tcPr>
          <w:p w14:paraId="25A7DC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8709D5" w14:textId="77777777">
        <w:tc>
          <w:tcPr>
            <w:tcW w:w="1384" w:type="dxa"/>
            <w:vMerge/>
            <w:tcBorders>
              <w:left w:val="single" w:sz="12" w:space="0" w:color="auto"/>
            </w:tcBorders>
          </w:tcPr>
          <w:p w14:paraId="5033F189" w14:textId="77777777" w:rsidR="003B3105" w:rsidRDefault="003B3105" w:rsidP="001E533B">
            <w:pPr>
              <w:rPr>
                <w:rFonts w:ascii="新細明體" w:eastAsia="新細明體" w:hAnsi="新細明體"/>
              </w:rPr>
            </w:pPr>
          </w:p>
        </w:tc>
        <w:tc>
          <w:tcPr>
            <w:tcW w:w="1276" w:type="dxa"/>
            <w:vMerge/>
          </w:tcPr>
          <w:p w14:paraId="73C5FB32" w14:textId="77777777" w:rsidR="003B3105" w:rsidRDefault="003B3105" w:rsidP="001E533B">
            <w:pPr>
              <w:rPr>
                <w:rFonts w:ascii="新細明體" w:eastAsia="新細明體" w:hAnsi="新細明體"/>
              </w:rPr>
            </w:pPr>
          </w:p>
        </w:tc>
        <w:tc>
          <w:tcPr>
            <w:tcW w:w="5386" w:type="dxa"/>
            <w:tcBorders>
              <w:top w:val="nil"/>
              <w:bottom w:val="nil"/>
            </w:tcBorders>
          </w:tcPr>
          <w:p w14:paraId="0D4292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(七)職務授權及代理人制度之執行。</w:t>
            </w:r>
          </w:p>
        </w:tc>
        <w:tc>
          <w:tcPr>
            <w:tcW w:w="5387" w:type="dxa"/>
            <w:tcBorders>
              <w:top w:val="nil"/>
              <w:bottom w:val="nil"/>
            </w:tcBorders>
          </w:tcPr>
          <w:p w14:paraId="4DFF8F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(七)職務授權及代理人制度之執行。</w:t>
            </w:r>
          </w:p>
        </w:tc>
        <w:tc>
          <w:tcPr>
            <w:tcW w:w="2023" w:type="dxa"/>
            <w:vMerge/>
            <w:tcBorders>
              <w:right w:val="single" w:sz="12" w:space="0" w:color="auto"/>
            </w:tcBorders>
          </w:tcPr>
          <w:p w14:paraId="602326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5C7173" w14:textId="77777777">
        <w:tc>
          <w:tcPr>
            <w:tcW w:w="1384" w:type="dxa"/>
            <w:vMerge/>
            <w:tcBorders>
              <w:left w:val="single" w:sz="12" w:space="0" w:color="auto"/>
            </w:tcBorders>
          </w:tcPr>
          <w:p w14:paraId="3A90F41D" w14:textId="77777777" w:rsidR="003B3105" w:rsidRDefault="003B3105" w:rsidP="001E533B">
            <w:pPr>
              <w:rPr>
                <w:rFonts w:ascii="新細明體" w:eastAsia="新細明體" w:hAnsi="新細明體"/>
              </w:rPr>
            </w:pPr>
          </w:p>
        </w:tc>
        <w:tc>
          <w:tcPr>
            <w:tcW w:w="1276" w:type="dxa"/>
            <w:vMerge/>
          </w:tcPr>
          <w:p w14:paraId="65F1DE2A" w14:textId="77777777" w:rsidR="003B3105" w:rsidRDefault="003B3105" w:rsidP="001E533B">
            <w:pPr>
              <w:rPr>
                <w:rFonts w:ascii="新細明體" w:eastAsia="新細明體" w:hAnsi="新細明體"/>
              </w:rPr>
            </w:pPr>
          </w:p>
        </w:tc>
        <w:tc>
          <w:tcPr>
            <w:tcW w:w="5386" w:type="dxa"/>
            <w:tcBorders>
              <w:top w:val="nil"/>
              <w:bottom w:val="nil"/>
            </w:tcBorders>
          </w:tcPr>
          <w:p w14:paraId="0AE4E51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(八)財務及非財務資訊之管理。</w:t>
            </w:r>
          </w:p>
        </w:tc>
        <w:tc>
          <w:tcPr>
            <w:tcW w:w="5387" w:type="dxa"/>
            <w:tcBorders>
              <w:top w:val="nil"/>
              <w:bottom w:val="nil"/>
            </w:tcBorders>
          </w:tcPr>
          <w:p w14:paraId="0A35C2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(八)財務及非財務資訊之管理。</w:t>
            </w:r>
          </w:p>
        </w:tc>
        <w:tc>
          <w:tcPr>
            <w:tcW w:w="2023" w:type="dxa"/>
            <w:vMerge/>
            <w:tcBorders>
              <w:right w:val="single" w:sz="12" w:space="0" w:color="auto"/>
            </w:tcBorders>
          </w:tcPr>
          <w:p w14:paraId="4B8200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2D80DA" w14:textId="77777777">
        <w:tc>
          <w:tcPr>
            <w:tcW w:w="1384" w:type="dxa"/>
            <w:vMerge/>
            <w:tcBorders>
              <w:left w:val="single" w:sz="12" w:space="0" w:color="auto"/>
            </w:tcBorders>
          </w:tcPr>
          <w:p w14:paraId="56791A26" w14:textId="77777777" w:rsidR="003B3105" w:rsidRDefault="003B3105" w:rsidP="001E533B">
            <w:pPr>
              <w:rPr>
                <w:rFonts w:ascii="新細明體" w:eastAsia="新細明體" w:hAnsi="新細明體"/>
              </w:rPr>
            </w:pPr>
          </w:p>
        </w:tc>
        <w:tc>
          <w:tcPr>
            <w:tcW w:w="1276" w:type="dxa"/>
            <w:vMerge/>
          </w:tcPr>
          <w:p w14:paraId="7EED07AE" w14:textId="77777777" w:rsidR="003B3105" w:rsidRDefault="003B3105" w:rsidP="001E533B">
            <w:pPr>
              <w:rPr>
                <w:rFonts w:ascii="新細明體" w:eastAsia="新細明體" w:hAnsi="新細明體"/>
              </w:rPr>
            </w:pPr>
          </w:p>
        </w:tc>
        <w:tc>
          <w:tcPr>
            <w:tcW w:w="5386" w:type="dxa"/>
            <w:tcBorders>
              <w:top w:val="nil"/>
              <w:bottom w:val="nil"/>
            </w:tcBorders>
          </w:tcPr>
          <w:p w14:paraId="664CA3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(九)關係人交易之管理。</w:t>
            </w:r>
          </w:p>
        </w:tc>
        <w:tc>
          <w:tcPr>
            <w:tcW w:w="5387" w:type="dxa"/>
            <w:tcBorders>
              <w:top w:val="nil"/>
              <w:bottom w:val="nil"/>
            </w:tcBorders>
          </w:tcPr>
          <w:p w14:paraId="2520F1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(九)關係人交易之管理。</w:t>
            </w:r>
          </w:p>
        </w:tc>
        <w:tc>
          <w:tcPr>
            <w:tcW w:w="2023" w:type="dxa"/>
            <w:vMerge/>
            <w:tcBorders>
              <w:right w:val="single" w:sz="12" w:space="0" w:color="auto"/>
            </w:tcBorders>
          </w:tcPr>
          <w:p w14:paraId="7BE812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D9CC3E" w14:textId="77777777">
        <w:tc>
          <w:tcPr>
            <w:tcW w:w="1384" w:type="dxa"/>
            <w:vMerge/>
            <w:tcBorders>
              <w:left w:val="single" w:sz="12" w:space="0" w:color="auto"/>
            </w:tcBorders>
          </w:tcPr>
          <w:p w14:paraId="19B4F84D" w14:textId="77777777" w:rsidR="003B3105" w:rsidRDefault="003B3105" w:rsidP="001E533B">
            <w:pPr>
              <w:rPr>
                <w:rFonts w:ascii="新細明體" w:eastAsia="新細明體" w:hAnsi="新細明體"/>
              </w:rPr>
            </w:pPr>
          </w:p>
        </w:tc>
        <w:tc>
          <w:tcPr>
            <w:tcW w:w="1276" w:type="dxa"/>
            <w:vMerge/>
          </w:tcPr>
          <w:p w14:paraId="4EA651ED" w14:textId="77777777" w:rsidR="003B3105" w:rsidRDefault="003B3105" w:rsidP="001E533B">
            <w:pPr>
              <w:rPr>
                <w:rFonts w:ascii="新細明體" w:eastAsia="新細明體" w:hAnsi="新細明體"/>
              </w:rPr>
            </w:pPr>
          </w:p>
        </w:tc>
        <w:tc>
          <w:tcPr>
            <w:tcW w:w="5386" w:type="dxa"/>
            <w:tcBorders>
              <w:top w:val="nil"/>
              <w:bottom w:val="nil"/>
            </w:tcBorders>
          </w:tcPr>
          <w:p w14:paraId="5DA1D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(十)財務報表編製流程之管理，包括適用國際財務報導準則之管理、會計專業判斷程序、會計政策與估計值變動之流程等。</w:t>
            </w:r>
          </w:p>
        </w:tc>
        <w:tc>
          <w:tcPr>
            <w:tcW w:w="5387" w:type="dxa"/>
            <w:tcBorders>
              <w:top w:val="nil"/>
              <w:bottom w:val="nil"/>
            </w:tcBorders>
          </w:tcPr>
          <w:p w14:paraId="24631A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(十)財務報表編製流程之管理，包括適用國際財務報導準則之管理、會計專業判斷程序、會計政策與估計值變動之流程等。</w:t>
            </w:r>
          </w:p>
        </w:tc>
        <w:tc>
          <w:tcPr>
            <w:tcW w:w="2023" w:type="dxa"/>
            <w:vMerge/>
            <w:tcBorders>
              <w:right w:val="single" w:sz="12" w:space="0" w:color="auto"/>
            </w:tcBorders>
          </w:tcPr>
          <w:p w14:paraId="08F505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1C727B" w14:textId="77777777">
        <w:tc>
          <w:tcPr>
            <w:tcW w:w="1384" w:type="dxa"/>
            <w:vMerge/>
            <w:tcBorders>
              <w:left w:val="single" w:sz="12" w:space="0" w:color="auto"/>
            </w:tcBorders>
          </w:tcPr>
          <w:p w14:paraId="507D3BDE" w14:textId="77777777" w:rsidR="003B3105" w:rsidRDefault="003B3105" w:rsidP="001E533B">
            <w:pPr>
              <w:rPr>
                <w:rFonts w:ascii="新細明體" w:eastAsia="新細明體" w:hAnsi="新細明體"/>
              </w:rPr>
            </w:pPr>
          </w:p>
        </w:tc>
        <w:tc>
          <w:tcPr>
            <w:tcW w:w="1276" w:type="dxa"/>
            <w:vMerge/>
          </w:tcPr>
          <w:p w14:paraId="6F6E8937" w14:textId="77777777" w:rsidR="003B3105" w:rsidRDefault="003B3105" w:rsidP="001E533B">
            <w:pPr>
              <w:rPr>
                <w:rFonts w:ascii="新細明體" w:eastAsia="新細明體" w:hAnsi="新細明體"/>
              </w:rPr>
            </w:pPr>
          </w:p>
        </w:tc>
        <w:tc>
          <w:tcPr>
            <w:tcW w:w="5386" w:type="dxa"/>
            <w:tcBorders>
              <w:top w:val="nil"/>
              <w:bottom w:val="nil"/>
            </w:tcBorders>
          </w:tcPr>
          <w:p w14:paraId="7E92ED7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(十一)對子公司之監督與管理。</w:t>
            </w:r>
          </w:p>
        </w:tc>
        <w:tc>
          <w:tcPr>
            <w:tcW w:w="5387" w:type="dxa"/>
            <w:tcBorders>
              <w:top w:val="nil"/>
              <w:bottom w:val="nil"/>
            </w:tcBorders>
          </w:tcPr>
          <w:p w14:paraId="65AC595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(十一)對子公司之監督與管理。</w:t>
            </w:r>
          </w:p>
        </w:tc>
        <w:tc>
          <w:tcPr>
            <w:tcW w:w="2023" w:type="dxa"/>
            <w:vMerge/>
            <w:tcBorders>
              <w:right w:val="single" w:sz="12" w:space="0" w:color="auto"/>
            </w:tcBorders>
          </w:tcPr>
          <w:p w14:paraId="1FEBAB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1D1BB4" w14:textId="77777777">
        <w:tc>
          <w:tcPr>
            <w:tcW w:w="1384" w:type="dxa"/>
            <w:vMerge/>
            <w:tcBorders>
              <w:left w:val="single" w:sz="12" w:space="0" w:color="auto"/>
            </w:tcBorders>
          </w:tcPr>
          <w:p w14:paraId="71609227" w14:textId="77777777" w:rsidR="003B3105" w:rsidRDefault="003B3105" w:rsidP="001E533B">
            <w:pPr>
              <w:rPr>
                <w:rFonts w:ascii="新細明體" w:eastAsia="新細明體" w:hAnsi="新細明體"/>
              </w:rPr>
            </w:pPr>
          </w:p>
        </w:tc>
        <w:tc>
          <w:tcPr>
            <w:tcW w:w="1276" w:type="dxa"/>
            <w:vMerge/>
          </w:tcPr>
          <w:p w14:paraId="20D3C839" w14:textId="77777777" w:rsidR="003B3105" w:rsidRDefault="003B3105" w:rsidP="001E533B">
            <w:pPr>
              <w:rPr>
                <w:rFonts w:ascii="新細明體" w:eastAsia="新細明體" w:hAnsi="新細明體"/>
              </w:rPr>
            </w:pPr>
          </w:p>
        </w:tc>
        <w:tc>
          <w:tcPr>
            <w:tcW w:w="5386" w:type="dxa"/>
            <w:tcBorders>
              <w:top w:val="nil"/>
              <w:bottom w:val="nil"/>
            </w:tcBorders>
          </w:tcPr>
          <w:p w14:paraId="77B4F57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(十二)法令遵循制度。</w:t>
            </w:r>
          </w:p>
        </w:tc>
        <w:tc>
          <w:tcPr>
            <w:tcW w:w="5387" w:type="dxa"/>
            <w:tcBorders>
              <w:top w:val="nil"/>
              <w:bottom w:val="nil"/>
            </w:tcBorders>
          </w:tcPr>
          <w:p w14:paraId="7439D05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(十二)法令遵循制度。</w:t>
            </w:r>
          </w:p>
        </w:tc>
        <w:tc>
          <w:tcPr>
            <w:tcW w:w="2023" w:type="dxa"/>
            <w:vMerge/>
            <w:tcBorders>
              <w:right w:val="single" w:sz="12" w:space="0" w:color="auto"/>
            </w:tcBorders>
          </w:tcPr>
          <w:p w14:paraId="68FB5C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BEAC9C" w14:textId="77777777">
        <w:tc>
          <w:tcPr>
            <w:tcW w:w="1384" w:type="dxa"/>
            <w:vMerge/>
            <w:tcBorders>
              <w:left w:val="single" w:sz="12" w:space="0" w:color="auto"/>
            </w:tcBorders>
          </w:tcPr>
          <w:p w14:paraId="0DBC7700" w14:textId="77777777" w:rsidR="003B3105" w:rsidRDefault="003B3105" w:rsidP="001E533B">
            <w:pPr>
              <w:rPr>
                <w:rFonts w:ascii="新細明體" w:eastAsia="新細明體" w:hAnsi="新細明體"/>
              </w:rPr>
            </w:pPr>
          </w:p>
        </w:tc>
        <w:tc>
          <w:tcPr>
            <w:tcW w:w="1276" w:type="dxa"/>
            <w:vMerge/>
          </w:tcPr>
          <w:p w14:paraId="122DEDBB" w14:textId="77777777" w:rsidR="003B3105" w:rsidRDefault="003B3105" w:rsidP="001E533B">
            <w:pPr>
              <w:rPr>
                <w:rFonts w:ascii="新細明體" w:eastAsia="新細明體" w:hAnsi="新細明體"/>
              </w:rPr>
            </w:pPr>
          </w:p>
        </w:tc>
        <w:tc>
          <w:tcPr>
            <w:tcW w:w="5386" w:type="dxa"/>
            <w:tcBorders>
              <w:top w:val="nil"/>
              <w:bottom w:val="nil"/>
            </w:tcBorders>
          </w:tcPr>
          <w:p w14:paraId="0705D14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(十三)金融檢查報告之管理。</w:t>
            </w:r>
          </w:p>
        </w:tc>
        <w:tc>
          <w:tcPr>
            <w:tcW w:w="5387" w:type="dxa"/>
            <w:tcBorders>
              <w:top w:val="nil"/>
              <w:bottom w:val="nil"/>
            </w:tcBorders>
          </w:tcPr>
          <w:p w14:paraId="053AB9C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(十三)金融檢查報告之管理。</w:t>
            </w:r>
          </w:p>
        </w:tc>
        <w:tc>
          <w:tcPr>
            <w:tcW w:w="2023" w:type="dxa"/>
            <w:vMerge/>
            <w:tcBorders>
              <w:right w:val="single" w:sz="12" w:space="0" w:color="auto"/>
            </w:tcBorders>
          </w:tcPr>
          <w:p w14:paraId="38F511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466ED1" w14:textId="77777777">
        <w:tc>
          <w:tcPr>
            <w:tcW w:w="1384" w:type="dxa"/>
            <w:vMerge/>
            <w:tcBorders>
              <w:left w:val="single" w:sz="12" w:space="0" w:color="auto"/>
            </w:tcBorders>
          </w:tcPr>
          <w:p w14:paraId="29F0B6E3" w14:textId="77777777" w:rsidR="003B3105" w:rsidRDefault="003B3105" w:rsidP="001E533B">
            <w:pPr>
              <w:rPr>
                <w:rFonts w:ascii="新細明體" w:eastAsia="新細明體" w:hAnsi="新細明體"/>
              </w:rPr>
            </w:pPr>
          </w:p>
        </w:tc>
        <w:tc>
          <w:tcPr>
            <w:tcW w:w="1276" w:type="dxa"/>
            <w:vMerge/>
          </w:tcPr>
          <w:p w14:paraId="12A4F09E" w14:textId="77777777" w:rsidR="003B3105" w:rsidRDefault="003B3105" w:rsidP="001E533B">
            <w:pPr>
              <w:rPr>
                <w:rFonts w:ascii="新細明體" w:eastAsia="新細明體" w:hAnsi="新細明體"/>
              </w:rPr>
            </w:pPr>
          </w:p>
        </w:tc>
        <w:tc>
          <w:tcPr>
            <w:tcW w:w="5386" w:type="dxa"/>
            <w:tcBorders>
              <w:top w:val="nil"/>
              <w:bottom w:val="nil"/>
            </w:tcBorders>
          </w:tcPr>
          <w:p w14:paraId="5CAFA22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(十四)金融消費者保護之管理。但依金融消費者保護法第三條第二項排除適用之事業，不在此限。</w:t>
            </w:r>
          </w:p>
        </w:tc>
        <w:tc>
          <w:tcPr>
            <w:tcW w:w="5387" w:type="dxa"/>
            <w:tcBorders>
              <w:top w:val="nil"/>
              <w:bottom w:val="nil"/>
            </w:tcBorders>
          </w:tcPr>
          <w:p w14:paraId="58EDB52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(十四)金融消費者保護之管理。但依金融消費者保護法第三條第二項排除適用之事業，不在此限。</w:t>
            </w:r>
          </w:p>
        </w:tc>
        <w:tc>
          <w:tcPr>
            <w:tcW w:w="2023" w:type="dxa"/>
            <w:vMerge/>
            <w:tcBorders>
              <w:right w:val="single" w:sz="12" w:space="0" w:color="auto"/>
            </w:tcBorders>
          </w:tcPr>
          <w:p w14:paraId="324C39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1EE413" w14:textId="77777777">
        <w:tc>
          <w:tcPr>
            <w:tcW w:w="1384" w:type="dxa"/>
            <w:vMerge/>
            <w:tcBorders>
              <w:left w:val="single" w:sz="12" w:space="0" w:color="auto"/>
            </w:tcBorders>
          </w:tcPr>
          <w:p w14:paraId="76160BCF" w14:textId="77777777" w:rsidR="003B3105" w:rsidRDefault="003B3105" w:rsidP="001E533B">
            <w:pPr>
              <w:rPr>
                <w:rFonts w:ascii="新細明體" w:eastAsia="新細明體" w:hAnsi="新細明體"/>
              </w:rPr>
            </w:pPr>
          </w:p>
        </w:tc>
        <w:tc>
          <w:tcPr>
            <w:tcW w:w="1276" w:type="dxa"/>
            <w:vMerge/>
          </w:tcPr>
          <w:p w14:paraId="46CFF3C4" w14:textId="77777777" w:rsidR="003B3105" w:rsidRDefault="003B3105" w:rsidP="001E533B">
            <w:pPr>
              <w:rPr>
                <w:rFonts w:ascii="新細明體" w:eastAsia="新細明體" w:hAnsi="新細明體"/>
              </w:rPr>
            </w:pPr>
          </w:p>
        </w:tc>
        <w:tc>
          <w:tcPr>
            <w:tcW w:w="5386" w:type="dxa"/>
            <w:tcBorders>
              <w:top w:val="nil"/>
              <w:bottom w:val="nil"/>
            </w:tcBorders>
          </w:tcPr>
          <w:p w14:paraId="32C791E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(十五)董事會議事運作之管理及股務作業之管理（股票公開發行之證券交易輔助人適用）。</w:t>
            </w:r>
          </w:p>
        </w:tc>
        <w:tc>
          <w:tcPr>
            <w:tcW w:w="5387" w:type="dxa"/>
            <w:tcBorders>
              <w:top w:val="nil"/>
              <w:bottom w:val="nil"/>
            </w:tcBorders>
          </w:tcPr>
          <w:p w14:paraId="2D3418E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(十五)董事會議事運作之管理及股務作業之管理（股票公開發行之證券交易輔助人適用）。</w:t>
            </w:r>
          </w:p>
        </w:tc>
        <w:tc>
          <w:tcPr>
            <w:tcW w:w="2023" w:type="dxa"/>
            <w:vMerge/>
            <w:tcBorders>
              <w:right w:val="single" w:sz="12" w:space="0" w:color="auto"/>
            </w:tcBorders>
          </w:tcPr>
          <w:p w14:paraId="42ABA6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A53AF0" w14:textId="77777777">
        <w:tc>
          <w:tcPr>
            <w:tcW w:w="1384" w:type="dxa"/>
            <w:vMerge/>
            <w:tcBorders>
              <w:left w:val="single" w:sz="12" w:space="0" w:color="auto"/>
            </w:tcBorders>
          </w:tcPr>
          <w:p w14:paraId="12207E81" w14:textId="77777777" w:rsidR="003B3105" w:rsidRDefault="003B3105" w:rsidP="001E533B">
            <w:pPr>
              <w:rPr>
                <w:rFonts w:ascii="新細明體" w:eastAsia="新細明體" w:hAnsi="新細明體"/>
              </w:rPr>
            </w:pPr>
          </w:p>
        </w:tc>
        <w:tc>
          <w:tcPr>
            <w:tcW w:w="1276" w:type="dxa"/>
            <w:vMerge/>
          </w:tcPr>
          <w:p w14:paraId="03A1C6ED" w14:textId="77777777" w:rsidR="003B3105" w:rsidRDefault="003B3105" w:rsidP="001E533B">
            <w:pPr>
              <w:rPr>
                <w:rFonts w:ascii="新細明體" w:eastAsia="新細明體" w:hAnsi="新細明體"/>
              </w:rPr>
            </w:pPr>
          </w:p>
        </w:tc>
        <w:tc>
          <w:tcPr>
            <w:tcW w:w="5386" w:type="dxa"/>
            <w:tcBorders>
              <w:top w:val="nil"/>
              <w:bottom w:val="nil"/>
            </w:tcBorders>
          </w:tcPr>
          <w:p w14:paraId="70591E1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(十六)薪資報酬委員會運作之管理（股票已上市或在證券商營業處所買賣之證券交易輔助人適用）</w:t>
            </w:r>
          </w:p>
        </w:tc>
        <w:tc>
          <w:tcPr>
            <w:tcW w:w="5387" w:type="dxa"/>
            <w:tcBorders>
              <w:top w:val="nil"/>
              <w:bottom w:val="nil"/>
            </w:tcBorders>
          </w:tcPr>
          <w:p w14:paraId="25E3D70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(十六)薪資報酬委員會運作之管理（股票已上市或在證券商營業處所買賣之證券交易輔助人適用）</w:t>
            </w:r>
          </w:p>
        </w:tc>
        <w:tc>
          <w:tcPr>
            <w:tcW w:w="2023" w:type="dxa"/>
            <w:vMerge/>
            <w:tcBorders>
              <w:right w:val="single" w:sz="12" w:space="0" w:color="auto"/>
            </w:tcBorders>
          </w:tcPr>
          <w:p w14:paraId="30BC37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0FD9A7" w14:textId="77777777">
        <w:tc>
          <w:tcPr>
            <w:tcW w:w="1384" w:type="dxa"/>
            <w:vMerge/>
            <w:tcBorders>
              <w:left w:val="single" w:sz="12" w:space="0" w:color="auto"/>
            </w:tcBorders>
          </w:tcPr>
          <w:p w14:paraId="40D2D397" w14:textId="77777777" w:rsidR="003B3105" w:rsidRDefault="003B3105" w:rsidP="001E533B">
            <w:pPr>
              <w:rPr>
                <w:rFonts w:ascii="新細明體" w:eastAsia="新細明體" w:hAnsi="新細明體"/>
              </w:rPr>
            </w:pPr>
          </w:p>
        </w:tc>
        <w:tc>
          <w:tcPr>
            <w:tcW w:w="1276" w:type="dxa"/>
            <w:vMerge/>
          </w:tcPr>
          <w:p w14:paraId="730C2FDA" w14:textId="77777777" w:rsidR="003B3105" w:rsidRDefault="003B3105" w:rsidP="001E533B">
            <w:pPr>
              <w:rPr>
                <w:rFonts w:ascii="新細明體" w:eastAsia="新細明體" w:hAnsi="新細明體"/>
              </w:rPr>
            </w:pPr>
          </w:p>
        </w:tc>
        <w:tc>
          <w:tcPr>
            <w:tcW w:w="5386" w:type="dxa"/>
            <w:tcBorders>
              <w:top w:val="nil"/>
              <w:bottom w:val="nil"/>
            </w:tcBorders>
          </w:tcPr>
          <w:p w14:paraId="3594C2E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(十七)防範內線交易之管理（股票已上市或在證券商營業處所買賣之證券交易輔助人適用）。</w:t>
            </w:r>
          </w:p>
        </w:tc>
        <w:tc>
          <w:tcPr>
            <w:tcW w:w="5387" w:type="dxa"/>
            <w:tcBorders>
              <w:top w:val="nil"/>
              <w:bottom w:val="nil"/>
            </w:tcBorders>
          </w:tcPr>
          <w:p w14:paraId="2705990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(十七)防範內線交易之管理（股票已上市或在證券商營業處所買賣之證券交易輔助人適用）。</w:t>
            </w:r>
          </w:p>
        </w:tc>
        <w:tc>
          <w:tcPr>
            <w:tcW w:w="2023" w:type="dxa"/>
            <w:vMerge/>
            <w:tcBorders>
              <w:right w:val="single" w:sz="12" w:space="0" w:color="auto"/>
            </w:tcBorders>
          </w:tcPr>
          <w:p w14:paraId="1CCD0A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9D161F" w14:textId="77777777">
        <w:tc>
          <w:tcPr>
            <w:tcW w:w="1384" w:type="dxa"/>
            <w:vMerge/>
            <w:tcBorders>
              <w:left w:val="single" w:sz="12" w:space="0" w:color="auto"/>
            </w:tcBorders>
          </w:tcPr>
          <w:p w14:paraId="581D9450" w14:textId="77777777" w:rsidR="003B3105" w:rsidRDefault="003B3105" w:rsidP="001E533B">
            <w:pPr>
              <w:rPr>
                <w:rFonts w:ascii="新細明體" w:eastAsia="新細明體" w:hAnsi="新細明體"/>
              </w:rPr>
            </w:pPr>
          </w:p>
        </w:tc>
        <w:tc>
          <w:tcPr>
            <w:tcW w:w="1276" w:type="dxa"/>
            <w:vMerge/>
          </w:tcPr>
          <w:p w14:paraId="01CFA732" w14:textId="77777777" w:rsidR="003B3105" w:rsidRDefault="003B3105" w:rsidP="001E533B">
            <w:pPr>
              <w:rPr>
                <w:rFonts w:ascii="新細明體" w:eastAsia="新細明體" w:hAnsi="新細明體"/>
              </w:rPr>
            </w:pPr>
          </w:p>
        </w:tc>
        <w:tc>
          <w:tcPr>
            <w:tcW w:w="5386" w:type="dxa"/>
            <w:tcBorders>
              <w:top w:val="nil"/>
              <w:bottom w:val="nil"/>
            </w:tcBorders>
          </w:tcPr>
          <w:p w14:paraId="164DD7D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(十八)客戶資料保密。</w:t>
            </w:r>
          </w:p>
        </w:tc>
        <w:tc>
          <w:tcPr>
            <w:tcW w:w="5387" w:type="dxa"/>
            <w:tcBorders>
              <w:top w:val="nil"/>
              <w:bottom w:val="nil"/>
            </w:tcBorders>
          </w:tcPr>
          <w:p w14:paraId="435E598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(十八)客戶資料保密。</w:t>
            </w:r>
          </w:p>
        </w:tc>
        <w:tc>
          <w:tcPr>
            <w:tcW w:w="2023" w:type="dxa"/>
            <w:vMerge/>
            <w:tcBorders>
              <w:right w:val="single" w:sz="12" w:space="0" w:color="auto"/>
            </w:tcBorders>
          </w:tcPr>
          <w:p w14:paraId="159D7B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09B1B8" w14:textId="77777777">
        <w:tc>
          <w:tcPr>
            <w:tcW w:w="1384" w:type="dxa"/>
            <w:vMerge/>
            <w:tcBorders>
              <w:left w:val="single" w:sz="12" w:space="0" w:color="auto"/>
            </w:tcBorders>
          </w:tcPr>
          <w:p w14:paraId="06669169" w14:textId="77777777" w:rsidR="003B3105" w:rsidRDefault="003B3105" w:rsidP="001E533B">
            <w:pPr>
              <w:rPr>
                <w:rFonts w:ascii="新細明體" w:eastAsia="新細明體" w:hAnsi="新細明體"/>
              </w:rPr>
            </w:pPr>
          </w:p>
        </w:tc>
        <w:tc>
          <w:tcPr>
            <w:tcW w:w="1276" w:type="dxa"/>
            <w:vMerge/>
          </w:tcPr>
          <w:p w14:paraId="27E51D12" w14:textId="77777777" w:rsidR="003B3105" w:rsidRDefault="003B3105" w:rsidP="001E533B">
            <w:pPr>
              <w:rPr>
                <w:rFonts w:ascii="新細明體" w:eastAsia="新細明體" w:hAnsi="新細明體"/>
              </w:rPr>
            </w:pPr>
          </w:p>
        </w:tc>
        <w:tc>
          <w:tcPr>
            <w:tcW w:w="5386" w:type="dxa"/>
            <w:tcBorders>
              <w:top w:val="nil"/>
              <w:bottom w:val="nil"/>
            </w:tcBorders>
          </w:tcPr>
          <w:p w14:paraId="1B9910A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(十九)公司已依證券交易法規定設置審計委員會者，其內部控制制度，應包括審計委員會議事運作之管理。</w:t>
            </w:r>
          </w:p>
        </w:tc>
        <w:tc>
          <w:tcPr>
            <w:tcW w:w="5387" w:type="dxa"/>
            <w:tcBorders>
              <w:top w:val="nil"/>
              <w:bottom w:val="nil"/>
            </w:tcBorders>
          </w:tcPr>
          <w:p w14:paraId="5A20E40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(十九)公司已依證券交易法規定設置審計委員會者，其內部控制制度，應包括審計委員會議事運作之管理。</w:t>
            </w:r>
          </w:p>
        </w:tc>
        <w:tc>
          <w:tcPr>
            <w:tcW w:w="2023" w:type="dxa"/>
            <w:vMerge/>
            <w:tcBorders>
              <w:right w:val="single" w:sz="12" w:space="0" w:color="auto"/>
            </w:tcBorders>
          </w:tcPr>
          <w:p w14:paraId="3AD9E3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630B17" w14:textId="77777777">
        <w:tc>
          <w:tcPr>
            <w:tcW w:w="1384" w:type="dxa"/>
            <w:vMerge/>
            <w:tcBorders>
              <w:left w:val="single" w:sz="12" w:space="0" w:color="auto"/>
            </w:tcBorders>
          </w:tcPr>
          <w:p w14:paraId="12F3C9A5" w14:textId="77777777" w:rsidR="003B3105" w:rsidRDefault="003B3105" w:rsidP="001E533B">
            <w:pPr>
              <w:rPr>
                <w:rFonts w:ascii="新細明體" w:eastAsia="新細明體" w:hAnsi="新細明體"/>
              </w:rPr>
            </w:pPr>
          </w:p>
        </w:tc>
        <w:tc>
          <w:tcPr>
            <w:tcW w:w="1276" w:type="dxa"/>
            <w:vMerge/>
          </w:tcPr>
          <w:p w14:paraId="2D8B84B3" w14:textId="77777777" w:rsidR="003B3105" w:rsidRDefault="003B3105" w:rsidP="001E533B">
            <w:pPr>
              <w:rPr>
                <w:rFonts w:ascii="新細明體" w:eastAsia="新細明體" w:hAnsi="新細明體"/>
              </w:rPr>
            </w:pPr>
          </w:p>
        </w:tc>
        <w:tc>
          <w:tcPr>
            <w:tcW w:w="5386" w:type="dxa"/>
            <w:tcBorders>
              <w:top w:val="nil"/>
              <w:bottom w:val="nil"/>
            </w:tcBorders>
          </w:tcPr>
          <w:p w14:paraId="5C6EA4F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(二十)重大事件（如：重大違規、遭受重大損失之虞等）處理及通報機制之管理。</w:t>
            </w:r>
          </w:p>
        </w:tc>
        <w:tc>
          <w:tcPr>
            <w:tcW w:w="5387" w:type="dxa"/>
            <w:tcBorders>
              <w:top w:val="nil"/>
              <w:bottom w:val="nil"/>
            </w:tcBorders>
          </w:tcPr>
          <w:p w14:paraId="1BBC4F3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(二十)重大事件（如：重大違規、遭受重大損失之虞等）處理及通報機制之管理。</w:t>
            </w:r>
          </w:p>
        </w:tc>
        <w:tc>
          <w:tcPr>
            <w:tcW w:w="2023" w:type="dxa"/>
            <w:vMerge/>
            <w:tcBorders>
              <w:right w:val="single" w:sz="12" w:space="0" w:color="auto"/>
            </w:tcBorders>
          </w:tcPr>
          <w:p w14:paraId="223781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E9B63A" w14:textId="77777777">
        <w:tc>
          <w:tcPr>
            <w:tcW w:w="1384" w:type="dxa"/>
            <w:vMerge/>
            <w:tcBorders>
              <w:left w:val="single" w:sz="12" w:space="0" w:color="auto"/>
            </w:tcBorders>
          </w:tcPr>
          <w:p w14:paraId="60AD3B3C" w14:textId="77777777" w:rsidR="003B3105" w:rsidRDefault="003B3105" w:rsidP="001E533B">
            <w:pPr>
              <w:rPr>
                <w:rFonts w:ascii="新細明體" w:eastAsia="新細明體" w:hAnsi="新細明體"/>
              </w:rPr>
            </w:pPr>
          </w:p>
        </w:tc>
        <w:tc>
          <w:tcPr>
            <w:tcW w:w="1276" w:type="dxa"/>
            <w:vMerge/>
          </w:tcPr>
          <w:p w14:paraId="70C64A61" w14:textId="77777777" w:rsidR="003B3105" w:rsidRDefault="003B3105" w:rsidP="001E533B">
            <w:pPr>
              <w:rPr>
                <w:rFonts w:ascii="新細明體" w:eastAsia="新細明體" w:hAnsi="新細明體"/>
              </w:rPr>
            </w:pPr>
          </w:p>
        </w:tc>
        <w:tc>
          <w:tcPr>
            <w:tcW w:w="5386" w:type="dxa"/>
            <w:tcBorders>
              <w:top w:val="nil"/>
              <w:bottom w:val="nil"/>
            </w:tcBorders>
          </w:tcPr>
          <w:p w14:paraId="0220666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(二十一)防制洗錢及打擊資恐機制及相關法令之遵循管理，包括辨識、衡量、監控洗錢及資恐風險之管理機制。</w:t>
            </w:r>
          </w:p>
        </w:tc>
        <w:tc>
          <w:tcPr>
            <w:tcW w:w="5387" w:type="dxa"/>
            <w:tcBorders>
              <w:top w:val="nil"/>
              <w:bottom w:val="nil"/>
            </w:tcBorders>
          </w:tcPr>
          <w:p w14:paraId="3006086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(二十一)防制洗錢及打擊資恐機制及相關法令之遵循管理，包括辨識、衡量、監控洗錢及資恐風險之管理機制。</w:t>
            </w:r>
          </w:p>
        </w:tc>
        <w:tc>
          <w:tcPr>
            <w:tcW w:w="2023" w:type="dxa"/>
            <w:vMerge/>
            <w:tcBorders>
              <w:right w:val="single" w:sz="12" w:space="0" w:color="auto"/>
            </w:tcBorders>
          </w:tcPr>
          <w:p w14:paraId="727C9E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4D6ED3" w14:textId="77777777">
        <w:tc>
          <w:tcPr>
            <w:tcW w:w="1384" w:type="dxa"/>
            <w:vMerge/>
            <w:tcBorders>
              <w:left w:val="single" w:sz="12" w:space="0" w:color="auto"/>
            </w:tcBorders>
          </w:tcPr>
          <w:p w14:paraId="6E009786" w14:textId="77777777" w:rsidR="003B3105" w:rsidRDefault="003B3105" w:rsidP="001E533B">
            <w:pPr>
              <w:rPr>
                <w:rFonts w:ascii="新細明體" w:eastAsia="新細明體" w:hAnsi="新細明體"/>
              </w:rPr>
            </w:pPr>
          </w:p>
        </w:tc>
        <w:tc>
          <w:tcPr>
            <w:tcW w:w="1276" w:type="dxa"/>
            <w:vMerge/>
          </w:tcPr>
          <w:p w14:paraId="27C1E252" w14:textId="77777777" w:rsidR="003B3105" w:rsidRDefault="003B3105" w:rsidP="001E533B">
            <w:pPr>
              <w:rPr>
                <w:rFonts w:ascii="新細明體" w:eastAsia="新細明體" w:hAnsi="新細明體"/>
              </w:rPr>
            </w:pPr>
          </w:p>
        </w:tc>
        <w:tc>
          <w:tcPr>
            <w:tcW w:w="5386" w:type="dxa"/>
            <w:tcBorders>
              <w:top w:val="nil"/>
              <w:bottom w:val="nil"/>
            </w:tcBorders>
          </w:tcPr>
          <w:p w14:paraId="54143A5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(二十二)設有國內外分公司（或子公司）者，應建立集團整體性防制洗錢及打擊資恐計畫，包括在符合國外分公司（或子公司）當地法令下，以防制洗錢及打擊資恐為目的之集團內資訊分享政策及程序。</w:t>
            </w:r>
          </w:p>
        </w:tc>
        <w:tc>
          <w:tcPr>
            <w:tcW w:w="5387" w:type="dxa"/>
            <w:tcBorders>
              <w:top w:val="nil"/>
              <w:bottom w:val="nil"/>
            </w:tcBorders>
          </w:tcPr>
          <w:p w14:paraId="270EA0D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(二十二)設有國內外分公司（或子公司）者，應建立集團整體性防制洗錢及打擊資恐計畫，包括在符合國外分公司（或子公司）當地法令下，以防制洗錢及打擊資恐為目的之集團內資訊分享政策及程序。</w:t>
            </w:r>
          </w:p>
        </w:tc>
        <w:tc>
          <w:tcPr>
            <w:tcW w:w="2023" w:type="dxa"/>
            <w:vMerge/>
            <w:tcBorders>
              <w:right w:val="single" w:sz="12" w:space="0" w:color="auto"/>
            </w:tcBorders>
          </w:tcPr>
          <w:p w14:paraId="773D9A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7BDF5F" w14:textId="77777777">
        <w:tc>
          <w:tcPr>
            <w:tcW w:w="1384" w:type="dxa"/>
            <w:vMerge/>
            <w:tcBorders>
              <w:left w:val="single" w:sz="12" w:space="0" w:color="auto"/>
            </w:tcBorders>
          </w:tcPr>
          <w:p w14:paraId="62A161E7" w14:textId="77777777" w:rsidR="003B3105" w:rsidRDefault="003B3105" w:rsidP="001E533B">
            <w:pPr>
              <w:rPr>
                <w:rFonts w:ascii="新細明體" w:eastAsia="新細明體" w:hAnsi="新細明體"/>
              </w:rPr>
            </w:pPr>
          </w:p>
        </w:tc>
        <w:tc>
          <w:tcPr>
            <w:tcW w:w="1276" w:type="dxa"/>
            <w:vMerge/>
          </w:tcPr>
          <w:p w14:paraId="6435BF2C" w14:textId="77777777" w:rsidR="003B3105" w:rsidRDefault="003B3105" w:rsidP="001E533B">
            <w:pPr>
              <w:rPr>
                <w:rFonts w:ascii="新細明體" w:eastAsia="新細明體" w:hAnsi="新細明體"/>
              </w:rPr>
            </w:pPr>
          </w:p>
        </w:tc>
        <w:tc>
          <w:tcPr>
            <w:tcW w:w="5386" w:type="dxa"/>
            <w:tcBorders>
              <w:top w:val="nil"/>
              <w:bottom w:val="nil"/>
            </w:tcBorders>
          </w:tcPr>
          <w:p w14:paraId="7CF3D62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(二十三)檢舉制度。</w:t>
            </w:r>
          </w:p>
        </w:tc>
        <w:tc>
          <w:tcPr>
            <w:tcW w:w="5387" w:type="dxa"/>
            <w:tcBorders>
              <w:top w:val="nil"/>
              <w:bottom w:val="nil"/>
            </w:tcBorders>
          </w:tcPr>
          <w:p w14:paraId="316C31F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(二十三)檢舉制度。</w:t>
            </w:r>
          </w:p>
        </w:tc>
        <w:tc>
          <w:tcPr>
            <w:tcW w:w="2023" w:type="dxa"/>
            <w:vMerge/>
            <w:tcBorders>
              <w:right w:val="single" w:sz="12" w:space="0" w:color="auto"/>
            </w:tcBorders>
          </w:tcPr>
          <w:p w14:paraId="1EC6DF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F2054F" w14:textId="77777777">
        <w:tc>
          <w:tcPr>
            <w:tcW w:w="1384" w:type="dxa"/>
            <w:vMerge/>
            <w:tcBorders>
              <w:left w:val="single" w:sz="12" w:space="0" w:color="auto"/>
            </w:tcBorders>
          </w:tcPr>
          <w:p w14:paraId="0135189B" w14:textId="77777777" w:rsidR="003B3105" w:rsidRDefault="003B3105" w:rsidP="001E533B">
            <w:pPr>
              <w:rPr>
                <w:rFonts w:ascii="新細明體" w:eastAsia="新細明體" w:hAnsi="新細明體"/>
              </w:rPr>
            </w:pPr>
          </w:p>
        </w:tc>
        <w:tc>
          <w:tcPr>
            <w:tcW w:w="1276" w:type="dxa"/>
            <w:vMerge/>
          </w:tcPr>
          <w:p w14:paraId="6CFDA4A8" w14:textId="77777777" w:rsidR="003B3105" w:rsidRDefault="003B3105" w:rsidP="001E533B">
            <w:pPr>
              <w:rPr>
                <w:rFonts w:ascii="新細明體" w:eastAsia="新細明體" w:hAnsi="新細明體"/>
              </w:rPr>
            </w:pPr>
          </w:p>
        </w:tc>
        <w:tc>
          <w:tcPr>
            <w:tcW w:w="5386" w:type="dxa"/>
            <w:tcBorders>
              <w:top w:val="nil"/>
              <w:bottom w:val="nil"/>
            </w:tcBorders>
          </w:tcPr>
          <w:p w14:paraId="59A2C3A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(二十四)作業委託他人處理之管理。</w:t>
            </w:r>
          </w:p>
        </w:tc>
        <w:tc>
          <w:tcPr>
            <w:tcW w:w="5387" w:type="dxa"/>
            <w:tcBorders>
              <w:top w:val="nil"/>
              <w:bottom w:val="nil"/>
            </w:tcBorders>
          </w:tcPr>
          <w:p w14:paraId="5437F3F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(二十四)作業委託他人處理之管理。</w:t>
            </w:r>
          </w:p>
        </w:tc>
        <w:tc>
          <w:tcPr>
            <w:tcW w:w="2023" w:type="dxa"/>
            <w:vMerge/>
            <w:tcBorders>
              <w:right w:val="single" w:sz="12" w:space="0" w:color="auto"/>
            </w:tcBorders>
          </w:tcPr>
          <w:p w14:paraId="019659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ED5377" w14:textId="77777777">
        <w:tc>
          <w:tcPr>
            <w:tcW w:w="1384" w:type="dxa"/>
            <w:vMerge/>
            <w:tcBorders>
              <w:left w:val="single" w:sz="12" w:space="0" w:color="auto"/>
            </w:tcBorders>
          </w:tcPr>
          <w:p w14:paraId="02C2AFED" w14:textId="77777777" w:rsidR="003B3105" w:rsidRDefault="003B3105" w:rsidP="001E533B">
            <w:pPr>
              <w:rPr>
                <w:rFonts w:ascii="新細明體" w:eastAsia="新細明體" w:hAnsi="新細明體"/>
              </w:rPr>
            </w:pPr>
          </w:p>
        </w:tc>
        <w:tc>
          <w:tcPr>
            <w:tcW w:w="1276" w:type="dxa"/>
            <w:vMerge/>
          </w:tcPr>
          <w:p w14:paraId="01E3B84C" w14:textId="77777777" w:rsidR="003B3105" w:rsidRDefault="003B3105" w:rsidP="001E533B">
            <w:pPr>
              <w:rPr>
                <w:rFonts w:ascii="新細明體" w:eastAsia="新細明體" w:hAnsi="新細明體"/>
              </w:rPr>
            </w:pPr>
          </w:p>
        </w:tc>
        <w:tc>
          <w:tcPr>
            <w:tcW w:w="5386" w:type="dxa"/>
            <w:tcBorders>
              <w:top w:val="nil"/>
              <w:bottom w:val="nil"/>
            </w:tcBorders>
          </w:tcPr>
          <w:p w14:paraId="1821DAA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(二十五)永續資訊之管理（股票已上市或在</w:t>
            </w:r>
            <w:r>
              <w:rPr>
                <w:rFonts w:ascii="新細明體" w:eastAsia="新細明體" w:hAnsi="新細明體" w:cs="新細明體" w:hint="eastAsia"/>
              </w:rPr>
              <w:lastRenderedPageBreak/>
              <w:t>證券商營業處所上櫃買賣之證券交易輔助人適用）。</w:t>
            </w:r>
          </w:p>
        </w:tc>
        <w:tc>
          <w:tcPr>
            <w:tcW w:w="5387" w:type="dxa"/>
            <w:tcBorders>
              <w:top w:val="nil"/>
              <w:bottom w:val="nil"/>
            </w:tcBorders>
          </w:tcPr>
          <w:p w14:paraId="65CD4AF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(二十五)永續資訊之管理（股票已上市或在</w:t>
            </w:r>
            <w:r>
              <w:rPr>
                <w:rFonts w:ascii="新細明體" w:eastAsia="新細明體" w:hAnsi="新細明體" w:cs="新細明體" w:hint="eastAsia"/>
              </w:rPr>
              <w:lastRenderedPageBreak/>
              <w:t>證券商營業處所上櫃買賣之證券交易輔助人適用）。</w:t>
            </w:r>
          </w:p>
        </w:tc>
        <w:tc>
          <w:tcPr>
            <w:tcW w:w="2023" w:type="dxa"/>
            <w:vMerge/>
            <w:tcBorders>
              <w:right w:val="single" w:sz="12" w:space="0" w:color="auto"/>
            </w:tcBorders>
          </w:tcPr>
          <w:p w14:paraId="0FC1E1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CBF52C" w14:textId="77777777">
        <w:tc>
          <w:tcPr>
            <w:tcW w:w="1384" w:type="dxa"/>
            <w:vMerge/>
            <w:tcBorders>
              <w:left w:val="single" w:sz="12" w:space="0" w:color="auto"/>
            </w:tcBorders>
          </w:tcPr>
          <w:p w14:paraId="7AA7C5CF" w14:textId="77777777" w:rsidR="003B3105" w:rsidRDefault="003B3105" w:rsidP="001E533B">
            <w:pPr>
              <w:rPr>
                <w:rFonts w:ascii="新細明體" w:eastAsia="新細明體" w:hAnsi="新細明體"/>
              </w:rPr>
            </w:pPr>
          </w:p>
        </w:tc>
        <w:tc>
          <w:tcPr>
            <w:tcW w:w="1276" w:type="dxa"/>
            <w:vMerge/>
          </w:tcPr>
          <w:p w14:paraId="115C7E47" w14:textId="77777777" w:rsidR="003B3105" w:rsidRDefault="003B3105" w:rsidP="001E533B">
            <w:pPr>
              <w:rPr>
                <w:rFonts w:ascii="新細明體" w:eastAsia="新細明體" w:hAnsi="新細明體"/>
              </w:rPr>
            </w:pPr>
          </w:p>
        </w:tc>
        <w:tc>
          <w:tcPr>
            <w:tcW w:w="5386" w:type="dxa"/>
            <w:tcBorders>
              <w:top w:val="nil"/>
              <w:bottom w:val="nil"/>
            </w:tcBorders>
          </w:tcPr>
          <w:p w14:paraId="246528C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(二十六)其他經主管機關指定之事項。</w:t>
            </w:r>
          </w:p>
        </w:tc>
        <w:tc>
          <w:tcPr>
            <w:tcW w:w="5387" w:type="dxa"/>
            <w:tcBorders>
              <w:top w:val="nil"/>
              <w:bottom w:val="nil"/>
            </w:tcBorders>
          </w:tcPr>
          <w:p w14:paraId="57DB5DD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(二十六)其他經主管機關指定之事項。</w:t>
            </w:r>
          </w:p>
        </w:tc>
        <w:tc>
          <w:tcPr>
            <w:tcW w:w="2023" w:type="dxa"/>
            <w:vMerge/>
            <w:tcBorders>
              <w:right w:val="single" w:sz="12" w:space="0" w:color="auto"/>
            </w:tcBorders>
          </w:tcPr>
          <w:p w14:paraId="15AB2C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CE9895" w14:textId="77777777">
        <w:tc>
          <w:tcPr>
            <w:tcW w:w="1384" w:type="dxa"/>
            <w:vMerge/>
            <w:tcBorders>
              <w:left w:val="single" w:sz="12" w:space="0" w:color="auto"/>
            </w:tcBorders>
          </w:tcPr>
          <w:p w14:paraId="458985DB" w14:textId="77777777" w:rsidR="003B3105" w:rsidRDefault="003B3105" w:rsidP="001E533B">
            <w:pPr>
              <w:rPr>
                <w:rFonts w:ascii="新細明體" w:eastAsia="新細明體" w:hAnsi="新細明體"/>
              </w:rPr>
            </w:pPr>
          </w:p>
        </w:tc>
        <w:tc>
          <w:tcPr>
            <w:tcW w:w="1276" w:type="dxa"/>
            <w:vMerge/>
          </w:tcPr>
          <w:p w14:paraId="47E0F97A" w14:textId="77777777" w:rsidR="003B3105" w:rsidRDefault="003B3105" w:rsidP="001E533B">
            <w:pPr>
              <w:rPr>
                <w:rFonts w:ascii="新細明體" w:eastAsia="新細明體" w:hAnsi="新細明體"/>
              </w:rPr>
            </w:pPr>
          </w:p>
        </w:tc>
        <w:tc>
          <w:tcPr>
            <w:tcW w:w="5386" w:type="dxa"/>
            <w:tcBorders>
              <w:top w:val="nil"/>
              <w:bottom w:val="nil"/>
            </w:tcBorders>
          </w:tcPr>
          <w:p w14:paraId="1CCF8BC6"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故為便於內部控制制度之建立，宜將公司內部之主要活動作系統性之劃分，以相互關連之各項作業形成交易循環，建立彼此之關係。證券交易輔助人之一般活動可劃分為下列八大單元：</w:t>
            </w:r>
          </w:p>
        </w:tc>
        <w:tc>
          <w:tcPr>
            <w:tcW w:w="5387" w:type="dxa"/>
            <w:tcBorders>
              <w:top w:val="nil"/>
              <w:bottom w:val="nil"/>
            </w:tcBorders>
          </w:tcPr>
          <w:p w14:paraId="6131E539"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rPr>
              <w:t>故為便於內部控制制度之建立，宜將公司內部之主要活動作系統性之劃分，以相互關連之各項作業形成交易循環，建立彼此之關係。證券交易輔助人之一般活動可劃分為下列八大單元：</w:t>
            </w:r>
          </w:p>
        </w:tc>
        <w:tc>
          <w:tcPr>
            <w:tcW w:w="2023" w:type="dxa"/>
            <w:vMerge/>
            <w:tcBorders>
              <w:right w:val="single" w:sz="12" w:space="0" w:color="auto"/>
            </w:tcBorders>
          </w:tcPr>
          <w:p w14:paraId="5233A1A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3D136F" w14:textId="77777777">
        <w:tc>
          <w:tcPr>
            <w:tcW w:w="1384" w:type="dxa"/>
            <w:vMerge/>
            <w:tcBorders>
              <w:left w:val="single" w:sz="12" w:space="0" w:color="auto"/>
            </w:tcBorders>
          </w:tcPr>
          <w:p w14:paraId="0DC05616" w14:textId="77777777" w:rsidR="003B3105" w:rsidRDefault="003B3105" w:rsidP="001E533B">
            <w:pPr>
              <w:rPr>
                <w:rFonts w:ascii="新細明體" w:eastAsia="新細明體" w:hAnsi="新細明體"/>
              </w:rPr>
            </w:pPr>
          </w:p>
        </w:tc>
        <w:tc>
          <w:tcPr>
            <w:tcW w:w="1276" w:type="dxa"/>
            <w:vMerge/>
          </w:tcPr>
          <w:p w14:paraId="26B3482F" w14:textId="77777777" w:rsidR="003B3105" w:rsidRDefault="003B3105" w:rsidP="001E533B">
            <w:pPr>
              <w:rPr>
                <w:rFonts w:ascii="新細明體" w:eastAsia="新細明體" w:hAnsi="新細明體"/>
              </w:rPr>
            </w:pPr>
          </w:p>
        </w:tc>
        <w:tc>
          <w:tcPr>
            <w:tcW w:w="5386" w:type="dxa"/>
            <w:tcBorders>
              <w:top w:val="nil"/>
              <w:bottom w:val="nil"/>
            </w:tcBorders>
          </w:tcPr>
          <w:p w14:paraId="46E503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1.業務及收入循環</w:t>
            </w:r>
          </w:p>
        </w:tc>
        <w:tc>
          <w:tcPr>
            <w:tcW w:w="5387" w:type="dxa"/>
            <w:tcBorders>
              <w:top w:val="nil"/>
              <w:bottom w:val="nil"/>
            </w:tcBorders>
          </w:tcPr>
          <w:p w14:paraId="5ACE8E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1.業務及收入循環</w:t>
            </w:r>
          </w:p>
        </w:tc>
        <w:tc>
          <w:tcPr>
            <w:tcW w:w="2023" w:type="dxa"/>
            <w:vMerge/>
            <w:tcBorders>
              <w:right w:val="single" w:sz="12" w:space="0" w:color="auto"/>
            </w:tcBorders>
          </w:tcPr>
          <w:p w14:paraId="413BFB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E01D5E" w14:textId="77777777">
        <w:tc>
          <w:tcPr>
            <w:tcW w:w="1384" w:type="dxa"/>
            <w:vMerge/>
            <w:tcBorders>
              <w:left w:val="single" w:sz="12" w:space="0" w:color="auto"/>
            </w:tcBorders>
          </w:tcPr>
          <w:p w14:paraId="031F5CB9" w14:textId="77777777" w:rsidR="003B3105" w:rsidRDefault="003B3105" w:rsidP="001E533B">
            <w:pPr>
              <w:rPr>
                <w:rFonts w:ascii="新細明體" w:eastAsia="新細明體" w:hAnsi="新細明體"/>
              </w:rPr>
            </w:pPr>
          </w:p>
        </w:tc>
        <w:tc>
          <w:tcPr>
            <w:tcW w:w="1276" w:type="dxa"/>
            <w:vMerge/>
          </w:tcPr>
          <w:p w14:paraId="6534DF0D" w14:textId="77777777" w:rsidR="003B3105" w:rsidRDefault="003B3105" w:rsidP="001E533B">
            <w:pPr>
              <w:rPr>
                <w:rFonts w:ascii="新細明體" w:eastAsia="新細明體" w:hAnsi="新細明體"/>
              </w:rPr>
            </w:pPr>
          </w:p>
        </w:tc>
        <w:tc>
          <w:tcPr>
            <w:tcW w:w="5386" w:type="dxa"/>
            <w:tcBorders>
              <w:top w:val="nil"/>
              <w:bottom w:val="nil"/>
            </w:tcBorders>
          </w:tcPr>
          <w:p w14:paraId="385DD8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2.採購及付款循環</w:t>
            </w:r>
          </w:p>
        </w:tc>
        <w:tc>
          <w:tcPr>
            <w:tcW w:w="5387" w:type="dxa"/>
            <w:tcBorders>
              <w:top w:val="nil"/>
              <w:bottom w:val="nil"/>
            </w:tcBorders>
          </w:tcPr>
          <w:p w14:paraId="033E20F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2.採購及付款循環</w:t>
            </w:r>
          </w:p>
        </w:tc>
        <w:tc>
          <w:tcPr>
            <w:tcW w:w="2023" w:type="dxa"/>
            <w:vMerge/>
            <w:tcBorders>
              <w:right w:val="single" w:sz="12" w:space="0" w:color="auto"/>
            </w:tcBorders>
          </w:tcPr>
          <w:p w14:paraId="018448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176179" w14:textId="77777777">
        <w:tc>
          <w:tcPr>
            <w:tcW w:w="1384" w:type="dxa"/>
            <w:vMerge/>
            <w:tcBorders>
              <w:left w:val="single" w:sz="12" w:space="0" w:color="auto"/>
            </w:tcBorders>
          </w:tcPr>
          <w:p w14:paraId="12D38F50" w14:textId="77777777" w:rsidR="003B3105" w:rsidRDefault="003B3105" w:rsidP="001E533B">
            <w:pPr>
              <w:rPr>
                <w:rFonts w:ascii="新細明體" w:eastAsia="新細明體" w:hAnsi="新細明體"/>
              </w:rPr>
            </w:pPr>
          </w:p>
        </w:tc>
        <w:tc>
          <w:tcPr>
            <w:tcW w:w="1276" w:type="dxa"/>
            <w:vMerge/>
          </w:tcPr>
          <w:p w14:paraId="592DB392" w14:textId="77777777" w:rsidR="003B3105" w:rsidRDefault="003B3105" w:rsidP="001E533B">
            <w:pPr>
              <w:rPr>
                <w:rFonts w:ascii="新細明體" w:eastAsia="新細明體" w:hAnsi="新細明體"/>
              </w:rPr>
            </w:pPr>
          </w:p>
        </w:tc>
        <w:tc>
          <w:tcPr>
            <w:tcW w:w="5386" w:type="dxa"/>
            <w:tcBorders>
              <w:top w:val="nil"/>
              <w:bottom w:val="nil"/>
            </w:tcBorders>
          </w:tcPr>
          <w:p w14:paraId="494EDB2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3.薪工循環</w:t>
            </w:r>
          </w:p>
        </w:tc>
        <w:tc>
          <w:tcPr>
            <w:tcW w:w="5387" w:type="dxa"/>
            <w:tcBorders>
              <w:top w:val="nil"/>
              <w:bottom w:val="nil"/>
            </w:tcBorders>
          </w:tcPr>
          <w:p w14:paraId="71395A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3.薪工循環</w:t>
            </w:r>
          </w:p>
        </w:tc>
        <w:tc>
          <w:tcPr>
            <w:tcW w:w="2023" w:type="dxa"/>
            <w:vMerge/>
            <w:tcBorders>
              <w:right w:val="single" w:sz="12" w:space="0" w:color="auto"/>
            </w:tcBorders>
          </w:tcPr>
          <w:p w14:paraId="405E48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DEF2CD" w14:textId="77777777">
        <w:tc>
          <w:tcPr>
            <w:tcW w:w="1384" w:type="dxa"/>
            <w:vMerge/>
            <w:tcBorders>
              <w:left w:val="single" w:sz="12" w:space="0" w:color="auto"/>
            </w:tcBorders>
          </w:tcPr>
          <w:p w14:paraId="2803617C" w14:textId="77777777" w:rsidR="003B3105" w:rsidRDefault="003B3105" w:rsidP="001E533B">
            <w:pPr>
              <w:rPr>
                <w:rFonts w:ascii="新細明體" w:eastAsia="新細明體" w:hAnsi="新細明體"/>
              </w:rPr>
            </w:pPr>
          </w:p>
        </w:tc>
        <w:tc>
          <w:tcPr>
            <w:tcW w:w="1276" w:type="dxa"/>
            <w:vMerge/>
          </w:tcPr>
          <w:p w14:paraId="24BF95B6" w14:textId="77777777" w:rsidR="003B3105" w:rsidRDefault="003B3105" w:rsidP="001E533B">
            <w:pPr>
              <w:rPr>
                <w:rFonts w:ascii="新細明體" w:eastAsia="新細明體" w:hAnsi="新細明體"/>
              </w:rPr>
            </w:pPr>
          </w:p>
        </w:tc>
        <w:tc>
          <w:tcPr>
            <w:tcW w:w="5386" w:type="dxa"/>
            <w:tcBorders>
              <w:top w:val="nil"/>
              <w:bottom w:val="nil"/>
            </w:tcBorders>
          </w:tcPr>
          <w:p w14:paraId="64DF1B6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4.融資循環</w:t>
            </w:r>
          </w:p>
        </w:tc>
        <w:tc>
          <w:tcPr>
            <w:tcW w:w="5387" w:type="dxa"/>
            <w:tcBorders>
              <w:top w:val="nil"/>
              <w:bottom w:val="nil"/>
            </w:tcBorders>
          </w:tcPr>
          <w:p w14:paraId="5E2BA9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4.融資循環</w:t>
            </w:r>
          </w:p>
        </w:tc>
        <w:tc>
          <w:tcPr>
            <w:tcW w:w="2023" w:type="dxa"/>
            <w:vMerge/>
            <w:tcBorders>
              <w:right w:val="single" w:sz="12" w:space="0" w:color="auto"/>
            </w:tcBorders>
          </w:tcPr>
          <w:p w14:paraId="4C1133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D25A1F" w14:textId="77777777">
        <w:tc>
          <w:tcPr>
            <w:tcW w:w="1384" w:type="dxa"/>
            <w:vMerge/>
            <w:tcBorders>
              <w:left w:val="single" w:sz="12" w:space="0" w:color="auto"/>
            </w:tcBorders>
          </w:tcPr>
          <w:p w14:paraId="66156DD9" w14:textId="77777777" w:rsidR="003B3105" w:rsidRDefault="003B3105" w:rsidP="001E533B">
            <w:pPr>
              <w:rPr>
                <w:rFonts w:ascii="新細明體" w:eastAsia="新細明體" w:hAnsi="新細明體"/>
              </w:rPr>
            </w:pPr>
          </w:p>
        </w:tc>
        <w:tc>
          <w:tcPr>
            <w:tcW w:w="1276" w:type="dxa"/>
            <w:vMerge/>
          </w:tcPr>
          <w:p w14:paraId="5F2413B1" w14:textId="77777777" w:rsidR="003B3105" w:rsidRDefault="003B3105" w:rsidP="001E533B">
            <w:pPr>
              <w:rPr>
                <w:rFonts w:ascii="新細明體" w:eastAsia="新細明體" w:hAnsi="新細明體"/>
              </w:rPr>
            </w:pPr>
          </w:p>
        </w:tc>
        <w:tc>
          <w:tcPr>
            <w:tcW w:w="5386" w:type="dxa"/>
            <w:tcBorders>
              <w:top w:val="nil"/>
              <w:bottom w:val="nil"/>
            </w:tcBorders>
          </w:tcPr>
          <w:p w14:paraId="061462C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5.不動產及設備循環</w:t>
            </w:r>
          </w:p>
        </w:tc>
        <w:tc>
          <w:tcPr>
            <w:tcW w:w="5387" w:type="dxa"/>
            <w:tcBorders>
              <w:top w:val="nil"/>
              <w:bottom w:val="nil"/>
            </w:tcBorders>
          </w:tcPr>
          <w:p w14:paraId="571EB2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5.不動產及設備循環</w:t>
            </w:r>
          </w:p>
        </w:tc>
        <w:tc>
          <w:tcPr>
            <w:tcW w:w="2023" w:type="dxa"/>
            <w:vMerge/>
            <w:tcBorders>
              <w:right w:val="single" w:sz="12" w:space="0" w:color="auto"/>
            </w:tcBorders>
          </w:tcPr>
          <w:p w14:paraId="4FA09D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A02CAE" w14:textId="77777777">
        <w:tc>
          <w:tcPr>
            <w:tcW w:w="1384" w:type="dxa"/>
            <w:vMerge/>
            <w:tcBorders>
              <w:left w:val="single" w:sz="12" w:space="0" w:color="auto"/>
            </w:tcBorders>
          </w:tcPr>
          <w:p w14:paraId="23D84E40" w14:textId="77777777" w:rsidR="003B3105" w:rsidRDefault="003B3105" w:rsidP="001E533B">
            <w:pPr>
              <w:rPr>
                <w:rFonts w:ascii="新細明體" w:eastAsia="新細明體" w:hAnsi="新細明體"/>
              </w:rPr>
            </w:pPr>
          </w:p>
        </w:tc>
        <w:tc>
          <w:tcPr>
            <w:tcW w:w="1276" w:type="dxa"/>
            <w:vMerge/>
          </w:tcPr>
          <w:p w14:paraId="3C3EB1CF" w14:textId="77777777" w:rsidR="003B3105" w:rsidRDefault="003B3105" w:rsidP="001E533B">
            <w:pPr>
              <w:rPr>
                <w:rFonts w:ascii="新細明體" w:eastAsia="新細明體" w:hAnsi="新細明體"/>
              </w:rPr>
            </w:pPr>
          </w:p>
        </w:tc>
        <w:tc>
          <w:tcPr>
            <w:tcW w:w="5386" w:type="dxa"/>
            <w:tcBorders>
              <w:top w:val="nil"/>
              <w:bottom w:val="nil"/>
            </w:tcBorders>
          </w:tcPr>
          <w:p w14:paraId="4C3833C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6.投資循環</w:t>
            </w:r>
          </w:p>
        </w:tc>
        <w:tc>
          <w:tcPr>
            <w:tcW w:w="5387" w:type="dxa"/>
            <w:tcBorders>
              <w:top w:val="nil"/>
              <w:bottom w:val="nil"/>
            </w:tcBorders>
          </w:tcPr>
          <w:p w14:paraId="23265FF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6.投資循環</w:t>
            </w:r>
          </w:p>
        </w:tc>
        <w:tc>
          <w:tcPr>
            <w:tcW w:w="2023" w:type="dxa"/>
            <w:vMerge/>
            <w:tcBorders>
              <w:right w:val="single" w:sz="12" w:space="0" w:color="auto"/>
            </w:tcBorders>
          </w:tcPr>
          <w:p w14:paraId="123D1D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0F0A86" w14:textId="77777777">
        <w:tc>
          <w:tcPr>
            <w:tcW w:w="1384" w:type="dxa"/>
            <w:vMerge/>
            <w:tcBorders>
              <w:left w:val="single" w:sz="12" w:space="0" w:color="auto"/>
            </w:tcBorders>
          </w:tcPr>
          <w:p w14:paraId="14DEEFDF" w14:textId="77777777" w:rsidR="003B3105" w:rsidRDefault="003B3105" w:rsidP="001E533B">
            <w:pPr>
              <w:rPr>
                <w:rFonts w:ascii="新細明體" w:eastAsia="新細明體" w:hAnsi="新細明體"/>
              </w:rPr>
            </w:pPr>
          </w:p>
        </w:tc>
        <w:tc>
          <w:tcPr>
            <w:tcW w:w="1276" w:type="dxa"/>
            <w:vMerge/>
          </w:tcPr>
          <w:p w14:paraId="47A4FDA0" w14:textId="77777777" w:rsidR="003B3105" w:rsidRDefault="003B3105" w:rsidP="001E533B">
            <w:pPr>
              <w:rPr>
                <w:rFonts w:ascii="新細明體" w:eastAsia="新細明體" w:hAnsi="新細明體"/>
              </w:rPr>
            </w:pPr>
          </w:p>
        </w:tc>
        <w:tc>
          <w:tcPr>
            <w:tcW w:w="5386" w:type="dxa"/>
            <w:tcBorders>
              <w:top w:val="nil"/>
              <w:bottom w:val="nil"/>
            </w:tcBorders>
          </w:tcPr>
          <w:p w14:paraId="1FA2C52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7.電腦作業與資訊提供</w:t>
            </w:r>
          </w:p>
        </w:tc>
        <w:tc>
          <w:tcPr>
            <w:tcW w:w="5387" w:type="dxa"/>
            <w:tcBorders>
              <w:top w:val="nil"/>
              <w:bottom w:val="nil"/>
            </w:tcBorders>
          </w:tcPr>
          <w:p w14:paraId="4271734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7.電腦作業與資訊提供</w:t>
            </w:r>
          </w:p>
        </w:tc>
        <w:tc>
          <w:tcPr>
            <w:tcW w:w="2023" w:type="dxa"/>
            <w:vMerge/>
            <w:tcBorders>
              <w:right w:val="single" w:sz="12" w:space="0" w:color="auto"/>
            </w:tcBorders>
          </w:tcPr>
          <w:p w14:paraId="15615B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AB4D8A" w14:textId="77777777">
        <w:tc>
          <w:tcPr>
            <w:tcW w:w="1384" w:type="dxa"/>
            <w:vMerge/>
            <w:tcBorders>
              <w:left w:val="single" w:sz="12" w:space="0" w:color="auto"/>
            </w:tcBorders>
          </w:tcPr>
          <w:p w14:paraId="0313A893" w14:textId="77777777" w:rsidR="003B3105" w:rsidRDefault="003B3105" w:rsidP="001E533B">
            <w:pPr>
              <w:rPr>
                <w:rFonts w:ascii="新細明體" w:eastAsia="新細明體" w:hAnsi="新細明體"/>
              </w:rPr>
            </w:pPr>
          </w:p>
        </w:tc>
        <w:tc>
          <w:tcPr>
            <w:tcW w:w="1276" w:type="dxa"/>
            <w:vMerge/>
          </w:tcPr>
          <w:p w14:paraId="2436C67A" w14:textId="77777777" w:rsidR="003B3105" w:rsidRDefault="003B3105" w:rsidP="001E533B">
            <w:pPr>
              <w:rPr>
                <w:rFonts w:ascii="新細明體" w:eastAsia="新細明體" w:hAnsi="新細明體"/>
              </w:rPr>
            </w:pPr>
          </w:p>
        </w:tc>
        <w:tc>
          <w:tcPr>
            <w:tcW w:w="5386" w:type="dxa"/>
            <w:tcBorders>
              <w:top w:val="nil"/>
              <w:bottom w:val="nil"/>
            </w:tcBorders>
          </w:tcPr>
          <w:p w14:paraId="6468FD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8.管理控制制度</w:t>
            </w:r>
          </w:p>
        </w:tc>
        <w:tc>
          <w:tcPr>
            <w:tcW w:w="5387" w:type="dxa"/>
            <w:tcBorders>
              <w:top w:val="nil"/>
              <w:bottom w:val="nil"/>
            </w:tcBorders>
          </w:tcPr>
          <w:p w14:paraId="2AC69E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8.管理控制制度</w:t>
            </w:r>
          </w:p>
        </w:tc>
        <w:tc>
          <w:tcPr>
            <w:tcW w:w="2023" w:type="dxa"/>
            <w:vMerge/>
            <w:tcBorders>
              <w:right w:val="single" w:sz="12" w:space="0" w:color="auto"/>
            </w:tcBorders>
          </w:tcPr>
          <w:p w14:paraId="20B354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B51059" w14:textId="77777777">
        <w:tc>
          <w:tcPr>
            <w:tcW w:w="1384" w:type="dxa"/>
            <w:vMerge/>
            <w:tcBorders>
              <w:left w:val="single" w:sz="12" w:space="0" w:color="auto"/>
            </w:tcBorders>
          </w:tcPr>
          <w:p w14:paraId="38CA5511" w14:textId="77777777" w:rsidR="003B3105" w:rsidRDefault="003B3105" w:rsidP="001E533B">
            <w:pPr>
              <w:rPr>
                <w:rFonts w:ascii="新細明體" w:eastAsia="新細明體" w:hAnsi="新細明體"/>
              </w:rPr>
            </w:pPr>
          </w:p>
        </w:tc>
        <w:tc>
          <w:tcPr>
            <w:tcW w:w="1276" w:type="dxa"/>
            <w:vMerge/>
          </w:tcPr>
          <w:p w14:paraId="452E2DEA" w14:textId="77777777" w:rsidR="003B3105" w:rsidRDefault="003B3105" w:rsidP="001E533B">
            <w:pPr>
              <w:rPr>
                <w:rFonts w:ascii="新細明體" w:eastAsia="新細明體" w:hAnsi="新細明體"/>
              </w:rPr>
            </w:pPr>
          </w:p>
        </w:tc>
        <w:tc>
          <w:tcPr>
            <w:tcW w:w="5386" w:type="dxa"/>
            <w:tcBorders>
              <w:top w:val="nil"/>
              <w:bottom w:val="nil"/>
            </w:tcBorders>
          </w:tcPr>
          <w:p w14:paraId="17A4417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九、內部控制制度之設計及內部稽核實施細則之項目：</w:t>
            </w:r>
          </w:p>
        </w:tc>
        <w:tc>
          <w:tcPr>
            <w:tcW w:w="5387" w:type="dxa"/>
            <w:tcBorders>
              <w:top w:val="nil"/>
              <w:bottom w:val="nil"/>
            </w:tcBorders>
          </w:tcPr>
          <w:p w14:paraId="136FB1A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九、內部控制制度之設計及內部稽核實施細則之項目：</w:t>
            </w:r>
          </w:p>
        </w:tc>
        <w:tc>
          <w:tcPr>
            <w:tcW w:w="2023" w:type="dxa"/>
            <w:vMerge/>
            <w:tcBorders>
              <w:right w:val="single" w:sz="12" w:space="0" w:color="auto"/>
            </w:tcBorders>
          </w:tcPr>
          <w:p w14:paraId="3EFECA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CE5ED3" w14:textId="77777777">
        <w:tc>
          <w:tcPr>
            <w:tcW w:w="1384" w:type="dxa"/>
            <w:vMerge/>
            <w:tcBorders>
              <w:left w:val="single" w:sz="12" w:space="0" w:color="auto"/>
            </w:tcBorders>
          </w:tcPr>
          <w:p w14:paraId="7041160C" w14:textId="77777777" w:rsidR="003B3105" w:rsidRDefault="003B3105" w:rsidP="001E533B">
            <w:pPr>
              <w:rPr>
                <w:rFonts w:ascii="新細明體" w:eastAsia="新細明體" w:hAnsi="新細明體"/>
              </w:rPr>
            </w:pPr>
          </w:p>
        </w:tc>
        <w:tc>
          <w:tcPr>
            <w:tcW w:w="1276" w:type="dxa"/>
            <w:vMerge/>
          </w:tcPr>
          <w:p w14:paraId="0BF7C3E6" w14:textId="77777777" w:rsidR="003B3105" w:rsidRDefault="003B3105" w:rsidP="001E533B">
            <w:pPr>
              <w:rPr>
                <w:rFonts w:ascii="新細明體" w:eastAsia="新細明體" w:hAnsi="新細明體"/>
              </w:rPr>
            </w:pPr>
          </w:p>
        </w:tc>
        <w:tc>
          <w:tcPr>
            <w:tcW w:w="5386" w:type="dxa"/>
            <w:tcBorders>
              <w:top w:val="nil"/>
              <w:bottom w:val="nil"/>
            </w:tcBorders>
          </w:tcPr>
          <w:p w14:paraId="3B22F3A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內部控制制度之建立與設計，應針對各公司之特定情況而設計。公司之管理階層、部門主管、企劃幕僚、稽核人員，以及各業務單位相關人員，應共同參與內部控制制度之設計作業：</w:t>
            </w:r>
          </w:p>
        </w:tc>
        <w:tc>
          <w:tcPr>
            <w:tcW w:w="5387" w:type="dxa"/>
            <w:tcBorders>
              <w:top w:val="nil"/>
              <w:bottom w:val="nil"/>
            </w:tcBorders>
          </w:tcPr>
          <w:p w14:paraId="46E9D76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內部控制制度之建立與設計，應針對各公司之特定情況而設計。公司之管理階層、部門主管、企劃幕僚、稽核人員，以及各業務單位相關人員，應共同參與內部控制制度之設計作業：</w:t>
            </w:r>
          </w:p>
        </w:tc>
        <w:tc>
          <w:tcPr>
            <w:tcW w:w="2023" w:type="dxa"/>
            <w:vMerge/>
            <w:tcBorders>
              <w:right w:val="single" w:sz="12" w:space="0" w:color="auto"/>
            </w:tcBorders>
          </w:tcPr>
          <w:p w14:paraId="13F9A2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177988" w14:textId="77777777">
        <w:tc>
          <w:tcPr>
            <w:tcW w:w="1384" w:type="dxa"/>
            <w:vMerge/>
            <w:tcBorders>
              <w:left w:val="single" w:sz="12" w:space="0" w:color="auto"/>
            </w:tcBorders>
          </w:tcPr>
          <w:p w14:paraId="0A18A863" w14:textId="77777777" w:rsidR="003B3105" w:rsidRDefault="003B3105" w:rsidP="001E533B">
            <w:pPr>
              <w:rPr>
                <w:rFonts w:ascii="新細明體" w:eastAsia="新細明體" w:hAnsi="新細明體"/>
              </w:rPr>
            </w:pPr>
          </w:p>
        </w:tc>
        <w:tc>
          <w:tcPr>
            <w:tcW w:w="1276" w:type="dxa"/>
            <w:vMerge/>
          </w:tcPr>
          <w:p w14:paraId="6F008872" w14:textId="77777777" w:rsidR="003B3105" w:rsidRDefault="003B3105" w:rsidP="001E533B">
            <w:pPr>
              <w:rPr>
                <w:rFonts w:ascii="新細明體" w:eastAsia="新細明體" w:hAnsi="新細明體"/>
              </w:rPr>
            </w:pPr>
          </w:p>
        </w:tc>
        <w:tc>
          <w:tcPr>
            <w:tcW w:w="5386" w:type="dxa"/>
            <w:tcBorders>
              <w:top w:val="nil"/>
              <w:bottom w:val="nil"/>
            </w:tcBorders>
          </w:tcPr>
          <w:p w14:paraId="027F7D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(一)設計之內容包括：</w:t>
            </w:r>
          </w:p>
        </w:tc>
        <w:tc>
          <w:tcPr>
            <w:tcW w:w="5387" w:type="dxa"/>
            <w:tcBorders>
              <w:top w:val="nil"/>
              <w:bottom w:val="nil"/>
            </w:tcBorders>
          </w:tcPr>
          <w:p w14:paraId="6FF488D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(一)設計之內容包括：</w:t>
            </w:r>
          </w:p>
        </w:tc>
        <w:tc>
          <w:tcPr>
            <w:tcW w:w="2023" w:type="dxa"/>
            <w:vMerge/>
            <w:tcBorders>
              <w:right w:val="single" w:sz="12" w:space="0" w:color="auto"/>
            </w:tcBorders>
          </w:tcPr>
          <w:p w14:paraId="133382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A4779D" w14:textId="77777777">
        <w:tc>
          <w:tcPr>
            <w:tcW w:w="1384" w:type="dxa"/>
            <w:vMerge/>
            <w:tcBorders>
              <w:left w:val="single" w:sz="12" w:space="0" w:color="auto"/>
            </w:tcBorders>
          </w:tcPr>
          <w:p w14:paraId="319E326B" w14:textId="77777777" w:rsidR="003B3105" w:rsidRDefault="003B3105" w:rsidP="001E533B">
            <w:pPr>
              <w:rPr>
                <w:rFonts w:ascii="新細明體" w:eastAsia="新細明體" w:hAnsi="新細明體"/>
              </w:rPr>
            </w:pPr>
          </w:p>
        </w:tc>
        <w:tc>
          <w:tcPr>
            <w:tcW w:w="1276" w:type="dxa"/>
            <w:vMerge/>
          </w:tcPr>
          <w:p w14:paraId="1D010ED0" w14:textId="77777777" w:rsidR="003B3105" w:rsidRDefault="003B3105" w:rsidP="001E533B">
            <w:pPr>
              <w:rPr>
                <w:rFonts w:ascii="新細明體" w:eastAsia="新細明體" w:hAnsi="新細明體"/>
              </w:rPr>
            </w:pPr>
          </w:p>
        </w:tc>
        <w:tc>
          <w:tcPr>
            <w:tcW w:w="5386" w:type="dxa"/>
            <w:tcBorders>
              <w:top w:val="nil"/>
              <w:bottom w:val="nil"/>
            </w:tcBorders>
          </w:tcPr>
          <w:p w14:paraId="4CA1F0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1.製訂各交易循環之作業程序。</w:t>
            </w:r>
          </w:p>
        </w:tc>
        <w:tc>
          <w:tcPr>
            <w:tcW w:w="5387" w:type="dxa"/>
            <w:tcBorders>
              <w:top w:val="nil"/>
              <w:bottom w:val="nil"/>
            </w:tcBorders>
          </w:tcPr>
          <w:p w14:paraId="7B877AB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1.製訂各交易循環之作業程序。</w:t>
            </w:r>
          </w:p>
        </w:tc>
        <w:tc>
          <w:tcPr>
            <w:tcW w:w="2023" w:type="dxa"/>
            <w:vMerge/>
            <w:tcBorders>
              <w:right w:val="single" w:sz="12" w:space="0" w:color="auto"/>
            </w:tcBorders>
          </w:tcPr>
          <w:p w14:paraId="177B70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9E822E" w14:textId="77777777">
        <w:tc>
          <w:tcPr>
            <w:tcW w:w="1384" w:type="dxa"/>
            <w:vMerge/>
            <w:tcBorders>
              <w:left w:val="single" w:sz="12" w:space="0" w:color="auto"/>
            </w:tcBorders>
          </w:tcPr>
          <w:p w14:paraId="418DB2E1" w14:textId="77777777" w:rsidR="003B3105" w:rsidRDefault="003B3105" w:rsidP="001E533B">
            <w:pPr>
              <w:rPr>
                <w:rFonts w:ascii="新細明體" w:eastAsia="新細明體" w:hAnsi="新細明體"/>
              </w:rPr>
            </w:pPr>
          </w:p>
        </w:tc>
        <w:tc>
          <w:tcPr>
            <w:tcW w:w="1276" w:type="dxa"/>
            <w:vMerge/>
          </w:tcPr>
          <w:p w14:paraId="74142A7E" w14:textId="77777777" w:rsidR="003B3105" w:rsidRDefault="003B3105" w:rsidP="001E533B">
            <w:pPr>
              <w:rPr>
                <w:rFonts w:ascii="新細明體" w:eastAsia="新細明體" w:hAnsi="新細明體"/>
              </w:rPr>
            </w:pPr>
          </w:p>
        </w:tc>
        <w:tc>
          <w:tcPr>
            <w:tcW w:w="5386" w:type="dxa"/>
            <w:tcBorders>
              <w:top w:val="nil"/>
              <w:bottom w:val="nil"/>
            </w:tcBorders>
          </w:tcPr>
          <w:p w14:paraId="44AF0BE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2.設計各作業程序之控制重點。</w:t>
            </w:r>
          </w:p>
        </w:tc>
        <w:tc>
          <w:tcPr>
            <w:tcW w:w="5387" w:type="dxa"/>
            <w:tcBorders>
              <w:top w:val="nil"/>
              <w:bottom w:val="nil"/>
            </w:tcBorders>
          </w:tcPr>
          <w:p w14:paraId="0A69492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2.設計各作業程序之控制重點。</w:t>
            </w:r>
          </w:p>
        </w:tc>
        <w:tc>
          <w:tcPr>
            <w:tcW w:w="2023" w:type="dxa"/>
            <w:vMerge/>
            <w:tcBorders>
              <w:right w:val="single" w:sz="12" w:space="0" w:color="auto"/>
            </w:tcBorders>
          </w:tcPr>
          <w:p w14:paraId="042857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5BBCBD" w14:textId="77777777">
        <w:tc>
          <w:tcPr>
            <w:tcW w:w="1384" w:type="dxa"/>
            <w:vMerge/>
            <w:tcBorders>
              <w:left w:val="single" w:sz="12" w:space="0" w:color="auto"/>
            </w:tcBorders>
          </w:tcPr>
          <w:p w14:paraId="4DF4D6C2" w14:textId="77777777" w:rsidR="003B3105" w:rsidRDefault="003B3105" w:rsidP="001E533B">
            <w:pPr>
              <w:rPr>
                <w:rFonts w:ascii="新細明體" w:eastAsia="新細明體" w:hAnsi="新細明體"/>
              </w:rPr>
            </w:pPr>
          </w:p>
        </w:tc>
        <w:tc>
          <w:tcPr>
            <w:tcW w:w="1276" w:type="dxa"/>
            <w:vMerge/>
          </w:tcPr>
          <w:p w14:paraId="44DFA538" w14:textId="77777777" w:rsidR="003B3105" w:rsidRDefault="003B3105" w:rsidP="001E533B">
            <w:pPr>
              <w:rPr>
                <w:rFonts w:ascii="新細明體" w:eastAsia="新細明體" w:hAnsi="新細明體"/>
              </w:rPr>
            </w:pPr>
          </w:p>
        </w:tc>
        <w:tc>
          <w:tcPr>
            <w:tcW w:w="5386" w:type="dxa"/>
            <w:tcBorders>
              <w:top w:val="nil"/>
              <w:bottom w:val="nil"/>
            </w:tcBorders>
          </w:tcPr>
          <w:p w14:paraId="52D23FE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3.設計使用之表單。</w:t>
            </w:r>
          </w:p>
        </w:tc>
        <w:tc>
          <w:tcPr>
            <w:tcW w:w="5387" w:type="dxa"/>
            <w:tcBorders>
              <w:top w:val="nil"/>
              <w:bottom w:val="nil"/>
            </w:tcBorders>
          </w:tcPr>
          <w:p w14:paraId="66E9F2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3.設計使用之表單。</w:t>
            </w:r>
          </w:p>
        </w:tc>
        <w:tc>
          <w:tcPr>
            <w:tcW w:w="2023" w:type="dxa"/>
            <w:vMerge/>
            <w:tcBorders>
              <w:right w:val="single" w:sz="12" w:space="0" w:color="auto"/>
            </w:tcBorders>
          </w:tcPr>
          <w:p w14:paraId="381889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121EBC" w14:textId="77777777">
        <w:tc>
          <w:tcPr>
            <w:tcW w:w="1384" w:type="dxa"/>
            <w:vMerge/>
            <w:tcBorders>
              <w:left w:val="single" w:sz="12" w:space="0" w:color="auto"/>
            </w:tcBorders>
          </w:tcPr>
          <w:p w14:paraId="7A64585A" w14:textId="77777777" w:rsidR="003B3105" w:rsidRDefault="003B3105" w:rsidP="001E533B">
            <w:pPr>
              <w:rPr>
                <w:rFonts w:ascii="新細明體" w:eastAsia="新細明體" w:hAnsi="新細明體"/>
              </w:rPr>
            </w:pPr>
          </w:p>
        </w:tc>
        <w:tc>
          <w:tcPr>
            <w:tcW w:w="1276" w:type="dxa"/>
            <w:vMerge/>
          </w:tcPr>
          <w:p w14:paraId="769E6FA6" w14:textId="77777777" w:rsidR="003B3105" w:rsidRDefault="003B3105" w:rsidP="001E533B">
            <w:pPr>
              <w:rPr>
                <w:rFonts w:ascii="新細明體" w:eastAsia="新細明體" w:hAnsi="新細明體"/>
              </w:rPr>
            </w:pPr>
          </w:p>
        </w:tc>
        <w:tc>
          <w:tcPr>
            <w:tcW w:w="5386" w:type="dxa"/>
            <w:tcBorders>
              <w:top w:val="nil"/>
              <w:bottom w:val="nil"/>
            </w:tcBorders>
          </w:tcPr>
          <w:p w14:paraId="372E365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(二)設計之原則包括：</w:t>
            </w:r>
          </w:p>
        </w:tc>
        <w:tc>
          <w:tcPr>
            <w:tcW w:w="5387" w:type="dxa"/>
            <w:tcBorders>
              <w:top w:val="nil"/>
              <w:bottom w:val="nil"/>
            </w:tcBorders>
          </w:tcPr>
          <w:p w14:paraId="02E80F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(二)設計之原則包括：</w:t>
            </w:r>
          </w:p>
        </w:tc>
        <w:tc>
          <w:tcPr>
            <w:tcW w:w="2023" w:type="dxa"/>
            <w:vMerge/>
            <w:tcBorders>
              <w:right w:val="single" w:sz="12" w:space="0" w:color="auto"/>
            </w:tcBorders>
          </w:tcPr>
          <w:p w14:paraId="1B968F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98FEAA" w14:textId="77777777">
        <w:tc>
          <w:tcPr>
            <w:tcW w:w="1384" w:type="dxa"/>
            <w:vMerge/>
            <w:tcBorders>
              <w:left w:val="single" w:sz="12" w:space="0" w:color="auto"/>
            </w:tcBorders>
          </w:tcPr>
          <w:p w14:paraId="2432090F" w14:textId="77777777" w:rsidR="003B3105" w:rsidRDefault="003B3105" w:rsidP="001E533B">
            <w:pPr>
              <w:rPr>
                <w:rFonts w:ascii="新細明體" w:eastAsia="新細明體" w:hAnsi="新細明體"/>
              </w:rPr>
            </w:pPr>
          </w:p>
        </w:tc>
        <w:tc>
          <w:tcPr>
            <w:tcW w:w="1276" w:type="dxa"/>
            <w:vMerge/>
          </w:tcPr>
          <w:p w14:paraId="2E925A8B" w14:textId="77777777" w:rsidR="003B3105" w:rsidRDefault="003B3105" w:rsidP="001E533B">
            <w:pPr>
              <w:rPr>
                <w:rFonts w:ascii="新細明體" w:eastAsia="新細明體" w:hAnsi="新細明體"/>
              </w:rPr>
            </w:pPr>
          </w:p>
        </w:tc>
        <w:tc>
          <w:tcPr>
            <w:tcW w:w="5386" w:type="dxa"/>
            <w:tcBorders>
              <w:top w:val="nil"/>
              <w:bottom w:val="nil"/>
            </w:tcBorders>
          </w:tcPr>
          <w:p w14:paraId="3FA855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1.依各項業務實際需要規劃作業流程，採分段作業。在每一流程或循環中，設定若干控制重點，以合理確保各項作業目標之達成。</w:t>
            </w:r>
          </w:p>
        </w:tc>
        <w:tc>
          <w:tcPr>
            <w:tcW w:w="5387" w:type="dxa"/>
            <w:tcBorders>
              <w:top w:val="nil"/>
              <w:bottom w:val="nil"/>
            </w:tcBorders>
          </w:tcPr>
          <w:p w14:paraId="37D2887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1.依各項業務實際需要規劃作業流程，採分段作業。在每一流程或循環中，設定若干控制重點，以合理確保各項作業目標之達成。</w:t>
            </w:r>
          </w:p>
        </w:tc>
        <w:tc>
          <w:tcPr>
            <w:tcW w:w="2023" w:type="dxa"/>
            <w:vMerge/>
            <w:tcBorders>
              <w:right w:val="single" w:sz="12" w:space="0" w:color="auto"/>
            </w:tcBorders>
          </w:tcPr>
          <w:p w14:paraId="22C938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14D2E2" w14:textId="77777777">
        <w:tc>
          <w:tcPr>
            <w:tcW w:w="1384" w:type="dxa"/>
            <w:vMerge/>
            <w:tcBorders>
              <w:left w:val="single" w:sz="12" w:space="0" w:color="auto"/>
            </w:tcBorders>
          </w:tcPr>
          <w:p w14:paraId="346E8631" w14:textId="77777777" w:rsidR="003B3105" w:rsidRDefault="003B3105" w:rsidP="001E533B">
            <w:pPr>
              <w:rPr>
                <w:rFonts w:ascii="新細明體" w:eastAsia="新細明體" w:hAnsi="新細明體"/>
              </w:rPr>
            </w:pPr>
          </w:p>
        </w:tc>
        <w:tc>
          <w:tcPr>
            <w:tcW w:w="1276" w:type="dxa"/>
            <w:vMerge/>
          </w:tcPr>
          <w:p w14:paraId="0F1ED5C1" w14:textId="77777777" w:rsidR="003B3105" w:rsidRDefault="003B3105" w:rsidP="001E533B">
            <w:pPr>
              <w:rPr>
                <w:rFonts w:ascii="新細明體" w:eastAsia="新細明體" w:hAnsi="新細明體"/>
              </w:rPr>
            </w:pPr>
          </w:p>
        </w:tc>
        <w:tc>
          <w:tcPr>
            <w:tcW w:w="5386" w:type="dxa"/>
            <w:tcBorders>
              <w:top w:val="nil"/>
              <w:bottom w:val="nil"/>
            </w:tcBorders>
          </w:tcPr>
          <w:p w14:paraId="2CFAF95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5387" w:type="dxa"/>
            <w:tcBorders>
              <w:top w:val="nil"/>
              <w:bottom w:val="nil"/>
            </w:tcBorders>
          </w:tcPr>
          <w:p w14:paraId="333B9F1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2023" w:type="dxa"/>
            <w:vMerge/>
            <w:tcBorders>
              <w:right w:val="single" w:sz="12" w:space="0" w:color="auto"/>
            </w:tcBorders>
          </w:tcPr>
          <w:p w14:paraId="11525F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7BDAAB" w14:textId="77777777">
        <w:tc>
          <w:tcPr>
            <w:tcW w:w="1384" w:type="dxa"/>
            <w:vMerge/>
            <w:tcBorders>
              <w:left w:val="single" w:sz="12" w:space="0" w:color="auto"/>
            </w:tcBorders>
          </w:tcPr>
          <w:p w14:paraId="59EAF02E" w14:textId="77777777" w:rsidR="003B3105" w:rsidRDefault="003B3105" w:rsidP="001E533B">
            <w:pPr>
              <w:rPr>
                <w:rFonts w:ascii="新細明體" w:eastAsia="新細明體" w:hAnsi="新細明體"/>
              </w:rPr>
            </w:pPr>
          </w:p>
        </w:tc>
        <w:tc>
          <w:tcPr>
            <w:tcW w:w="1276" w:type="dxa"/>
            <w:vMerge/>
          </w:tcPr>
          <w:p w14:paraId="250D0AE0" w14:textId="77777777" w:rsidR="003B3105" w:rsidRDefault="003B3105" w:rsidP="001E533B">
            <w:pPr>
              <w:rPr>
                <w:rFonts w:ascii="新細明體" w:eastAsia="新細明體" w:hAnsi="新細明體"/>
              </w:rPr>
            </w:pPr>
          </w:p>
        </w:tc>
        <w:tc>
          <w:tcPr>
            <w:tcW w:w="5386" w:type="dxa"/>
            <w:tcBorders>
              <w:top w:val="nil"/>
              <w:bottom w:val="nil"/>
            </w:tcBorders>
          </w:tcPr>
          <w:p w14:paraId="0066F8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3.依各項作業之控制重點訂定內部稽核作業，其作業內容應力求表格化，俾利稽核、追蹤及考評。</w:t>
            </w:r>
          </w:p>
        </w:tc>
        <w:tc>
          <w:tcPr>
            <w:tcW w:w="5387" w:type="dxa"/>
            <w:tcBorders>
              <w:top w:val="nil"/>
              <w:bottom w:val="nil"/>
            </w:tcBorders>
          </w:tcPr>
          <w:p w14:paraId="09454D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3.依各項作業之控制重點訂定內部稽核作業，其作業內容應力求表格化，俾利稽核、追蹤及考評。</w:t>
            </w:r>
          </w:p>
        </w:tc>
        <w:tc>
          <w:tcPr>
            <w:tcW w:w="2023" w:type="dxa"/>
            <w:vMerge/>
            <w:tcBorders>
              <w:right w:val="single" w:sz="12" w:space="0" w:color="auto"/>
            </w:tcBorders>
          </w:tcPr>
          <w:p w14:paraId="42B179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7E6652" w14:textId="77777777">
        <w:tc>
          <w:tcPr>
            <w:tcW w:w="1384" w:type="dxa"/>
            <w:vMerge/>
            <w:tcBorders>
              <w:left w:val="single" w:sz="12" w:space="0" w:color="auto"/>
            </w:tcBorders>
          </w:tcPr>
          <w:p w14:paraId="0380AF56" w14:textId="77777777" w:rsidR="003B3105" w:rsidRDefault="003B3105" w:rsidP="001E533B">
            <w:pPr>
              <w:rPr>
                <w:rFonts w:ascii="新細明體" w:eastAsia="新細明體" w:hAnsi="新細明體"/>
              </w:rPr>
            </w:pPr>
          </w:p>
        </w:tc>
        <w:tc>
          <w:tcPr>
            <w:tcW w:w="1276" w:type="dxa"/>
            <w:vMerge/>
          </w:tcPr>
          <w:p w14:paraId="7AD32837" w14:textId="77777777" w:rsidR="003B3105" w:rsidRDefault="003B3105" w:rsidP="001E533B">
            <w:pPr>
              <w:rPr>
                <w:rFonts w:ascii="新細明體" w:eastAsia="新細明體" w:hAnsi="新細明體"/>
              </w:rPr>
            </w:pPr>
          </w:p>
        </w:tc>
        <w:tc>
          <w:tcPr>
            <w:tcW w:w="5386" w:type="dxa"/>
            <w:tcBorders>
              <w:top w:val="nil"/>
              <w:bottom w:val="nil"/>
            </w:tcBorders>
          </w:tcPr>
          <w:p w14:paraId="11BACC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(三)內部稽核實施細則至少應包括下列項目：</w:t>
            </w:r>
          </w:p>
        </w:tc>
        <w:tc>
          <w:tcPr>
            <w:tcW w:w="5387" w:type="dxa"/>
            <w:tcBorders>
              <w:top w:val="nil"/>
              <w:bottom w:val="nil"/>
            </w:tcBorders>
          </w:tcPr>
          <w:p w14:paraId="4634E0A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(三)內部稽核實施細則至少應包括下列項目：</w:t>
            </w:r>
          </w:p>
        </w:tc>
        <w:tc>
          <w:tcPr>
            <w:tcW w:w="2023" w:type="dxa"/>
            <w:vMerge/>
            <w:tcBorders>
              <w:right w:val="single" w:sz="12" w:space="0" w:color="auto"/>
            </w:tcBorders>
          </w:tcPr>
          <w:p w14:paraId="759C47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7C9393" w14:textId="77777777">
        <w:tc>
          <w:tcPr>
            <w:tcW w:w="1384" w:type="dxa"/>
            <w:vMerge/>
            <w:tcBorders>
              <w:left w:val="single" w:sz="12" w:space="0" w:color="auto"/>
            </w:tcBorders>
          </w:tcPr>
          <w:p w14:paraId="17281AB4" w14:textId="77777777" w:rsidR="003B3105" w:rsidRDefault="003B3105" w:rsidP="001E533B">
            <w:pPr>
              <w:rPr>
                <w:rFonts w:ascii="新細明體" w:eastAsia="新細明體" w:hAnsi="新細明體"/>
              </w:rPr>
            </w:pPr>
          </w:p>
        </w:tc>
        <w:tc>
          <w:tcPr>
            <w:tcW w:w="1276" w:type="dxa"/>
            <w:vMerge/>
          </w:tcPr>
          <w:p w14:paraId="789526BB" w14:textId="77777777" w:rsidR="003B3105" w:rsidRDefault="003B3105" w:rsidP="001E533B">
            <w:pPr>
              <w:rPr>
                <w:rFonts w:ascii="新細明體" w:eastAsia="新細明體" w:hAnsi="新細明體"/>
              </w:rPr>
            </w:pPr>
          </w:p>
        </w:tc>
        <w:tc>
          <w:tcPr>
            <w:tcW w:w="5386" w:type="dxa"/>
            <w:tcBorders>
              <w:top w:val="nil"/>
              <w:bottom w:val="nil"/>
            </w:tcBorders>
          </w:tcPr>
          <w:p w14:paraId="0CFBCEB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1.對內部控制制度進行檢查，以衡量現行政策、程序之有效性及遵循程度與其對各項營運活動之影響。</w:t>
            </w:r>
          </w:p>
        </w:tc>
        <w:tc>
          <w:tcPr>
            <w:tcW w:w="5387" w:type="dxa"/>
            <w:tcBorders>
              <w:top w:val="nil"/>
              <w:bottom w:val="nil"/>
            </w:tcBorders>
          </w:tcPr>
          <w:p w14:paraId="33371D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1.對內部控制制度進行檢查，以衡量現行政策、程序之有效性及遵循程度與其對各項營運活動之影響。</w:t>
            </w:r>
          </w:p>
        </w:tc>
        <w:tc>
          <w:tcPr>
            <w:tcW w:w="2023" w:type="dxa"/>
            <w:vMerge/>
            <w:tcBorders>
              <w:right w:val="single" w:sz="12" w:space="0" w:color="auto"/>
            </w:tcBorders>
          </w:tcPr>
          <w:p w14:paraId="647E0B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561556" w14:textId="77777777">
        <w:tc>
          <w:tcPr>
            <w:tcW w:w="1384" w:type="dxa"/>
            <w:vMerge/>
            <w:tcBorders>
              <w:left w:val="single" w:sz="12" w:space="0" w:color="auto"/>
            </w:tcBorders>
          </w:tcPr>
          <w:p w14:paraId="103651E9" w14:textId="77777777" w:rsidR="003B3105" w:rsidRDefault="003B3105" w:rsidP="001E533B">
            <w:pPr>
              <w:rPr>
                <w:rFonts w:ascii="新細明體" w:eastAsia="新細明體" w:hAnsi="新細明體"/>
              </w:rPr>
            </w:pPr>
          </w:p>
        </w:tc>
        <w:tc>
          <w:tcPr>
            <w:tcW w:w="1276" w:type="dxa"/>
            <w:vMerge/>
          </w:tcPr>
          <w:p w14:paraId="0EF11384" w14:textId="77777777" w:rsidR="003B3105" w:rsidRDefault="003B3105" w:rsidP="001E533B">
            <w:pPr>
              <w:rPr>
                <w:rFonts w:ascii="新細明體" w:eastAsia="新細明體" w:hAnsi="新細明體"/>
              </w:rPr>
            </w:pPr>
          </w:p>
        </w:tc>
        <w:tc>
          <w:tcPr>
            <w:tcW w:w="5386" w:type="dxa"/>
            <w:tcBorders>
              <w:top w:val="nil"/>
              <w:bottom w:val="nil"/>
            </w:tcBorders>
          </w:tcPr>
          <w:p w14:paraId="5186677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2.釐定稽核項目、時間、程序及方法。</w:t>
            </w:r>
          </w:p>
        </w:tc>
        <w:tc>
          <w:tcPr>
            <w:tcW w:w="5387" w:type="dxa"/>
            <w:tcBorders>
              <w:top w:val="nil"/>
              <w:bottom w:val="nil"/>
            </w:tcBorders>
          </w:tcPr>
          <w:p w14:paraId="2C3B7EF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2.釐定稽核項目、時間、程序及方法。</w:t>
            </w:r>
          </w:p>
        </w:tc>
        <w:tc>
          <w:tcPr>
            <w:tcW w:w="2023" w:type="dxa"/>
            <w:vMerge/>
            <w:tcBorders>
              <w:right w:val="single" w:sz="12" w:space="0" w:color="auto"/>
            </w:tcBorders>
          </w:tcPr>
          <w:p w14:paraId="0182C1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05837B" w14:textId="77777777">
        <w:tc>
          <w:tcPr>
            <w:tcW w:w="1384" w:type="dxa"/>
            <w:vMerge/>
            <w:tcBorders>
              <w:left w:val="single" w:sz="12" w:space="0" w:color="auto"/>
            </w:tcBorders>
          </w:tcPr>
          <w:p w14:paraId="517D4A3A" w14:textId="77777777" w:rsidR="003B3105" w:rsidRDefault="003B3105" w:rsidP="001E533B">
            <w:pPr>
              <w:rPr>
                <w:rFonts w:ascii="新細明體" w:eastAsia="新細明體" w:hAnsi="新細明體"/>
              </w:rPr>
            </w:pPr>
          </w:p>
        </w:tc>
        <w:tc>
          <w:tcPr>
            <w:tcW w:w="1276" w:type="dxa"/>
            <w:vMerge/>
          </w:tcPr>
          <w:p w14:paraId="4E956B13" w14:textId="77777777" w:rsidR="003B3105" w:rsidRDefault="003B3105" w:rsidP="001E533B">
            <w:pPr>
              <w:rPr>
                <w:rFonts w:ascii="新細明體" w:eastAsia="新細明體" w:hAnsi="新細明體"/>
              </w:rPr>
            </w:pPr>
          </w:p>
        </w:tc>
        <w:tc>
          <w:tcPr>
            <w:tcW w:w="5386" w:type="dxa"/>
            <w:tcBorders>
              <w:top w:val="nil"/>
              <w:bottom w:val="nil"/>
            </w:tcBorders>
          </w:tcPr>
          <w:p w14:paraId="55398B8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十、內部稽核目的及組織編制：</w:t>
            </w:r>
          </w:p>
        </w:tc>
        <w:tc>
          <w:tcPr>
            <w:tcW w:w="5387" w:type="dxa"/>
            <w:tcBorders>
              <w:top w:val="nil"/>
              <w:bottom w:val="nil"/>
            </w:tcBorders>
          </w:tcPr>
          <w:p w14:paraId="1BAA626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十、內部稽核目的及組織編制：</w:t>
            </w:r>
          </w:p>
        </w:tc>
        <w:tc>
          <w:tcPr>
            <w:tcW w:w="2023" w:type="dxa"/>
            <w:vMerge/>
            <w:tcBorders>
              <w:right w:val="single" w:sz="12" w:space="0" w:color="auto"/>
            </w:tcBorders>
          </w:tcPr>
          <w:p w14:paraId="728EEC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33FD24" w14:textId="77777777">
        <w:tc>
          <w:tcPr>
            <w:tcW w:w="1384" w:type="dxa"/>
            <w:vMerge/>
            <w:tcBorders>
              <w:left w:val="single" w:sz="12" w:space="0" w:color="auto"/>
            </w:tcBorders>
          </w:tcPr>
          <w:p w14:paraId="1E91E944" w14:textId="77777777" w:rsidR="003B3105" w:rsidRDefault="003B3105" w:rsidP="001E533B">
            <w:pPr>
              <w:rPr>
                <w:rFonts w:ascii="新細明體" w:eastAsia="新細明體" w:hAnsi="新細明體"/>
              </w:rPr>
            </w:pPr>
          </w:p>
        </w:tc>
        <w:tc>
          <w:tcPr>
            <w:tcW w:w="1276" w:type="dxa"/>
            <w:vMerge/>
          </w:tcPr>
          <w:p w14:paraId="5EAE989D" w14:textId="77777777" w:rsidR="003B3105" w:rsidRDefault="003B3105" w:rsidP="001E533B">
            <w:pPr>
              <w:rPr>
                <w:rFonts w:ascii="新細明體" w:eastAsia="新細明體" w:hAnsi="新細明體"/>
              </w:rPr>
            </w:pPr>
          </w:p>
        </w:tc>
        <w:tc>
          <w:tcPr>
            <w:tcW w:w="5386" w:type="dxa"/>
            <w:tcBorders>
              <w:top w:val="nil"/>
              <w:bottom w:val="nil"/>
            </w:tcBorders>
          </w:tcPr>
          <w:p w14:paraId="6B21A0B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內部稽核之目的，在於協助董事會及經理人檢查及覆核內部控制制度之缺失及衡量營運之效果及效率，並適時提供改進建議，以確保內部控制制度得以持續有效實施及作為檢討修正內部控制制度之依據。</w:t>
            </w:r>
          </w:p>
        </w:tc>
        <w:tc>
          <w:tcPr>
            <w:tcW w:w="5387" w:type="dxa"/>
            <w:tcBorders>
              <w:top w:val="nil"/>
              <w:bottom w:val="nil"/>
            </w:tcBorders>
          </w:tcPr>
          <w:p w14:paraId="04206D79"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內部稽核之目的，在於協助董事會及經理人檢查及覆核內部控制制度之缺失及衡量營運之效果及效率，並適時提供改進建議，以確保內部控制制度得以持續有效實施及作為檢討修正內部控制制度之依據。</w:t>
            </w:r>
          </w:p>
        </w:tc>
        <w:tc>
          <w:tcPr>
            <w:tcW w:w="2023" w:type="dxa"/>
            <w:vMerge/>
            <w:tcBorders>
              <w:right w:val="single" w:sz="12" w:space="0" w:color="auto"/>
            </w:tcBorders>
          </w:tcPr>
          <w:p w14:paraId="6B1463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EE0AB5" w14:textId="77777777">
        <w:tc>
          <w:tcPr>
            <w:tcW w:w="1384" w:type="dxa"/>
            <w:vMerge/>
            <w:tcBorders>
              <w:left w:val="single" w:sz="12" w:space="0" w:color="auto"/>
            </w:tcBorders>
          </w:tcPr>
          <w:p w14:paraId="4D82FD5B" w14:textId="77777777" w:rsidR="003B3105" w:rsidRDefault="003B3105" w:rsidP="001E533B">
            <w:pPr>
              <w:rPr>
                <w:rFonts w:ascii="新細明體" w:eastAsia="新細明體" w:hAnsi="新細明體"/>
              </w:rPr>
            </w:pPr>
          </w:p>
        </w:tc>
        <w:tc>
          <w:tcPr>
            <w:tcW w:w="1276" w:type="dxa"/>
            <w:vMerge/>
          </w:tcPr>
          <w:p w14:paraId="353E7D80" w14:textId="77777777" w:rsidR="003B3105" w:rsidRDefault="003B3105" w:rsidP="001E533B">
            <w:pPr>
              <w:rPr>
                <w:rFonts w:ascii="新細明體" w:eastAsia="新細明體" w:hAnsi="新細明體"/>
              </w:rPr>
            </w:pPr>
          </w:p>
        </w:tc>
        <w:tc>
          <w:tcPr>
            <w:tcW w:w="5386" w:type="dxa"/>
            <w:tcBorders>
              <w:top w:val="nil"/>
              <w:bottom w:val="nil"/>
            </w:tcBorders>
          </w:tcPr>
          <w:p w14:paraId="3961717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公司應設置隸屬於董事會之內部稽核單</w:t>
            </w:r>
            <w:r>
              <w:rPr>
                <w:rFonts w:ascii="新細明體" w:eastAsia="新細明體" w:hAnsi="新細明體" w:cs="新細明體" w:hint="eastAsia"/>
              </w:rPr>
              <w:lastRenderedPageBreak/>
              <w:t>位，並依規模、業務狀況及管理需要，</w:t>
            </w:r>
            <w:r>
              <w:rPr>
                <w:rFonts w:ascii="新細明體" w:eastAsia="新細明體" w:hAnsi="新細明體" w:cs="新細明體" w:hint="eastAsia"/>
                <w:b/>
                <w:color w:val="FF0000"/>
                <w:u w:val="single"/>
              </w:rPr>
              <w:t>暨主管機關114年9月2日金管證券字第1140346348號令，</w:t>
            </w:r>
            <w:r>
              <w:rPr>
                <w:rFonts w:ascii="新細明體" w:eastAsia="新細明體" w:hAnsi="新細明體" w:cs="新細明體" w:hint="eastAsia"/>
              </w:rPr>
              <w:t>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5387" w:type="dxa"/>
            <w:tcBorders>
              <w:top w:val="nil"/>
              <w:bottom w:val="nil"/>
            </w:tcBorders>
          </w:tcPr>
          <w:p w14:paraId="6A4BA804"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公司應設置隸屬於董事會之內部稽核單</w:t>
            </w:r>
            <w:r>
              <w:rPr>
                <w:rFonts w:ascii="新細明體" w:eastAsia="新細明體" w:hAnsi="新細明體" w:cs="新細明體" w:hint="eastAsia"/>
              </w:rPr>
              <w:lastRenderedPageBreak/>
              <w:t>位，並依規模、業務狀況及管理需要，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2023" w:type="dxa"/>
            <w:vMerge/>
            <w:tcBorders>
              <w:right w:val="single" w:sz="12" w:space="0" w:color="auto"/>
            </w:tcBorders>
          </w:tcPr>
          <w:p w14:paraId="737998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7F72EC" w14:textId="77777777">
        <w:tc>
          <w:tcPr>
            <w:tcW w:w="1384" w:type="dxa"/>
            <w:vMerge/>
            <w:tcBorders>
              <w:left w:val="single" w:sz="12" w:space="0" w:color="auto"/>
            </w:tcBorders>
          </w:tcPr>
          <w:p w14:paraId="391D869D" w14:textId="77777777" w:rsidR="003B3105" w:rsidRDefault="003B3105" w:rsidP="001E533B">
            <w:pPr>
              <w:rPr>
                <w:rFonts w:ascii="新細明體" w:eastAsia="新細明體" w:hAnsi="新細明體"/>
              </w:rPr>
            </w:pPr>
          </w:p>
        </w:tc>
        <w:tc>
          <w:tcPr>
            <w:tcW w:w="1276" w:type="dxa"/>
            <w:vMerge/>
          </w:tcPr>
          <w:p w14:paraId="3CC20C1A" w14:textId="77777777" w:rsidR="003B3105" w:rsidRDefault="003B3105" w:rsidP="001E533B">
            <w:pPr>
              <w:rPr>
                <w:rFonts w:ascii="新細明體" w:eastAsia="新細明體" w:hAnsi="新細明體"/>
              </w:rPr>
            </w:pPr>
          </w:p>
        </w:tc>
        <w:tc>
          <w:tcPr>
            <w:tcW w:w="5386" w:type="dxa"/>
            <w:tcBorders>
              <w:top w:val="nil"/>
              <w:bottom w:val="nil"/>
            </w:tcBorders>
          </w:tcPr>
          <w:p w14:paraId="7B571DD4"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內部稽核單位之人事任用、免職、升遷、獎懲、輪調及考核等，應由稽核主管簽報，報經董事長核定後辦理。但涉及其他管理、營業單位人事者，應事先洽商人事單位轉報總經理同意後，再行簽報董事長核定。</w:t>
            </w:r>
          </w:p>
        </w:tc>
        <w:tc>
          <w:tcPr>
            <w:tcW w:w="5387" w:type="dxa"/>
            <w:tcBorders>
              <w:top w:val="nil"/>
              <w:bottom w:val="nil"/>
            </w:tcBorders>
          </w:tcPr>
          <w:p w14:paraId="58204CC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內部稽核單位之人事任用、免職、升遷、獎懲、輪調及考核等，應由稽核主管簽報，報經董事長核定後辦理。但涉及其他管理、營業單位人事者，應事先洽商人事單位轉報總經理同意後，再行簽報董事長核定。</w:t>
            </w:r>
          </w:p>
        </w:tc>
        <w:tc>
          <w:tcPr>
            <w:tcW w:w="2023" w:type="dxa"/>
            <w:vMerge/>
            <w:tcBorders>
              <w:right w:val="single" w:sz="12" w:space="0" w:color="auto"/>
            </w:tcBorders>
          </w:tcPr>
          <w:p w14:paraId="6A2EEE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EE277C" w14:textId="77777777">
        <w:tc>
          <w:tcPr>
            <w:tcW w:w="1384" w:type="dxa"/>
            <w:vMerge/>
            <w:tcBorders>
              <w:left w:val="single" w:sz="12" w:space="0" w:color="auto"/>
            </w:tcBorders>
          </w:tcPr>
          <w:p w14:paraId="25688ED8" w14:textId="77777777" w:rsidR="003B3105" w:rsidRDefault="003B3105" w:rsidP="001E533B">
            <w:pPr>
              <w:rPr>
                <w:rFonts w:ascii="新細明體" w:eastAsia="新細明體" w:hAnsi="新細明體"/>
              </w:rPr>
            </w:pPr>
          </w:p>
        </w:tc>
        <w:tc>
          <w:tcPr>
            <w:tcW w:w="1276" w:type="dxa"/>
            <w:vMerge/>
          </w:tcPr>
          <w:p w14:paraId="373CB668" w14:textId="77777777" w:rsidR="003B3105" w:rsidRDefault="003B3105" w:rsidP="001E533B">
            <w:pPr>
              <w:rPr>
                <w:rFonts w:ascii="新細明體" w:eastAsia="新細明體" w:hAnsi="新細明體"/>
              </w:rPr>
            </w:pPr>
          </w:p>
        </w:tc>
        <w:tc>
          <w:tcPr>
            <w:tcW w:w="5386" w:type="dxa"/>
            <w:tcBorders>
              <w:top w:val="nil"/>
              <w:bottom w:val="nil"/>
            </w:tcBorders>
          </w:tcPr>
          <w:p w14:paraId="2F2E87A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公司派駐分支機構之專任稽核人員不得由分公司考核。</w:t>
            </w:r>
          </w:p>
        </w:tc>
        <w:tc>
          <w:tcPr>
            <w:tcW w:w="5387" w:type="dxa"/>
            <w:tcBorders>
              <w:top w:val="nil"/>
              <w:bottom w:val="nil"/>
            </w:tcBorders>
          </w:tcPr>
          <w:p w14:paraId="2715E8C8"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公司派駐分支機構之專任稽核人員不得由分公司考核。</w:t>
            </w:r>
          </w:p>
        </w:tc>
        <w:tc>
          <w:tcPr>
            <w:tcW w:w="2023" w:type="dxa"/>
            <w:vMerge/>
            <w:tcBorders>
              <w:right w:val="single" w:sz="12" w:space="0" w:color="auto"/>
            </w:tcBorders>
          </w:tcPr>
          <w:p w14:paraId="0E900A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54FD47" w14:textId="77777777">
        <w:tc>
          <w:tcPr>
            <w:tcW w:w="1384" w:type="dxa"/>
            <w:vMerge/>
            <w:tcBorders>
              <w:left w:val="single" w:sz="12" w:space="0" w:color="auto"/>
            </w:tcBorders>
          </w:tcPr>
          <w:p w14:paraId="396D98FD" w14:textId="77777777" w:rsidR="003B3105" w:rsidRDefault="003B3105" w:rsidP="001E533B">
            <w:pPr>
              <w:rPr>
                <w:rFonts w:ascii="新細明體" w:eastAsia="新細明體" w:hAnsi="新細明體"/>
              </w:rPr>
            </w:pPr>
          </w:p>
        </w:tc>
        <w:tc>
          <w:tcPr>
            <w:tcW w:w="1276" w:type="dxa"/>
            <w:vMerge/>
          </w:tcPr>
          <w:p w14:paraId="3C92ECB0" w14:textId="77777777" w:rsidR="003B3105" w:rsidRDefault="003B3105" w:rsidP="001E533B">
            <w:pPr>
              <w:rPr>
                <w:rFonts w:ascii="新細明體" w:eastAsia="新細明體" w:hAnsi="新細明體"/>
              </w:rPr>
            </w:pPr>
          </w:p>
        </w:tc>
        <w:tc>
          <w:tcPr>
            <w:tcW w:w="5386" w:type="dxa"/>
            <w:tcBorders>
              <w:top w:val="nil"/>
              <w:bottom w:val="nil"/>
            </w:tcBorders>
          </w:tcPr>
          <w:p w14:paraId="6B8F00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十一、內部稽核作業適用範圍：</w:t>
            </w:r>
          </w:p>
        </w:tc>
        <w:tc>
          <w:tcPr>
            <w:tcW w:w="5387" w:type="dxa"/>
            <w:tcBorders>
              <w:top w:val="nil"/>
              <w:bottom w:val="nil"/>
            </w:tcBorders>
          </w:tcPr>
          <w:p w14:paraId="680FD2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十一、內部稽核作業適用範圍：</w:t>
            </w:r>
          </w:p>
        </w:tc>
        <w:tc>
          <w:tcPr>
            <w:tcW w:w="2023" w:type="dxa"/>
            <w:vMerge/>
            <w:tcBorders>
              <w:right w:val="single" w:sz="12" w:space="0" w:color="auto"/>
            </w:tcBorders>
          </w:tcPr>
          <w:p w14:paraId="420F2D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92EA5B" w14:textId="77777777">
        <w:tc>
          <w:tcPr>
            <w:tcW w:w="1384" w:type="dxa"/>
            <w:vMerge/>
            <w:tcBorders>
              <w:left w:val="single" w:sz="12" w:space="0" w:color="auto"/>
            </w:tcBorders>
          </w:tcPr>
          <w:p w14:paraId="66857D8F" w14:textId="77777777" w:rsidR="003B3105" w:rsidRDefault="003B3105" w:rsidP="001E533B">
            <w:pPr>
              <w:rPr>
                <w:rFonts w:ascii="新細明體" w:eastAsia="新細明體" w:hAnsi="新細明體"/>
              </w:rPr>
            </w:pPr>
          </w:p>
        </w:tc>
        <w:tc>
          <w:tcPr>
            <w:tcW w:w="1276" w:type="dxa"/>
            <w:vMerge/>
          </w:tcPr>
          <w:p w14:paraId="2A2EBEF4" w14:textId="77777777" w:rsidR="003B3105" w:rsidRDefault="003B3105" w:rsidP="001E533B">
            <w:pPr>
              <w:rPr>
                <w:rFonts w:ascii="新細明體" w:eastAsia="新細明體" w:hAnsi="新細明體"/>
              </w:rPr>
            </w:pPr>
          </w:p>
        </w:tc>
        <w:tc>
          <w:tcPr>
            <w:tcW w:w="5386" w:type="dxa"/>
            <w:tcBorders>
              <w:top w:val="nil"/>
              <w:bottom w:val="nil"/>
            </w:tcBorders>
          </w:tcPr>
          <w:p w14:paraId="5E604E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(一)公司稽核人員辦理稽核事宜，依公司內</w:t>
            </w:r>
            <w:r>
              <w:rPr>
                <w:rFonts w:ascii="新細明體" w:eastAsia="新細明體" w:hAnsi="新細明體" w:cs="新細明體" w:hint="eastAsia"/>
              </w:rPr>
              <w:lastRenderedPageBreak/>
              <w:t>部控制制度規定辦理。</w:t>
            </w:r>
          </w:p>
        </w:tc>
        <w:tc>
          <w:tcPr>
            <w:tcW w:w="5387" w:type="dxa"/>
            <w:tcBorders>
              <w:top w:val="nil"/>
              <w:bottom w:val="nil"/>
            </w:tcBorders>
          </w:tcPr>
          <w:p w14:paraId="2FB4AA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(一)公司稽核人員辦理稽核事宜，依公司內</w:t>
            </w:r>
            <w:r>
              <w:rPr>
                <w:rFonts w:ascii="新細明體" w:eastAsia="新細明體" w:hAnsi="新細明體" w:cs="新細明體" w:hint="eastAsia"/>
              </w:rPr>
              <w:lastRenderedPageBreak/>
              <w:t>部控制制度規定辦理。</w:t>
            </w:r>
          </w:p>
        </w:tc>
        <w:tc>
          <w:tcPr>
            <w:tcW w:w="2023" w:type="dxa"/>
            <w:vMerge/>
            <w:tcBorders>
              <w:right w:val="single" w:sz="12" w:space="0" w:color="auto"/>
            </w:tcBorders>
          </w:tcPr>
          <w:p w14:paraId="4109B5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7241D9" w14:textId="77777777">
        <w:tc>
          <w:tcPr>
            <w:tcW w:w="1384" w:type="dxa"/>
            <w:vMerge/>
            <w:tcBorders>
              <w:left w:val="single" w:sz="12" w:space="0" w:color="auto"/>
            </w:tcBorders>
          </w:tcPr>
          <w:p w14:paraId="1B355D55" w14:textId="77777777" w:rsidR="003B3105" w:rsidRDefault="003B3105" w:rsidP="001E533B">
            <w:pPr>
              <w:rPr>
                <w:rFonts w:ascii="新細明體" w:eastAsia="新細明體" w:hAnsi="新細明體"/>
              </w:rPr>
            </w:pPr>
          </w:p>
        </w:tc>
        <w:tc>
          <w:tcPr>
            <w:tcW w:w="1276" w:type="dxa"/>
            <w:vMerge/>
          </w:tcPr>
          <w:p w14:paraId="694A492A" w14:textId="77777777" w:rsidR="003B3105" w:rsidRDefault="003B3105" w:rsidP="001E533B">
            <w:pPr>
              <w:rPr>
                <w:rFonts w:ascii="新細明體" w:eastAsia="新細明體" w:hAnsi="新細明體"/>
              </w:rPr>
            </w:pPr>
          </w:p>
        </w:tc>
        <w:tc>
          <w:tcPr>
            <w:tcW w:w="5386" w:type="dxa"/>
            <w:tcBorders>
              <w:top w:val="nil"/>
              <w:bottom w:val="nil"/>
            </w:tcBorders>
          </w:tcPr>
          <w:p w14:paraId="61E5AE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(二)內部稽核工作執行範圍包括公司各單位及所屬分支機構。</w:t>
            </w:r>
          </w:p>
        </w:tc>
        <w:tc>
          <w:tcPr>
            <w:tcW w:w="5387" w:type="dxa"/>
            <w:tcBorders>
              <w:top w:val="nil"/>
              <w:bottom w:val="nil"/>
            </w:tcBorders>
          </w:tcPr>
          <w:p w14:paraId="43620B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(二)內部稽核工作執行範圍包括公司各單位及所屬分支機構。</w:t>
            </w:r>
          </w:p>
        </w:tc>
        <w:tc>
          <w:tcPr>
            <w:tcW w:w="2023" w:type="dxa"/>
            <w:vMerge/>
            <w:tcBorders>
              <w:right w:val="single" w:sz="12" w:space="0" w:color="auto"/>
            </w:tcBorders>
          </w:tcPr>
          <w:p w14:paraId="23568D2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E0A575" w14:textId="77777777">
        <w:tc>
          <w:tcPr>
            <w:tcW w:w="1384" w:type="dxa"/>
            <w:vMerge/>
            <w:tcBorders>
              <w:left w:val="single" w:sz="12" w:space="0" w:color="auto"/>
            </w:tcBorders>
          </w:tcPr>
          <w:p w14:paraId="1C550783" w14:textId="77777777" w:rsidR="003B3105" w:rsidRDefault="003B3105" w:rsidP="001E533B">
            <w:pPr>
              <w:rPr>
                <w:rFonts w:ascii="新細明體" w:eastAsia="新細明體" w:hAnsi="新細明體"/>
              </w:rPr>
            </w:pPr>
          </w:p>
        </w:tc>
        <w:tc>
          <w:tcPr>
            <w:tcW w:w="1276" w:type="dxa"/>
            <w:vMerge/>
          </w:tcPr>
          <w:p w14:paraId="050DF2BA" w14:textId="77777777" w:rsidR="003B3105" w:rsidRDefault="003B3105" w:rsidP="001E533B">
            <w:pPr>
              <w:rPr>
                <w:rFonts w:ascii="新細明體" w:eastAsia="新細明體" w:hAnsi="新細明體"/>
              </w:rPr>
            </w:pPr>
          </w:p>
        </w:tc>
        <w:tc>
          <w:tcPr>
            <w:tcW w:w="5386" w:type="dxa"/>
            <w:tcBorders>
              <w:top w:val="nil"/>
              <w:bottom w:val="nil"/>
            </w:tcBorders>
          </w:tcPr>
          <w:p w14:paraId="03257DA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(三)公司稽核人員辦理內部稽核工作，分定期及不定期二類，定期性稽核，由稽核人員依公司年度稽核計畫執行；不定期性稽核，由稽核人員依指示或業務需要辦理。</w:t>
            </w:r>
          </w:p>
        </w:tc>
        <w:tc>
          <w:tcPr>
            <w:tcW w:w="5387" w:type="dxa"/>
            <w:tcBorders>
              <w:top w:val="nil"/>
              <w:bottom w:val="nil"/>
            </w:tcBorders>
          </w:tcPr>
          <w:p w14:paraId="505205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(三)公司稽核人員辦理內部稽核工作，分定期及不定期二類，定期性稽核，由稽核人員依公司年度稽核計畫執行；不定期性稽核，由稽核人員依指示或業務需要辦理。</w:t>
            </w:r>
          </w:p>
        </w:tc>
        <w:tc>
          <w:tcPr>
            <w:tcW w:w="2023" w:type="dxa"/>
            <w:vMerge/>
            <w:tcBorders>
              <w:right w:val="single" w:sz="12" w:space="0" w:color="auto"/>
            </w:tcBorders>
          </w:tcPr>
          <w:p w14:paraId="75BCE6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F77108" w14:textId="77777777">
        <w:tc>
          <w:tcPr>
            <w:tcW w:w="1384" w:type="dxa"/>
            <w:vMerge/>
            <w:tcBorders>
              <w:left w:val="single" w:sz="12" w:space="0" w:color="auto"/>
            </w:tcBorders>
          </w:tcPr>
          <w:p w14:paraId="47386CD2" w14:textId="77777777" w:rsidR="003B3105" w:rsidRDefault="003B3105" w:rsidP="001E533B">
            <w:pPr>
              <w:rPr>
                <w:rFonts w:ascii="新細明體" w:eastAsia="新細明體" w:hAnsi="新細明體"/>
              </w:rPr>
            </w:pPr>
          </w:p>
        </w:tc>
        <w:tc>
          <w:tcPr>
            <w:tcW w:w="1276" w:type="dxa"/>
            <w:vMerge/>
          </w:tcPr>
          <w:p w14:paraId="5AB37CBE" w14:textId="77777777" w:rsidR="003B3105" w:rsidRDefault="003B3105" w:rsidP="001E533B">
            <w:pPr>
              <w:rPr>
                <w:rFonts w:ascii="新細明體" w:eastAsia="新細明體" w:hAnsi="新細明體"/>
              </w:rPr>
            </w:pPr>
          </w:p>
        </w:tc>
        <w:tc>
          <w:tcPr>
            <w:tcW w:w="5386" w:type="dxa"/>
            <w:tcBorders>
              <w:top w:val="nil"/>
              <w:bottom w:val="nil"/>
            </w:tcBorders>
          </w:tcPr>
          <w:p w14:paraId="32C577AA"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單位應依風險評估結果擬訂年度稽核計畫，據以評估公司之內部控制制度，並至少應將法令規章遵循事項、取得或處分資產、從事衍生性商品交易、為他人背書保證之管理及關係人交易之管理等重大財務業務行為之控制作業、對子公司之監督與管理、財務報表編製流程之管理（包括適用國際財務報導準則之管理、會計專業判斷程序、會計政策與估計值變動之流程等）、資通安全檢查、對金融消費者保護之管理等列為每年年度稽核計畫之稽核項目（股票公開發行之證券交易輔助人，尚應包括董事會議事運作之管理）。股票已上市或在證券商營業處所買賣之證券交易輔助人之每年年度稽核計畫，除應包括上開之稽核項目外，尚應包括薪資報酬委員會運作之管理。股票已上市或在證券商營業處所上櫃買賣之證券交易輔助人，其年度稽核計畫，應包括永</w:t>
            </w:r>
            <w:r>
              <w:rPr>
                <w:rFonts w:ascii="新細明體" w:eastAsia="新細明體" w:hAnsi="新細明體" w:cs="新細明體" w:hint="eastAsia"/>
              </w:rPr>
              <w:lastRenderedPageBreak/>
              <w:t>續資訊之管理。公司已依證券交易法規定設置審計委員會者，其年度稽核計畫，尚應包括審計委員會議事運作之管理。</w:t>
            </w:r>
          </w:p>
        </w:tc>
        <w:tc>
          <w:tcPr>
            <w:tcW w:w="5387" w:type="dxa"/>
            <w:tcBorders>
              <w:top w:val="nil"/>
              <w:bottom w:val="nil"/>
            </w:tcBorders>
          </w:tcPr>
          <w:p w14:paraId="5C8C8B2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內部稽核單位應依風險評估結果擬訂年度稽核計畫，據以評估公司之內部控制制度，並至少應將法令規章遵循事項、取得或處分資產、從事衍生性商品交易、為他人背書保證之管理及關係人交易之管理等重大財務業務行為之控制作業、對子公司之監督與管理、財務報表編製流程之管理（包括適用國際財務報導準則之管理、會計專業判斷程序、會計政策與估計值變動之流程等）、資通安全檢查、對金融消費者保護之管理等列為每年年度稽核計畫之稽核項目（股票公開發行之證券交易輔助人，尚應包括董事會議事運作之管理）。股票已上市或在證券商營業處所買賣之證券交易輔助人之每年年度稽核計畫，除應包括上開之稽核項目外，尚應包括薪資報酬委員會運作之管理。股票已上市或在證券商營業處所上櫃買賣之證券交易輔助人，其年度稽核計畫，應包括永</w:t>
            </w:r>
            <w:r>
              <w:rPr>
                <w:rFonts w:ascii="新細明體" w:eastAsia="新細明體" w:hAnsi="新細明體" w:cs="新細明體" w:hint="eastAsia"/>
              </w:rPr>
              <w:lastRenderedPageBreak/>
              <w:t>續資訊之管理。公司已依證券交易法規定設置審計委員會者，其年度稽核計畫，尚應包括審計委員會議事運作之管理。</w:t>
            </w:r>
          </w:p>
        </w:tc>
        <w:tc>
          <w:tcPr>
            <w:tcW w:w="2023" w:type="dxa"/>
            <w:vMerge/>
            <w:tcBorders>
              <w:right w:val="single" w:sz="12" w:space="0" w:color="auto"/>
            </w:tcBorders>
          </w:tcPr>
          <w:p w14:paraId="16C31B3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B35C3B" w14:textId="77777777">
        <w:tc>
          <w:tcPr>
            <w:tcW w:w="1384" w:type="dxa"/>
            <w:vMerge/>
            <w:tcBorders>
              <w:left w:val="single" w:sz="12" w:space="0" w:color="auto"/>
            </w:tcBorders>
          </w:tcPr>
          <w:p w14:paraId="10B82344" w14:textId="77777777" w:rsidR="003B3105" w:rsidRDefault="003B3105" w:rsidP="001E533B">
            <w:pPr>
              <w:rPr>
                <w:rFonts w:ascii="新細明體" w:eastAsia="新細明體" w:hAnsi="新細明體"/>
              </w:rPr>
            </w:pPr>
          </w:p>
        </w:tc>
        <w:tc>
          <w:tcPr>
            <w:tcW w:w="1276" w:type="dxa"/>
            <w:vMerge/>
          </w:tcPr>
          <w:p w14:paraId="032D95A3" w14:textId="77777777" w:rsidR="003B3105" w:rsidRDefault="003B3105" w:rsidP="001E533B">
            <w:pPr>
              <w:rPr>
                <w:rFonts w:ascii="新細明體" w:eastAsia="新細明體" w:hAnsi="新細明體"/>
              </w:rPr>
            </w:pPr>
          </w:p>
        </w:tc>
        <w:tc>
          <w:tcPr>
            <w:tcW w:w="5386" w:type="dxa"/>
            <w:tcBorders>
              <w:top w:val="nil"/>
              <w:bottom w:val="nil"/>
            </w:tcBorders>
          </w:tcPr>
          <w:p w14:paraId="06D24EF5"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年度稽核計畫應經董事會通過。已設立獨立董事者，將年度稽核計畫提報董事會討論時，應充分考量各獨立董事之意見，獨立董事如有反對意見或保留意見，應於董事會議事錄載明。</w:t>
            </w:r>
          </w:p>
        </w:tc>
        <w:tc>
          <w:tcPr>
            <w:tcW w:w="5387" w:type="dxa"/>
            <w:tcBorders>
              <w:top w:val="nil"/>
              <w:bottom w:val="nil"/>
            </w:tcBorders>
          </w:tcPr>
          <w:p w14:paraId="4D2BBE15"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年度稽核計畫應經董事會通過。已設立獨立董事者，將年度稽核計畫提報董事會討論時，應充分考量各獨立董事之意見，獨立董事如有反對意見或保留意見，應於董事會議事錄載明。</w:t>
            </w:r>
          </w:p>
        </w:tc>
        <w:tc>
          <w:tcPr>
            <w:tcW w:w="2023" w:type="dxa"/>
            <w:vMerge/>
            <w:tcBorders>
              <w:right w:val="single" w:sz="12" w:space="0" w:color="auto"/>
            </w:tcBorders>
          </w:tcPr>
          <w:p w14:paraId="22281B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005956" w14:textId="77777777">
        <w:tc>
          <w:tcPr>
            <w:tcW w:w="1384" w:type="dxa"/>
            <w:vMerge/>
            <w:tcBorders>
              <w:left w:val="single" w:sz="12" w:space="0" w:color="auto"/>
            </w:tcBorders>
          </w:tcPr>
          <w:p w14:paraId="36E62AC3" w14:textId="77777777" w:rsidR="003B3105" w:rsidRDefault="003B3105" w:rsidP="001E533B">
            <w:pPr>
              <w:rPr>
                <w:rFonts w:ascii="新細明體" w:eastAsia="新細明體" w:hAnsi="新細明體"/>
              </w:rPr>
            </w:pPr>
          </w:p>
        </w:tc>
        <w:tc>
          <w:tcPr>
            <w:tcW w:w="1276" w:type="dxa"/>
            <w:vMerge/>
          </w:tcPr>
          <w:p w14:paraId="370340E6" w14:textId="77777777" w:rsidR="003B3105" w:rsidRDefault="003B3105" w:rsidP="001E533B">
            <w:pPr>
              <w:rPr>
                <w:rFonts w:ascii="新細明體" w:eastAsia="新細明體" w:hAnsi="新細明體"/>
              </w:rPr>
            </w:pPr>
          </w:p>
        </w:tc>
        <w:tc>
          <w:tcPr>
            <w:tcW w:w="5386" w:type="dxa"/>
            <w:tcBorders>
              <w:top w:val="nil"/>
              <w:bottom w:val="nil"/>
            </w:tcBorders>
          </w:tcPr>
          <w:p w14:paraId="12DD8B0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公司應依證交所等證券機構所訂格式內容、方式及申報時間申報年度稽核計畫及其執行情形、所見異常事項改善情形。</w:t>
            </w:r>
          </w:p>
        </w:tc>
        <w:tc>
          <w:tcPr>
            <w:tcW w:w="5387" w:type="dxa"/>
            <w:tcBorders>
              <w:top w:val="nil"/>
              <w:bottom w:val="nil"/>
            </w:tcBorders>
          </w:tcPr>
          <w:p w14:paraId="582B4C5B"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公司應依證交所等證券機構所訂格式內容、方式及申報時間申報年度稽核計畫及其執行情形、所見異常事項改善情形。</w:t>
            </w:r>
          </w:p>
        </w:tc>
        <w:tc>
          <w:tcPr>
            <w:tcW w:w="2023" w:type="dxa"/>
            <w:vMerge/>
            <w:tcBorders>
              <w:right w:val="single" w:sz="12" w:space="0" w:color="auto"/>
            </w:tcBorders>
          </w:tcPr>
          <w:p w14:paraId="101D1D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BE6695" w14:textId="77777777">
        <w:tc>
          <w:tcPr>
            <w:tcW w:w="1384" w:type="dxa"/>
            <w:vMerge/>
            <w:tcBorders>
              <w:left w:val="single" w:sz="12" w:space="0" w:color="auto"/>
            </w:tcBorders>
          </w:tcPr>
          <w:p w14:paraId="507022CA" w14:textId="77777777" w:rsidR="003B3105" w:rsidRDefault="003B3105" w:rsidP="001E533B">
            <w:pPr>
              <w:rPr>
                <w:rFonts w:ascii="新細明體" w:eastAsia="新細明體" w:hAnsi="新細明體"/>
              </w:rPr>
            </w:pPr>
          </w:p>
        </w:tc>
        <w:tc>
          <w:tcPr>
            <w:tcW w:w="1276" w:type="dxa"/>
            <w:vMerge/>
          </w:tcPr>
          <w:p w14:paraId="78F38475" w14:textId="77777777" w:rsidR="003B3105" w:rsidRDefault="003B3105" w:rsidP="001E533B">
            <w:pPr>
              <w:rPr>
                <w:rFonts w:ascii="新細明體" w:eastAsia="新細明體" w:hAnsi="新細明體"/>
              </w:rPr>
            </w:pPr>
          </w:p>
        </w:tc>
        <w:tc>
          <w:tcPr>
            <w:tcW w:w="5386" w:type="dxa"/>
            <w:tcBorders>
              <w:top w:val="nil"/>
              <w:bottom w:val="nil"/>
            </w:tcBorders>
          </w:tcPr>
          <w:p w14:paraId="312D7D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(四)總公司應定期實地對分支機構督導查核其內部稽核作業，其作業週期係每半年對每家國內分支機構及每年對每家國外分支機構均至少查核乙次。</w:t>
            </w:r>
          </w:p>
        </w:tc>
        <w:tc>
          <w:tcPr>
            <w:tcW w:w="5387" w:type="dxa"/>
            <w:tcBorders>
              <w:top w:val="nil"/>
              <w:bottom w:val="nil"/>
            </w:tcBorders>
          </w:tcPr>
          <w:p w14:paraId="3946DB3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(四)總公司應定期實地對分支機構督導查核其內部稽核作業，其作業週期係每半年對每家國內分支機構及每年對每家國外分支機構均至少查核乙次。</w:t>
            </w:r>
          </w:p>
        </w:tc>
        <w:tc>
          <w:tcPr>
            <w:tcW w:w="2023" w:type="dxa"/>
            <w:vMerge/>
            <w:tcBorders>
              <w:right w:val="single" w:sz="12" w:space="0" w:color="auto"/>
            </w:tcBorders>
          </w:tcPr>
          <w:p w14:paraId="6E5520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E5880C" w14:textId="77777777">
        <w:tc>
          <w:tcPr>
            <w:tcW w:w="1384" w:type="dxa"/>
            <w:vMerge/>
            <w:tcBorders>
              <w:left w:val="single" w:sz="12" w:space="0" w:color="auto"/>
            </w:tcBorders>
          </w:tcPr>
          <w:p w14:paraId="6D723ED0" w14:textId="77777777" w:rsidR="003B3105" w:rsidRDefault="003B3105" w:rsidP="001E533B">
            <w:pPr>
              <w:rPr>
                <w:rFonts w:ascii="新細明體" w:eastAsia="新細明體" w:hAnsi="新細明體"/>
              </w:rPr>
            </w:pPr>
          </w:p>
        </w:tc>
        <w:tc>
          <w:tcPr>
            <w:tcW w:w="1276" w:type="dxa"/>
            <w:vMerge/>
          </w:tcPr>
          <w:p w14:paraId="52E0A5DA" w14:textId="77777777" w:rsidR="003B3105" w:rsidRDefault="003B3105" w:rsidP="001E533B">
            <w:pPr>
              <w:rPr>
                <w:rFonts w:ascii="新細明體" w:eastAsia="新細明體" w:hAnsi="新細明體"/>
              </w:rPr>
            </w:pPr>
          </w:p>
        </w:tc>
        <w:tc>
          <w:tcPr>
            <w:tcW w:w="5386" w:type="dxa"/>
            <w:tcBorders>
              <w:top w:val="nil"/>
              <w:bottom w:val="nil"/>
            </w:tcBorders>
          </w:tcPr>
          <w:p w14:paraId="0F47727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十二、內部稽核之職能：</w:t>
            </w:r>
          </w:p>
        </w:tc>
        <w:tc>
          <w:tcPr>
            <w:tcW w:w="5387" w:type="dxa"/>
            <w:tcBorders>
              <w:top w:val="nil"/>
              <w:bottom w:val="nil"/>
            </w:tcBorders>
          </w:tcPr>
          <w:p w14:paraId="42FE0F2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十二、內部稽核之職能：</w:t>
            </w:r>
          </w:p>
        </w:tc>
        <w:tc>
          <w:tcPr>
            <w:tcW w:w="2023" w:type="dxa"/>
            <w:vMerge/>
            <w:tcBorders>
              <w:right w:val="single" w:sz="12" w:space="0" w:color="auto"/>
            </w:tcBorders>
          </w:tcPr>
          <w:p w14:paraId="279804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4B6224" w14:textId="77777777">
        <w:tc>
          <w:tcPr>
            <w:tcW w:w="1384" w:type="dxa"/>
            <w:vMerge/>
            <w:tcBorders>
              <w:left w:val="single" w:sz="12" w:space="0" w:color="auto"/>
            </w:tcBorders>
          </w:tcPr>
          <w:p w14:paraId="39A0E956" w14:textId="77777777" w:rsidR="003B3105" w:rsidRDefault="003B3105" w:rsidP="001E533B">
            <w:pPr>
              <w:rPr>
                <w:rFonts w:ascii="新細明體" w:eastAsia="新細明體" w:hAnsi="新細明體"/>
              </w:rPr>
            </w:pPr>
          </w:p>
        </w:tc>
        <w:tc>
          <w:tcPr>
            <w:tcW w:w="1276" w:type="dxa"/>
            <w:vMerge/>
          </w:tcPr>
          <w:p w14:paraId="6D244BD3" w14:textId="77777777" w:rsidR="003B3105" w:rsidRDefault="003B3105" w:rsidP="001E533B">
            <w:pPr>
              <w:rPr>
                <w:rFonts w:ascii="新細明體" w:eastAsia="新細明體" w:hAnsi="新細明體"/>
              </w:rPr>
            </w:pPr>
          </w:p>
        </w:tc>
        <w:tc>
          <w:tcPr>
            <w:tcW w:w="5386" w:type="dxa"/>
            <w:tcBorders>
              <w:top w:val="nil"/>
              <w:bottom w:val="nil"/>
            </w:tcBorders>
          </w:tcPr>
          <w:p w14:paraId="247DD7B6"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內部稽核職能之目的及範圍通常包括用以評估並改善企業之治理、風險管理及內部控制流程有效性之確信及諮詢工作，該等工作例示如下：</w:t>
            </w:r>
          </w:p>
        </w:tc>
        <w:tc>
          <w:tcPr>
            <w:tcW w:w="5387" w:type="dxa"/>
            <w:tcBorders>
              <w:top w:val="nil"/>
              <w:bottom w:val="nil"/>
            </w:tcBorders>
          </w:tcPr>
          <w:p w14:paraId="0AC936E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內部稽核職能之目的及範圍通常包括用以評估並改善企業之治理、風險管理及內部控制流程有效性之確信及諮詢工作，該等工作例示如下：</w:t>
            </w:r>
          </w:p>
        </w:tc>
        <w:tc>
          <w:tcPr>
            <w:tcW w:w="2023" w:type="dxa"/>
            <w:vMerge/>
            <w:tcBorders>
              <w:right w:val="single" w:sz="12" w:space="0" w:color="auto"/>
            </w:tcBorders>
          </w:tcPr>
          <w:p w14:paraId="644C61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EC176D" w14:textId="77777777">
        <w:tc>
          <w:tcPr>
            <w:tcW w:w="1384" w:type="dxa"/>
            <w:vMerge/>
            <w:tcBorders>
              <w:left w:val="single" w:sz="12" w:space="0" w:color="auto"/>
            </w:tcBorders>
          </w:tcPr>
          <w:p w14:paraId="2400DF70" w14:textId="77777777" w:rsidR="003B3105" w:rsidRDefault="003B3105" w:rsidP="001E533B">
            <w:pPr>
              <w:rPr>
                <w:rFonts w:ascii="新細明體" w:eastAsia="新細明體" w:hAnsi="新細明體"/>
              </w:rPr>
            </w:pPr>
          </w:p>
        </w:tc>
        <w:tc>
          <w:tcPr>
            <w:tcW w:w="1276" w:type="dxa"/>
            <w:vMerge/>
          </w:tcPr>
          <w:p w14:paraId="508895CA" w14:textId="77777777" w:rsidR="003B3105" w:rsidRDefault="003B3105" w:rsidP="001E533B">
            <w:pPr>
              <w:rPr>
                <w:rFonts w:ascii="新細明體" w:eastAsia="新細明體" w:hAnsi="新細明體"/>
              </w:rPr>
            </w:pPr>
          </w:p>
        </w:tc>
        <w:tc>
          <w:tcPr>
            <w:tcW w:w="5386" w:type="dxa"/>
            <w:tcBorders>
              <w:top w:val="nil"/>
              <w:bottom w:val="nil"/>
            </w:tcBorders>
          </w:tcPr>
          <w:p w14:paraId="22E758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(一)與治理有關之工作：</w:t>
            </w:r>
          </w:p>
        </w:tc>
        <w:tc>
          <w:tcPr>
            <w:tcW w:w="5387" w:type="dxa"/>
            <w:tcBorders>
              <w:top w:val="nil"/>
              <w:bottom w:val="nil"/>
            </w:tcBorders>
          </w:tcPr>
          <w:p w14:paraId="204951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(一)與治理有關之工作：</w:t>
            </w:r>
          </w:p>
        </w:tc>
        <w:tc>
          <w:tcPr>
            <w:tcW w:w="2023" w:type="dxa"/>
            <w:vMerge/>
            <w:tcBorders>
              <w:right w:val="single" w:sz="12" w:space="0" w:color="auto"/>
            </w:tcBorders>
          </w:tcPr>
          <w:p w14:paraId="37D524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DA30CA" w14:textId="77777777">
        <w:tc>
          <w:tcPr>
            <w:tcW w:w="1384" w:type="dxa"/>
            <w:vMerge/>
            <w:tcBorders>
              <w:left w:val="single" w:sz="12" w:space="0" w:color="auto"/>
            </w:tcBorders>
          </w:tcPr>
          <w:p w14:paraId="2A4B74A2" w14:textId="77777777" w:rsidR="003B3105" w:rsidRDefault="003B3105" w:rsidP="001E533B">
            <w:pPr>
              <w:rPr>
                <w:rFonts w:ascii="新細明體" w:eastAsia="新細明體" w:hAnsi="新細明體"/>
              </w:rPr>
            </w:pPr>
          </w:p>
        </w:tc>
        <w:tc>
          <w:tcPr>
            <w:tcW w:w="1276" w:type="dxa"/>
            <w:vMerge/>
          </w:tcPr>
          <w:p w14:paraId="2BC641FF" w14:textId="77777777" w:rsidR="003B3105" w:rsidRDefault="003B3105" w:rsidP="001E533B">
            <w:pPr>
              <w:rPr>
                <w:rFonts w:ascii="新細明體" w:eastAsia="新細明體" w:hAnsi="新細明體"/>
              </w:rPr>
            </w:pPr>
          </w:p>
        </w:tc>
        <w:tc>
          <w:tcPr>
            <w:tcW w:w="5386" w:type="dxa"/>
            <w:tcBorders>
              <w:top w:val="nil"/>
              <w:bottom w:val="nil"/>
            </w:tcBorders>
          </w:tcPr>
          <w:p w14:paraId="6FDE90A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內部稽核職能可評估治理流程是否達成下列目標：</w:t>
            </w:r>
          </w:p>
        </w:tc>
        <w:tc>
          <w:tcPr>
            <w:tcW w:w="5387" w:type="dxa"/>
            <w:tcBorders>
              <w:top w:val="nil"/>
              <w:bottom w:val="nil"/>
            </w:tcBorders>
          </w:tcPr>
          <w:p w14:paraId="485F44C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內部稽核職能可評估治理流程是否達成下列目標：</w:t>
            </w:r>
          </w:p>
        </w:tc>
        <w:tc>
          <w:tcPr>
            <w:tcW w:w="2023" w:type="dxa"/>
            <w:vMerge/>
            <w:tcBorders>
              <w:right w:val="single" w:sz="12" w:space="0" w:color="auto"/>
            </w:tcBorders>
          </w:tcPr>
          <w:p w14:paraId="09DE93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5F0D08" w14:textId="77777777">
        <w:tc>
          <w:tcPr>
            <w:tcW w:w="1384" w:type="dxa"/>
            <w:vMerge/>
            <w:tcBorders>
              <w:left w:val="single" w:sz="12" w:space="0" w:color="auto"/>
            </w:tcBorders>
          </w:tcPr>
          <w:p w14:paraId="5F8E8A20" w14:textId="77777777" w:rsidR="003B3105" w:rsidRDefault="003B3105" w:rsidP="001E533B">
            <w:pPr>
              <w:rPr>
                <w:rFonts w:ascii="新細明體" w:eastAsia="新細明體" w:hAnsi="新細明體"/>
              </w:rPr>
            </w:pPr>
          </w:p>
        </w:tc>
        <w:tc>
          <w:tcPr>
            <w:tcW w:w="1276" w:type="dxa"/>
            <w:vMerge/>
          </w:tcPr>
          <w:p w14:paraId="7A55D82B" w14:textId="77777777" w:rsidR="003B3105" w:rsidRDefault="003B3105" w:rsidP="001E533B">
            <w:pPr>
              <w:rPr>
                <w:rFonts w:ascii="新細明體" w:eastAsia="新細明體" w:hAnsi="新細明體"/>
              </w:rPr>
            </w:pPr>
          </w:p>
        </w:tc>
        <w:tc>
          <w:tcPr>
            <w:tcW w:w="5386" w:type="dxa"/>
            <w:tcBorders>
              <w:top w:val="nil"/>
              <w:bottom w:val="nil"/>
            </w:tcBorders>
          </w:tcPr>
          <w:p w14:paraId="4A52F51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1.道德及價值。</w:t>
            </w:r>
          </w:p>
        </w:tc>
        <w:tc>
          <w:tcPr>
            <w:tcW w:w="5387" w:type="dxa"/>
            <w:tcBorders>
              <w:top w:val="nil"/>
              <w:bottom w:val="nil"/>
            </w:tcBorders>
          </w:tcPr>
          <w:p w14:paraId="6B9041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1.道德及價值。</w:t>
            </w:r>
          </w:p>
        </w:tc>
        <w:tc>
          <w:tcPr>
            <w:tcW w:w="2023" w:type="dxa"/>
            <w:vMerge/>
            <w:tcBorders>
              <w:right w:val="single" w:sz="12" w:space="0" w:color="auto"/>
            </w:tcBorders>
          </w:tcPr>
          <w:p w14:paraId="1840D6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A64650" w14:textId="77777777">
        <w:tc>
          <w:tcPr>
            <w:tcW w:w="1384" w:type="dxa"/>
            <w:vMerge/>
            <w:tcBorders>
              <w:left w:val="single" w:sz="12" w:space="0" w:color="auto"/>
            </w:tcBorders>
          </w:tcPr>
          <w:p w14:paraId="7B839A82" w14:textId="77777777" w:rsidR="003B3105" w:rsidRDefault="003B3105" w:rsidP="001E533B">
            <w:pPr>
              <w:rPr>
                <w:rFonts w:ascii="新細明體" w:eastAsia="新細明體" w:hAnsi="新細明體"/>
              </w:rPr>
            </w:pPr>
          </w:p>
        </w:tc>
        <w:tc>
          <w:tcPr>
            <w:tcW w:w="1276" w:type="dxa"/>
            <w:vMerge/>
          </w:tcPr>
          <w:p w14:paraId="02CB6CAF" w14:textId="77777777" w:rsidR="003B3105" w:rsidRDefault="003B3105" w:rsidP="001E533B">
            <w:pPr>
              <w:rPr>
                <w:rFonts w:ascii="新細明體" w:eastAsia="新細明體" w:hAnsi="新細明體"/>
              </w:rPr>
            </w:pPr>
          </w:p>
        </w:tc>
        <w:tc>
          <w:tcPr>
            <w:tcW w:w="5386" w:type="dxa"/>
            <w:tcBorders>
              <w:top w:val="nil"/>
              <w:bottom w:val="nil"/>
            </w:tcBorders>
          </w:tcPr>
          <w:p w14:paraId="511528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2.績效管理及課責性。</w:t>
            </w:r>
          </w:p>
        </w:tc>
        <w:tc>
          <w:tcPr>
            <w:tcW w:w="5387" w:type="dxa"/>
            <w:tcBorders>
              <w:top w:val="nil"/>
              <w:bottom w:val="nil"/>
            </w:tcBorders>
          </w:tcPr>
          <w:p w14:paraId="33AC6B3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2.績效管理及課責性。</w:t>
            </w:r>
          </w:p>
        </w:tc>
        <w:tc>
          <w:tcPr>
            <w:tcW w:w="2023" w:type="dxa"/>
            <w:vMerge/>
            <w:tcBorders>
              <w:right w:val="single" w:sz="12" w:space="0" w:color="auto"/>
            </w:tcBorders>
          </w:tcPr>
          <w:p w14:paraId="7899AD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4F8BAB" w14:textId="77777777">
        <w:tc>
          <w:tcPr>
            <w:tcW w:w="1384" w:type="dxa"/>
            <w:vMerge/>
            <w:tcBorders>
              <w:left w:val="single" w:sz="12" w:space="0" w:color="auto"/>
            </w:tcBorders>
          </w:tcPr>
          <w:p w14:paraId="17E442A8" w14:textId="77777777" w:rsidR="003B3105" w:rsidRDefault="003B3105" w:rsidP="001E533B">
            <w:pPr>
              <w:rPr>
                <w:rFonts w:ascii="新細明體" w:eastAsia="新細明體" w:hAnsi="新細明體"/>
              </w:rPr>
            </w:pPr>
          </w:p>
        </w:tc>
        <w:tc>
          <w:tcPr>
            <w:tcW w:w="1276" w:type="dxa"/>
            <w:vMerge/>
          </w:tcPr>
          <w:p w14:paraId="2ADDE779" w14:textId="77777777" w:rsidR="003B3105" w:rsidRDefault="003B3105" w:rsidP="001E533B">
            <w:pPr>
              <w:rPr>
                <w:rFonts w:ascii="新細明體" w:eastAsia="新細明體" w:hAnsi="新細明體"/>
              </w:rPr>
            </w:pPr>
          </w:p>
        </w:tc>
        <w:tc>
          <w:tcPr>
            <w:tcW w:w="5386" w:type="dxa"/>
            <w:tcBorders>
              <w:top w:val="nil"/>
              <w:bottom w:val="nil"/>
            </w:tcBorders>
          </w:tcPr>
          <w:p w14:paraId="1E05C8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3.告知組織之適當內部單位與風險及控制有關之資訊。</w:t>
            </w:r>
          </w:p>
        </w:tc>
        <w:tc>
          <w:tcPr>
            <w:tcW w:w="5387" w:type="dxa"/>
            <w:tcBorders>
              <w:top w:val="nil"/>
              <w:bottom w:val="nil"/>
            </w:tcBorders>
          </w:tcPr>
          <w:p w14:paraId="5EEAA6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3.告知組織之適當內部單位與風險及控制有關之資訊。</w:t>
            </w:r>
          </w:p>
        </w:tc>
        <w:tc>
          <w:tcPr>
            <w:tcW w:w="2023" w:type="dxa"/>
            <w:vMerge/>
            <w:tcBorders>
              <w:right w:val="single" w:sz="12" w:space="0" w:color="auto"/>
            </w:tcBorders>
          </w:tcPr>
          <w:p w14:paraId="6AF043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8716A0" w14:textId="77777777">
        <w:tc>
          <w:tcPr>
            <w:tcW w:w="1384" w:type="dxa"/>
            <w:vMerge/>
            <w:tcBorders>
              <w:left w:val="single" w:sz="12" w:space="0" w:color="auto"/>
            </w:tcBorders>
          </w:tcPr>
          <w:p w14:paraId="6CADEE2B" w14:textId="77777777" w:rsidR="003B3105" w:rsidRDefault="003B3105" w:rsidP="001E533B">
            <w:pPr>
              <w:rPr>
                <w:rFonts w:ascii="新細明體" w:eastAsia="新細明體" w:hAnsi="新細明體"/>
              </w:rPr>
            </w:pPr>
          </w:p>
        </w:tc>
        <w:tc>
          <w:tcPr>
            <w:tcW w:w="1276" w:type="dxa"/>
            <w:vMerge/>
          </w:tcPr>
          <w:p w14:paraId="6796D9A9" w14:textId="77777777" w:rsidR="003B3105" w:rsidRDefault="003B3105" w:rsidP="001E533B">
            <w:pPr>
              <w:rPr>
                <w:rFonts w:ascii="新細明體" w:eastAsia="新細明體" w:hAnsi="新細明體"/>
              </w:rPr>
            </w:pPr>
          </w:p>
        </w:tc>
        <w:tc>
          <w:tcPr>
            <w:tcW w:w="5386" w:type="dxa"/>
            <w:tcBorders>
              <w:top w:val="nil"/>
              <w:bottom w:val="nil"/>
            </w:tcBorders>
          </w:tcPr>
          <w:p w14:paraId="212913E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4.治理單位、查核人員、內部稽核人員與管理階層間之有效溝通。</w:t>
            </w:r>
          </w:p>
        </w:tc>
        <w:tc>
          <w:tcPr>
            <w:tcW w:w="5387" w:type="dxa"/>
            <w:tcBorders>
              <w:top w:val="nil"/>
              <w:bottom w:val="nil"/>
            </w:tcBorders>
          </w:tcPr>
          <w:p w14:paraId="3FEDEAF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4.治理單位、查核人員、內部稽核人員與管理階層間之有效溝通。</w:t>
            </w:r>
          </w:p>
        </w:tc>
        <w:tc>
          <w:tcPr>
            <w:tcW w:w="2023" w:type="dxa"/>
            <w:vMerge/>
            <w:tcBorders>
              <w:right w:val="single" w:sz="12" w:space="0" w:color="auto"/>
            </w:tcBorders>
          </w:tcPr>
          <w:p w14:paraId="255B38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AC8C2B" w14:textId="77777777">
        <w:tc>
          <w:tcPr>
            <w:tcW w:w="1384" w:type="dxa"/>
            <w:vMerge/>
            <w:tcBorders>
              <w:left w:val="single" w:sz="12" w:space="0" w:color="auto"/>
            </w:tcBorders>
          </w:tcPr>
          <w:p w14:paraId="547BD0C4" w14:textId="77777777" w:rsidR="003B3105" w:rsidRDefault="003B3105" w:rsidP="001E533B">
            <w:pPr>
              <w:rPr>
                <w:rFonts w:ascii="新細明體" w:eastAsia="新細明體" w:hAnsi="新細明體"/>
              </w:rPr>
            </w:pPr>
          </w:p>
        </w:tc>
        <w:tc>
          <w:tcPr>
            <w:tcW w:w="1276" w:type="dxa"/>
            <w:vMerge/>
          </w:tcPr>
          <w:p w14:paraId="2D04C479" w14:textId="77777777" w:rsidR="003B3105" w:rsidRDefault="003B3105" w:rsidP="001E533B">
            <w:pPr>
              <w:rPr>
                <w:rFonts w:ascii="新細明體" w:eastAsia="新細明體" w:hAnsi="新細明體"/>
              </w:rPr>
            </w:pPr>
          </w:p>
        </w:tc>
        <w:tc>
          <w:tcPr>
            <w:tcW w:w="5386" w:type="dxa"/>
            <w:tcBorders>
              <w:top w:val="nil"/>
              <w:bottom w:val="nil"/>
            </w:tcBorders>
          </w:tcPr>
          <w:p w14:paraId="2AF224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(二)與風險管理有關之工作：</w:t>
            </w:r>
          </w:p>
        </w:tc>
        <w:tc>
          <w:tcPr>
            <w:tcW w:w="5387" w:type="dxa"/>
            <w:tcBorders>
              <w:top w:val="nil"/>
              <w:bottom w:val="nil"/>
            </w:tcBorders>
          </w:tcPr>
          <w:p w14:paraId="26714A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(二)與風險管理有關之工作：</w:t>
            </w:r>
          </w:p>
        </w:tc>
        <w:tc>
          <w:tcPr>
            <w:tcW w:w="2023" w:type="dxa"/>
            <w:vMerge/>
            <w:tcBorders>
              <w:right w:val="single" w:sz="12" w:space="0" w:color="auto"/>
            </w:tcBorders>
          </w:tcPr>
          <w:p w14:paraId="6337A47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C0BBB7" w14:textId="77777777">
        <w:tc>
          <w:tcPr>
            <w:tcW w:w="1384" w:type="dxa"/>
            <w:vMerge/>
            <w:tcBorders>
              <w:left w:val="single" w:sz="12" w:space="0" w:color="auto"/>
            </w:tcBorders>
          </w:tcPr>
          <w:p w14:paraId="3E8A36E5" w14:textId="77777777" w:rsidR="003B3105" w:rsidRDefault="003B3105" w:rsidP="001E533B">
            <w:pPr>
              <w:rPr>
                <w:rFonts w:ascii="新細明體" w:eastAsia="新細明體" w:hAnsi="新細明體"/>
              </w:rPr>
            </w:pPr>
          </w:p>
        </w:tc>
        <w:tc>
          <w:tcPr>
            <w:tcW w:w="1276" w:type="dxa"/>
            <w:vMerge/>
          </w:tcPr>
          <w:p w14:paraId="5768D0E6" w14:textId="77777777" w:rsidR="003B3105" w:rsidRDefault="003B3105" w:rsidP="001E533B">
            <w:pPr>
              <w:rPr>
                <w:rFonts w:ascii="新細明體" w:eastAsia="新細明體" w:hAnsi="新細明體"/>
              </w:rPr>
            </w:pPr>
          </w:p>
        </w:tc>
        <w:tc>
          <w:tcPr>
            <w:tcW w:w="5386" w:type="dxa"/>
            <w:tcBorders>
              <w:top w:val="nil"/>
              <w:bottom w:val="nil"/>
            </w:tcBorders>
          </w:tcPr>
          <w:p w14:paraId="6B22DBF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1.內部稽核職能可協助辨認並評估重大暴險，以及改善風險管理與內部控制（包含財務報導流程之有效性）。</w:t>
            </w:r>
          </w:p>
        </w:tc>
        <w:tc>
          <w:tcPr>
            <w:tcW w:w="5387" w:type="dxa"/>
            <w:tcBorders>
              <w:top w:val="nil"/>
              <w:bottom w:val="nil"/>
            </w:tcBorders>
          </w:tcPr>
          <w:p w14:paraId="335EBA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1.內部稽核職能可協助辨認並評估重大暴險，以及改善風險管理與內部控制（包含財務報導流程之有效性）。</w:t>
            </w:r>
          </w:p>
        </w:tc>
        <w:tc>
          <w:tcPr>
            <w:tcW w:w="2023" w:type="dxa"/>
            <w:vMerge/>
            <w:tcBorders>
              <w:right w:val="single" w:sz="12" w:space="0" w:color="auto"/>
            </w:tcBorders>
          </w:tcPr>
          <w:p w14:paraId="542C4E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64F259" w14:textId="77777777">
        <w:tc>
          <w:tcPr>
            <w:tcW w:w="1384" w:type="dxa"/>
            <w:vMerge/>
            <w:tcBorders>
              <w:left w:val="single" w:sz="12" w:space="0" w:color="auto"/>
            </w:tcBorders>
          </w:tcPr>
          <w:p w14:paraId="76EE365E" w14:textId="77777777" w:rsidR="003B3105" w:rsidRDefault="003B3105" w:rsidP="001E533B">
            <w:pPr>
              <w:rPr>
                <w:rFonts w:ascii="新細明體" w:eastAsia="新細明體" w:hAnsi="新細明體"/>
              </w:rPr>
            </w:pPr>
          </w:p>
        </w:tc>
        <w:tc>
          <w:tcPr>
            <w:tcW w:w="1276" w:type="dxa"/>
            <w:vMerge/>
          </w:tcPr>
          <w:p w14:paraId="2BA89AA7" w14:textId="77777777" w:rsidR="003B3105" w:rsidRDefault="003B3105" w:rsidP="001E533B">
            <w:pPr>
              <w:rPr>
                <w:rFonts w:ascii="新細明體" w:eastAsia="新細明體" w:hAnsi="新細明體"/>
              </w:rPr>
            </w:pPr>
          </w:p>
        </w:tc>
        <w:tc>
          <w:tcPr>
            <w:tcW w:w="5386" w:type="dxa"/>
            <w:tcBorders>
              <w:top w:val="nil"/>
              <w:bottom w:val="nil"/>
            </w:tcBorders>
          </w:tcPr>
          <w:p w14:paraId="7E41BE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2.內部稽核職能可協助執行偵查舞弊之程序。</w:t>
            </w:r>
          </w:p>
        </w:tc>
        <w:tc>
          <w:tcPr>
            <w:tcW w:w="5387" w:type="dxa"/>
            <w:tcBorders>
              <w:top w:val="nil"/>
              <w:bottom w:val="nil"/>
            </w:tcBorders>
          </w:tcPr>
          <w:p w14:paraId="3B3EB9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2.內部稽核職能可協助執行偵查舞弊之程序。</w:t>
            </w:r>
          </w:p>
        </w:tc>
        <w:tc>
          <w:tcPr>
            <w:tcW w:w="2023" w:type="dxa"/>
            <w:vMerge/>
            <w:tcBorders>
              <w:right w:val="single" w:sz="12" w:space="0" w:color="auto"/>
            </w:tcBorders>
          </w:tcPr>
          <w:p w14:paraId="704D9B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89379D" w14:textId="77777777">
        <w:tc>
          <w:tcPr>
            <w:tcW w:w="1384" w:type="dxa"/>
            <w:vMerge/>
            <w:tcBorders>
              <w:left w:val="single" w:sz="12" w:space="0" w:color="auto"/>
            </w:tcBorders>
          </w:tcPr>
          <w:p w14:paraId="77B23358" w14:textId="77777777" w:rsidR="003B3105" w:rsidRDefault="003B3105" w:rsidP="001E533B">
            <w:pPr>
              <w:rPr>
                <w:rFonts w:ascii="新細明體" w:eastAsia="新細明體" w:hAnsi="新細明體"/>
              </w:rPr>
            </w:pPr>
          </w:p>
        </w:tc>
        <w:tc>
          <w:tcPr>
            <w:tcW w:w="1276" w:type="dxa"/>
            <w:vMerge/>
          </w:tcPr>
          <w:p w14:paraId="0A68B048" w14:textId="77777777" w:rsidR="003B3105" w:rsidRDefault="003B3105" w:rsidP="001E533B">
            <w:pPr>
              <w:rPr>
                <w:rFonts w:ascii="新細明體" w:eastAsia="新細明體" w:hAnsi="新細明體"/>
              </w:rPr>
            </w:pPr>
          </w:p>
        </w:tc>
        <w:tc>
          <w:tcPr>
            <w:tcW w:w="5386" w:type="dxa"/>
            <w:tcBorders>
              <w:top w:val="nil"/>
              <w:bottom w:val="nil"/>
            </w:tcBorders>
          </w:tcPr>
          <w:p w14:paraId="6D3F70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(三)與內部控制有關之工作：</w:t>
            </w:r>
          </w:p>
        </w:tc>
        <w:tc>
          <w:tcPr>
            <w:tcW w:w="5387" w:type="dxa"/>
            <w:tcBorders>
              <w:top w:val="nil"/>
              <w:bottom w:val="nil"/>
            </w:tcBorders>
          </w:tcPr>
          <w:p w14:paraId="35D0AC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(三)與內部控制有關之工作：</w:t>
            </w:r>
          </w:p>
        </w:tc>
        <w:tc>
          <w:tcPr>
            <w:tcW w:w="2023" w:type="dxa"/>
            <w:vMerge/>
            <w:tcBorders>
              <w:right w:val="single" w:sz="12" w:space="0" w:color="auto"/>
            </w:tcBorders>
          </w:tcPr>
          <w:p w14:paraId="2170C6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098136" w14:textId="77777777">
        <w:tc>
          <w:tcPr>
            <w:tcW w:w="1384" w:type="dxa"/>
            <w:vMerge/>
            <w:tcBorders>
              <w:left w:val="single" w:sz="12" w:space="0" w:color="auto"/>
            </w:tcBorders>
          </w:tcPr>
          <w:p w14:paraId="7127787E" w14:textId="77777777" w:rsidR="003B3105" w:rsidRDefault="003B3105" w:rsidP="001E533B">
            <w:pPr>
              <w:rPr>
                <w:rFonts w:ascii="新細明體" w:eastAsia="新細明體" w:hAnsi="新細明體"/>
              </w:rPr>
            </w:pPr>
          </w:p>
        </w:tc>
        <w:tc>
          <w:tcPr>
            <w:tcW w:w="1276" w:type="dxa"/>
            <w:vMerge/>
          </w:tcPr>
          <w:p w14:paraId="124680B9" w14:textId="77777777" w:rsidR="003B3105" w:rsidRDefault="003B3105" w:rsidP="001E533B">
            <w:pPr>
              <w:rPr>
                <w:rFonts w:ascii="新細明體" w:eastAsia="新細明體" w:hAnsi="新細明體"/>
              </w:rPr>
            </w:pPr>
          </w:p>
        </w:tc>
        <w:tc>
          <w:tcPr>
            <w:tcW w:w="5386" w:type="dxa"/>
            <w:tcBorders>
              <w:top w:val="nil"/>
              <w:bottom w:val="nil"/>
            </w:tcBorders>
          </w:tcPr>
          <w:p w14:paraId="35C4F1E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1.內部控制之評估：</w:t>
            </w:r>
          </w:p>
        </w:tc>
        <w:tc>
          <w:tcPr>
            <w:tcW w:w="5387" w:type="dxa"/>
            <w:tcBorders>
              <w:top w:val="nil"/>
              <w:bottom w:val="nil"/>
            </w:tcBorders>
          </w:tcPr>
          <w:p w14:paraId="5F81FE3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1.內部控制之評估：</w:t>
            </w:r>
          </w:p>
        </w:tc>
        <w:tc>
          <w:tcPr>
            <w:tcW w:w="2023" w:type="dxa"/>
            <w:vMerge/>
            <w:tcBorders>
              <w:right w:val="single" w:sz="12" w:space="0" w:color="auto"/>
            </w:tcBorders>
          </w:tcPr>
          <w:p w14:paraId="190189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506EA4" w14:textId="77777777">
        <w:tc>
          <w:tcPr>
            <w:tcW w:w="1384" w:type="dxa"/>
            <w:vMerge/>
            <w:tcBorders>
              <w:left w:val="single" w:sz="12" w:space="0" w:color="auto"/>
            </w:tcBorders>
          </w:tcPr>
          <w:p w14:paraId="66AED666" w14:textId="77777777" w:rsidR="003B3105" w:rsidRDefault="003B3105" w:rsidP="001E533B">
            <w:pPr>
              <w:rPr>
                <w:rFonts w:ascii="新細明體" w:eastAsia="新細明體" w:hAnsi="新細明體"/>
              </w:rPr>
            </w:pPr>
          </w:p>
        </w:tc>
        <w:tc>
          <w:tcPr>
            <w:tcW w:w="1276" w:type="dxa"/>
            <w:vMerge/>
          </w:tcPr>
          <w:p w14:paraId="5C63E28A" w14:textId="77777777" w:rsidR="003B3105" w:rsidRDefault="003B3105" w:rsidP="001E533B">
            <w:pPr>
              <w:rPr>
                <w:rFonts w:ascii="新細明體" w:eastAsia="新細明體" w:hAnsi="新細明體"/>
              </w:rPr>
            </w:pPr>
          </w:p>
        </w:tc>
        <w:tc>
          <w:tcPr>
            <w:tcW w:w="5386" w:type="dxa"/>
            <w:tcBorders>
              <w:top w:val="nil"/>
              <w:bottom w:val="nil"/>
            </w:tcBorders>
          </w:tcPr>
          <w:p w14:paraId="7EF6C004"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5387" w:type="dxa"/>
            <w:tcBorders>
              <w:top w:val="nil"/>
              <w:bottom w:val="nil"/>
            </w:tcBorders>
          </w:tcPr>
          <w:p w14:paraId="5B314B45"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2023" w:type="dxa"/>
            <w:vMerge/>
            <w:tcBorders>
              <w:right w:val="single" w:sz="12" w:space="0" w:color="auto"/>
            </w:tcBorders>
          </w:tcPr>
          <w:p w14:paraId="0D216C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853AD1" w14:textId="77777777">
        <w:tc>
          <w:tcPr>
            <w:tcW w:w="1384" w:type="dxa"/>
            <w:vMerge/>
            <w:tcBorders>
              <w:left w:val="single" w:sz="12" w:space="0" w:color="auto"/>
            </w:tcBorders>
          </w:tcPr>
          <w:p w14:paraId="66B17ED7" w14:textId="77777777" w:rsidR="003B3105" w:rsidRDefault="003B3105" w:rsidP="001E533B">
            <w:pPr>
              <w:rPr>
                <w:rFonts w:ascii="新細明體" w:eastAsia="新細明體" w:hAnsi="新細明體"/>
              </w:rPr>
            </w:pPr>
          </w:p>
        </w:tc>
        <w:tc>
          <w:tcPr>
            <w:tcW w:w="1276" w:type="dxa"/>
            <w:vMerge/>
          </w:tcPr>
          <w:p w14:paraId="425BE236" w14:textId="77777777" w:rsidR="003B3105" w:rsidRDefault="003B3105" w:rsidP="001E533B">
            <w:pPr>
              <w:rPr>
                <w:rFonts w:ascii="新細明體" w:eastAsia="新細明體" w:hAnsi="新細明體"/>
              </w:rPr>
            </w:pPr>
          </w:p>
        </w:tc>
        <w:tc>
          <w:tcPr>
            <w:tcW w:w="5386" w:type="dxa"/>
            <w:tcBorders>
              <w:top w:val="nil"/>
              <w:bottom w:val="nil"/>
            </w:tcBorders>
          </w:tcPr>
          <w:p w14:paraId="5A01FED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2.財務及營運資訊之檢查：</w:t>
            </w:r>
          </w:p>
        </w:tc>
        <w:tc>
          <w:tcPr>
            <w:tcW w:w="5387" w:type="dxa"/>
            <w:tcBorders>
              <w:top w:val="nil"/>
              <w:bottom w:val="nil"/>
            </w:tcBorders>
          </w:tcPr>
          <w:p w14:paraId="199B6E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2.財務及營運資訊之檢查：</w:t>
            </w:r>
          </w:p>
        </w:tc>
        <w:tc>
          <w:tcPr>
            <w:tcW w:w="2023" w:type="dxa"/>
            <w:vMerge/>
            <w:tcBorders>
              <w:right w:val="single" w:sz="12" w:space="0" w:color="auto"/>
            </w:tcBorders>
          </w:tcPr>
          <w:p w14:paraId="7AFA6F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150C4E" w14:textId="77777777">
        <w:tc>
          <w:tcPr>
            <w:tcW w:w="1384" w:type="dxa"/>
            <w:vMerge/>
            <w:tcBorders>
              <w:left w:val="single" w:sz="12" w:space="0" w:color="auto"/>
            </w:tcBorders>
          </w:tcPr>
          <w:p w14:paraId="362E663A" w14:textId="77777777" w:rsidR="003B3105" w:rsidRDefault="003B3105" w:rsidP="001E533B">
            <w:pPr>
              <w:rPr>
                <w:rFonts w:ascii="新細明體" w:eastAsia="新細明體" w:hAnsi="新細明體"/>
              </w:rPr>
            </w:pPr>
          </w:p>
        </w:tc>
        <w:tc>
          <w:tcPr>
            <w:tcW w:w="1276" w:type="dxa"/>
            <w:vMerge/>
          </w:tcPr>
          <w:p w14:paraId="2D14941E" w14:textId="77777777" w:rsidR="003B3105" w:rsidRDefault="003B3105" w:rsidP="001E533B">
            <w:pPr>
              <w:rPr>
                <w:rFonts w:ascii="新細明體" w:eastAsia="新細明體" w:hAnsi="新細明體"/>
              </w:rPr>
            </w:pPr>
          </w:p>
        </w:tc>
        <w:tc>
          <w:tcPr>
            <w:tcW w:w="5386" w:type="dxa"/>
            <w:tcBorders>
              <w:top w:val="nil"/>
              <w:bottom w:val="nil"/>
            </w:tcBorders>
          </w:tcPr>
          <w:p w14:paraId="0982FC99"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內部稽核職能可複核用以辨認、認列、衡量、分類及報導財務與營運資訊之方法（包含對交易、餘額及流程之測試），以及對個別項目執行特定查詢。</w:t>
            </w:r>
          </w:p>
        </w:tc>
        <w:tc>
          <w:tcPr>
            <w:tcW w:w="5387" w:type="dxa"/>
            <w:tcBorders>
              <w:top w:val="nil"/>
              <w:bottom w:val="nil"/>
            </w:tcBorders>
          </w:tcPr>
          <w:p w14:paraId="012127D1"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內部稽核職能可複核用以辨認、認列、衡量、分類及報導財務與營運資訊之方法（包含對交易、餘額及流程之測試），以及對個別項目執行特定查詢。</w:t>
            </w:r>
          </w:p>
        </w:tc>
        <w:tc>
          <w:tcPr>
            <w:tcW w:w="2023" w:type="dxa"/>
            <w:vMerge/>
            <w:tcBorders>
              <w:right w:val="single" w:sz="12" w:space="0" w:color="auto"/>
            </w:tcBorders>
          </w:tcPr>
          <w:p w14:paraId="700133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4846E0" w14:textId="77777777">
        <w:tc>
          <w:tcPr>
            <w:tcW w:w="1384" w:type="dxa"/>
            <w:vMerge/>
            <w:tcBorders>
              <w:left w:val="single" w:sz="12" w:space="0" w:color="auto"/>
            </w:tcBorders>
          </w:tcPr>
          <w:p w14:paraId="3785F250" w14:textId="77777777" w:rsidR="003B3105" w:rsidRDefault="003B3105" w:rsidP="001E533B">
            <w:pPr>
              <w:rPr>
                <w:rFonts w:ascii="新細明體" w:eastAsia="新細明體" w:hAnsi="新細明體"/>
              </w:rPr>
            </w:pPr>
          </w:p>
        </w:tc>
        <w:tc>
          <w:tcPr>
            <w:tcW w:w="1276" w:type="dxa"/>
            <w:vMerge/>
          </w:tcPr>
          <w:p w14:paraId="28ADC925" w14:textId="77777777" w:rsidR="003B3105" w:rsidRDefault="003B3105" w:rsidP="001E533B">
            <w:pPr>
              <w:rPr>
                <w:rFonts w:ascii="新細明體" w:eastAsia="新細明體" w:hAnsi="新細明體"/>
              </w:rPr>
            </w:pPr>
          </w:p>
        </w:tc>
        <w:tc>
          <w:tcPr>
            <w:tcW w:w="5386" w:type="dxa"/>
            <w:tcBorders>
              <w:top w:val="nil"/>
              <w:bottom w:val="nil"/>
            </w:tcBorders>
          </w:tcPr>
          <w:p w14:paraId="2E0A615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3.營運活動之複核：</w:t>
            </w:r>
          </w:p>
        </w:tc>
        <w:tc>
          <w:tcPr>
            <w:tcW w:w="5387" w:type="dxa"/>
            <w:tcBorders>
              <w:top w:val="nil"/>
              <w:bottom w:val="nil"/>
            </w:tcBorders>
          </w:tcPr>
          <w:p w14:paraId="5F460D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3.營運活動之複核：</w:t>
            </w:r>
          </w:p>
        </w:tc>
        <w:tc>
          <w:tcPr>
            <w:tcW w:w="2023" w:type="dxa"/>
            <w:vMerge/>
            <w:tcBorders>
              <w:right w:val="single" w:sz="12" w:space="0" w:color="auto"/>
            </w:tcBorders>
          </w:tcPr>
          <w:p w14:paraId="1D75EE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40629C" w14:textId="77777777">
        <w:tc>
          <w:tcPr>
            <w:tcW w:w="1384" w:type="dxa"/>
            <w:vMerge/>
            <w:tcBorders>
              <w:left w:val="single" w:sz="12" w:space="0" w:color="auto"/>
            </w:tcBorders>
          </w:tcPr>
          <w:p w14:paraId="7FD3EE91" w14:textId="77777777" w:rsidR="003B3105" w:rsidRDefault="003B3105" w:rsidP="001E533B">
            <w:pPr>
              <w:rPr>
                <w:rFonts w:ascii="新細明體" w:eastAsia="新細明體" w:hAnsi="新細明體"/>
              </w:rPr>
            </w:pPr>
          </w:p>
        </w:tc>
        <w:tc>
          <w:tcPr>
            <w:tcW w:w="1276" w:type="dxa"/>
            <w:vMerge/>
          </w:tcPr>
          <w:p w14:paraId="00741FCC" w14:textId="77777777" w:rsidR="003B3105" w:rsidRDefault="003B3105" w:rsidP="001E533B">
            <w:pPr>
              <w:rPr>
                <w:rFonts w:ascii="新細明體" w:eastAsia="新細明體" w:hAnsi="新細明體"/>
              </w:rPr>
            </w:pPr>
          </w:p>
        </w:tc>
        <w:tc>
          <w:tcPr>
            <w:tcW w:w="5386" w:type="dxa"/>
            <w:tcBorders>
              <w:top w:val="nil"/>
              <w:bottom w:val="nil"/>
            </w:tcBorders>
          </w:tcPr>
          <w:p w14:paraId="01F496FA"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內部稽核職能可複核營運活動（包含企業之非財務活動）之效率與效</w:t>
            </w:r>
            <w:r>
              <w:rPr>
                <w:rFonts w:ascii="新細明體" w:eastAsia="新細明體" w:hAnsi="新細明體" w:cs="新細明體" w:hint="eastAsia"/>
              </w:rPr>
              <w:lastRenderedPageBreak/>
              <w:t>果。</w:t>
            </w:r>
          </w:p>
        </w:tc>
        <w:tc>
          <w:tcPr>
            <w:tcW w:w="5387" w:type="dxa"/>
            <w:tcBorders>
              <w:top w:val="nil"/>
              <w:bottom w:val="nil"/>
            </w:tcBorders>
          </w:tcPr>
          <w:p w14:paraId="1F509B56"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lastRenderedPageBreak/>
              <w:t>內部稽核職能可複核營運活動（包含企業之非財務活動）之效率與效</w:t>
            </w:r>
            <w:r>
              <w:rPr>
                <w:rFonts w:ascii="新細明體" w:eastAsia="新細明體" w:hAnsi="新細明體" w:cs="新細明體" w:hint="eastAsia"/>
              </w:rPr>
              <w:lastRenderedPageBreak/>
              <w:t>果。</w:t>
            </w:r>
          </w:p>
        </w:tc>
        <w:tc>
          <w:tcPr>
            <w:tcW w:w="2023" w:type="dxa"/>
            <w:vMerge/>
            <w:tcBorders>
              <w:right w:val="single" w:sz="12" w:space="0" w:color="auto"/>
            </w:tcBorders>
          </w:tcPr>
          <w:p w14:paraId="7263FF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B24BCB" w14:textId="77777777">
        <w:tc>
          <w:tcPr>
            <w:tcW w:w="1384" w:type="dxa"/>
            <w:vMerge/>
            <w:tcBorders>
              <w:left w:val="single" w:sz="12" w:space="0" w:color="auto"/>
            </w:tcBorders>
          </w:tcPr>
          <w:p w14:paraId="1E13B80A" w14:textId="77777777" w:rsidR="003B3105" w:rsidRDefault="003B3105" w:rsidP="001E533B">
            <w:pPr>
              <w:rPr>
                <w:rFonts w:ascii="新細明體" w:eastAsia="新細明體" w:hAnsi="新細明體"/>
              </w:rPr>
            </w:pPr>
          </w:p>
        </w:tc>
        <w:tc>
          <w:tcPr>
            <w:tcW w:w="1276" w:type="dxa"/>
            <w:vMerge/>
          </w:tcPr>
          <w:p w14:paraId="75882867" w14:textId="77777777" w:rsidR="003B3105" w:rsidRDefault="003B3105" w:rsidP="001E533B">
            <w:pPr>
              <w:rPr>
                <w:rFonts w:ascii="新細明體" w:eastAsia="新細明體" w:hAnsi="新細明體"/>
              </w:rPr>
            </w:pPr>
          </w:p>
        </w:tc>
        <w:tc>
          <w:tcPr>
            <w:tcW w:w="5386" w:type="dxa"/>
            <w:tcBorders>
              <w:top w:val="nil"/>
              <w:bottom w:val="nil"/>
            </w:tcBorders>
          </w:tcPr>
          <w:p w14:paraId="0382FB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4.法令遵循之複核：</w:t>
            </w:r>
          </w:p>
        </w:tc>
        <w:tc>
          <w:tcPr>
            <w:tcW w:w="5387" w:type="dxa"/>
            <w:tcBorders>
              <w:top w:val="nil"/>
              <w:bottom w:val="nil"/>
            </w:tcBorders>
          </w:tcPr>
          <w:p w14:paraId="5301E95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4.法令遵循之複核：</w:t>
            </w:r>
          </w:p>
        </w:tc>
        <w:tc>
          <w:tcPr>
            <w:tcW w:w="2023" w:type="dxa"/>
            <w:vMerge/>
            <w:tcBorders>
              <w:right w:val="single" w:sz="12" w:space="0" w:color="auto"/>
            </w:tcBorders>
          </w:tcPr>
          <w:p w14:paraId="0B62A0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DED266" w14:textId="77777777">
        <w:tc>
          <w:tcPr>
            <w:tcW w:w="1384" w:type="dxa"/>
            <w:vMerge/>
            <w:tcBorders>
              <w:left w:val="single" w:sz="12" w:space="0" w:color="auto"/>
            </w:tcBorders>
          </w:tcPr>
          <w:p w14:paraId="101299CB" w14:textId="77777777" w:rsidR="003B3105" w:rsidRDefault="003B3105" w:rsidP="001E533B">
            <w:pPr>
              <w:rPr>
                <w:rFonts w:ascii="新細明體" w:eastAsia="新細明體" w:hAnsi="新細明體"/>
              </w:rPr>
            </w:pPr>
          </w:p>
        </w:tc>
        <w:tc>
          <w:tcPr>
            <w:tcW w:w="1276" w:type="dxa"/>
            <w:vMerge/>
          </w:tcPr>
          <w:p w14:paraId="34A2BB91" w14:textId="77777777" w:rsidR="003B3105" w:rsidRDefault="003B3105" w:rsidP="001E533B">
            <w:pPr>
              <w:rPr>
                <w:rFonts w:ascii="新細明體" w:eastAsia="新細明體" w:hAnsi="新細明體"/>
              </w:rPr>
            </w:pPr>
          </w:p>
        </w:tc>
        <w:tc>
          <w:tcPr>
            <w:tcW w:w="5386" w:type="dxa"/>
            <w:tcBorders>
              <w:top w:val="nil"/>
              <w:bottom w:val="nil"/>
            </w:tcBorders>
          </w:tcPr>
          <w:p w14:paraId="620273B4"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內部稽核職能可複核法令及其他外部規定之遵循，以及管理階層訂定之政策及程序與其他內部規定之遵循。</w:t>
            </w:r>
          </w:p>
        </w:tc>
        <w:tc>
          <w:tcPr>
            <w:tcW w:w="5387" w:type="dxa"/>
            <w:tcBorders>
              <w:top w:val="nil"/>
              <w:bottom w:val="nil"/>
            </w:tcBorders>
          </w:tcPr>
          <w:p w14:paraId="131DABEA"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內部稽核職能可複核法令及其他外部規定之遵循，以及管理階層訂定之政策及程序與其他內部規定之遵循。</w:t>
            </w:r>
          </w:p>
        </w:tc>
        <w:tc>
          <w:tcPr>
            <w:tcW w:w="2023" w:type="dxa"/>
            <w:vMerge/>
            <w:tcBorders>
              <w:right w:val="single" w:sz="12" w:space="0" w:color="auto"/>
            </w:tcBorders>
          </w:tcPr>
          <w:p w14:paraId="7458FC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57A6B9" w14:textId="77777777">
        <w:tc>
          <w:tcPr>
            <w:tcW w:w="1384" w:type="dxa"/>
            <w:vMerge/>
            <w:tcBorders>
              <w:left w:val="single" w:sz="12" w:space="0" w:color="auto"/>
            </w:tcBorders>
          </w:tcPr>
          <w:p w14:paraId="433A46AE" w14:textId="77777777" w:rsidR="003B3105" w:rsidRDefault="003B3105" w:rsidP="001E533B">
            <w:pPr>
              <w:rPr>
                <w:rFonts w:ascii="新細明體" w:eastAsia="新細明體" w:hAnsi="新細明體"/>
              </w:rPr>
            </w:pPr>
          </w:p>
        </w:tc>
        <w:tc>
          <w:tcPr>
            <w:tcW w:w="1276" w:type="dxa"/>
            <w:vMerge/>
          </w:tcPr>
          <w:p w14:paraId="2DB660D2" w14:textId="77777777" w:rsidR="003B3105" w:rsidRDefault="003B3105" w:rsidP="001E533B">
            <w:pPr>
              <w:rPr>
                <w:rFonts w:ascii="新細明體" w:eastAsia="新細明體" w:hAnsi="新細明體"/>
              </w:rPr>
            </w:pPr>
          </w:p>
        </w:tc>
        <w:tc>
          <w:tcPr>
            <w:tcW w:w="5386" w:type="dxa"/>
            <w:tcBorders>
              <w:top w:val="nil"/>
              <w:bottom w:val="nil"/>
            </w:tcBorders>
          </w:tcPr>
          <w:p w14:paraId="48AD297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十三、稽核人員之職責：</w:t>
            </w:r>
          </w:p>
        </w:tc>
        <w:tc>
          <w:tcPr>
            <w:tcW w:w="5387" w:type="dxa"/>
            <w:tcBorders>
              <w:top w:val="nil"/>
              <w:bottom w:val="nil"/>
            </w:tcBorders>
          </w:tcPr>
          <w:p w14:paraId="361B7CA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十三、稽核人員之職責：</w:t>
            </w:r>
          </w:p>
        </w:tc>
        <w:tc>
          <w:tcPr>
            <w:tcW w:w="2023" w:type="dxa"/>
            <w:vMerge/>
            <w:tcBorders>
              <w:right w:val="single" w:sz="12" w:space="0" w:color="auto"/>
            </w:tcBorders>
          </w:tcPr>
          <w:p w14:paraId="578A4A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336ACB" w14:textId="77777777">
        <w:tc>
          <w:tcPr>
            <w:tcW w:w="1384" w:type="dxa"/>
            <w:vMerge/>
            <w:tcBorders>
              <w:left w:val="single" w:sz="12" w:space="0" w:color="auto"/>
            </w:tcBorders>
          </w:tcPr>
          <w:p w14:paraId="10A3EBD7" w14:textId="77777777" w:rsidR="003B3105" w:rsidRDefault="003B3105" w:rsidP="001E533B">
            <w:pPr>
              <w:rPr>
                <w:rFonts w:ascii="新細明體" w:eastAsia="新細明體" w:hAnsi="新細明體"/>
              </w:rPr>
            </w:pPr>
          </w:p>
        </w:tc>
        <w:tc>
          <w:tcPr>
            <w:tcW w:w="1276" w:type="dxa"/>
            <w:vMerge/>
          </w:tcPr>
          <w:p w14:paraId="7B9B487B" w14:textId="77777777" w:rsidR="003B3105" w:rsidRDefault="003B3105" w:rsidP="001E533B">
            <w:pPr>
              <w:rPr>
                <w:rFonts w:ascii="新細明體" w:eastAsia="新細明體" w:hAnsi="新細明體"/>
              </w:rPr>
            </w:pPr>
          </w:p>
        </w:tc>
        <w:tc>
          <w:tcPr>
            <w:tcW w:w="5386" w:type="dxa"/>
            <w:tcBorders>
              <w:top w:val="nil"/>
              <w:bottom w:val="nil"/>
            </w:tcBorders>
          </w:tcPr>
          <w:p w14:paraId="0F388B6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(一)稽核人員秉承董事會指揮監督，執行公司內部稽核工作。</w:t>
            </w:r>
          </w:p>
        </w:tc>
        <w:tc>
          <w:tcPr>
            <w:tcW w:w="5387" w:type="dxa"/>
            <w:tcBorders>
              <w:top w:val="nil"/>
              <w:bottom w:val="nil"/>
            </w:tcBorders>
          </w:tcPr>
          <w:p w14:paraId="074988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(一)稽核人員秉承董事會指揮監督，執行公司內部稽核工作。</w:t>
            </w:r>
          </w:p>
        </w:tc>
        <w:tc>
          <w:tcPr>
            <w:tcW w:w="2023" w:type="dxa"/>
            <w:vMerge/>
            <w:tcBorders>
              <w:right w:val="single" w:sz="12" w:space="0" w:color="auto"/>
            </w:tcBorders>
          </w:tcPr>
          <w:p w14:paraId="2AF612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9FA6A" w14:textId="77777777">
        <w:tc>
          <w:tcPr>
            <w:tcW w:w="1384" w:type="dxa"/>
            <w:vMerge/>
            <w:tcBorders>
              <w:left w:val="single" w:sz="12" w:space="0" w:color="auto"/>
            </w:tcBorders>
          </w:tcPr>
          <w:p w14:paraId="7894BBF8" w14:textId="77777777" w:rsidR="003B3105" w:rsidRDefault="003B3105" w:rsidP="001E533B">
            <w:pPr>
              <w:rPr>
                <w:rFonts w:ascii="新細明體" w:eastAsia="新細明體" w:hAnsi="新細明體"/>
              </w:rPr>
            </w:pPr>
          </w:p>
        </w:tc>
        <w:tc>
          <w:tcPr>
            <w:tcW w:w="1276" w:type="dxa"/>
            <w:vMerge/>
          </w:tcPr>
          <w:p w14:paraId="7CFC0B35" w14:textId="77777777" w:rsidR="003B3105" w:rsidRDefault="003B3105" w:rsidP="001E533B">
            <w:pPr>
              <w:rPr>
                <w:rFonts w:ascii="新細明體" w:eastAsia="新細明體" w:hAnsi="新細明體"/>
              </w:rPr>
            </w:pPr>
          </w:p>
        </w:tc>
        <w:tc>
          <w:tcPr>
            <w:tcW w:w="5386" w:type="dxa"/>
            <w:tcBorders>
              <w:top w:val="nil"/>
              <w:bottom w:val="nil"/>
            </w:tcBorders>
          </w:tcPr>
          <w:p w14:paraId="6C46E2A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(二)稽核人員執行工作遇有疑問時，應於獲得解釋及澈底瞭解後，方得提出處理意見。</w:t>
            </w:r>
          </w:p>
        </w:tc>
        <w:tc>
          <w:tcPr>
            <w:tcW w:w="5387" w:type="dxa"/>
            <w:tcBorders>
              <w:top w:val="nil"/>
              <w:bottom w:val="nil"/>
            </w:tcBorders>
          </w:tcPr>
          <w:p w14:paraId="7672A2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(二)稽核人員執行工作遇有疑問時，應於獲得解釋及澈底瞭解後，方得提出處理意見。</w:t>
            </w:r>
          </w:p>
        </w:tc>
        <w:tc>
          <w:tcPr>
            <w:tcW w:w="2023" w:type="dxa"/>
            <w:vMerge/>
            <w:tcBorders>
              <w:right w:val="single" w:sz="12" w:space="0" w:color="auto"/>
            </w:tcBorders>
          </w:tcPr>
          <w:p w14:paraId="26BF7D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E3D94E" w14:textId="77777777">
        <w:tc>
          <w:tcPr>
            <w:tcW w:w="1384" w:type="dxa"/>
            <w:vMerge/>
            <w:tcBorders>
              <w:left w:val="single" w:sz="12" w:space="0" w:color="auto"/>
            </w:tcBorders>
          </w:tcPr>
          <w:p w14:paraId="00187F4A" w14:textId="77777777" w:rsidR="003B3105" w:rsidRDefault="003B3105" w:rsidP="001E533B">
            <w:pPr>
              <w:rPr>
                <w:rFonts w:ascii="新細明體" w:eastAsia="新細明體" w:hAnsi="新細明體"/>
              </w:rPr>
            </w:pPr>
          </w:p>
        </w:tc>
        <w:tc>
          <w:tcPr>
            <w:tcW w:w="1276" w:type="dxa"/>
            <w:vMerge/>
          </w:tcPr>
          <w:p w14:paraId="46D7F800" w14:textId="77777777" w:rsidR="003B3105" w:rsidRDefault="003B3105" w:rsidP="001E533B">
            <w:pPr>
              <w:rPr>
                <w:rFonts w:ascii="新細明體" w:eastAsia="新細明體" w:hAnsi="新細明體"/>
              </w:rPr>
            </w:pPr>
          </w:p>
        </w:tc>
        <w:tc>
          <w:tcPr>
            <w:tcW w:w="5386" w:type="dxa"/>
            <w:tcBorders>
              <w:top w:val="nil"/>
              <w:bottom w:val="nil"/>
            </w:tcBorders>
          </w:tcPr>
          <w:p w14:paraId="6651E1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(三)稽核人員執行工作時，如發現員工有不當情事，除與其直屬主管連繫外，應即向公司最高主管報告，不得直接處理。</w:t>
            </w:r>
          </w:p>
        </w:tc>
        <w:tc>
          <w:tcPr>
            <w:tcW w:w="5387" w:type="dxa"/>
            <w:tcBorders>
              <w:top w:val="nil"/>
              <w:bottom w:val="nil"/>
            </w:tcBorders>
          </w:tcPr>
          <w:p w14:paraId="6E4DA0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(三)稽核人員執行工作時，如發現員工有不當情事，除與其直屬主管連繫外，應即向公司最高主管報告，不得直接處理。</w:t>
            </w:r>
          </w:p>
        </w:tc>
        <w:tc>
          <w:tcPr>
            <w:tcW w:w="2023" w:type="dxa"/>
            <w:vMerge/>
            <w:tcBorders>
              <w:right w:val="single" w:sz="12" w:space="0" w:color="auto"/>
            </w:tcBorders>
          </w:tcPr>
          <w:p w14:paraId="330863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A8B7A6" w14:textId="77777777">
        <w:tc>
          <w:tcPr>
            <w:tcW w:w="1384" w:type="dxa"/>
            <w:vMerge/>
            <w:tcBorders>
              <w:left w:val="single" w:sz="12" w:space="0" w:color="auto"/>
            </w:tcBorders>
          </w:tcPr>
          <w:p w14:paraId="371464CC" w14:textId="77777777" w:rsidR="003B3105" w:rsidRDefault="003B3105" w:rsidP="001E533B">
            <w:pPr>
              <w:rPr>
                <w:rFonts w:ascii="新細明體" w:eastAsia="新細明體" w:hAnsi="新細明體"/>
              </w:rPr>
            </w:pPr>
          </w:p>
        </w:tc>
        <w:tc>
          <w:tcPr>
            <w:tcW w:w="1276" w:type="dxa"/>
            <w:vMerge/>
          </w:tcPr>
          <w:p w14:paraId="246BA952" w14:textId="77777777" w:rsidR="003B3105" w:rsidRDefault="003B3105" w:rsidP="001E533B">
            <w:pPr>
              <w:rPr>
                <w:rFonts w:ascii="新細明體" w:eastAsia="新細明體" w:hAnsi="新細明體"/>
              </w:rPr>
            </w:pPr>
          </w:p>
        </w:tc>
        <w:tc>
          <w:tcPr>
            <w:tcW w:w="5386" w:type="dxa"/>
            <w:tcBorders>
              <w:top w:val="nil"/>
              <w:bottom w:val="nil"/>
            </w:tcBorders>
          </w:tcPr>
          <w:p w14:paraId="514B86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(四)稽核人員執行工作時，得調閱一切檔案，受查單位不得拒絕或隱匿，如屬機密性之檔案，應先報准後始得調閱。</w:t>
            </w:r>
          </w:p>
        </w:tc>
        <w:tc>
          <w:tcPr>
            <w:tcW w:w="5387" w:type="dxa"/>
            <w:tcBorders>
              <w:top w:val="nil"/>
              <w:bottom w:val="nil"/>
            </w:tcBorders>
          </w:tcPr>
          <w:p w14:paraId="5960BE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(四)稽核人員執行工作時，得調閱一切檔案，受查單位不得拒絕或隱匿，如屬機密性之檔案，應先報准後始得調閱。</w:t>
            </w:r>
          </w:p>
        </w:tc>
        <w:tc>
          <w:tcPr>
            <w:tcW w:w="2023" w:type="dxa"/>
            <w:vMerge/>
            <w:tcBorders>
              <w:right w:val="single" w:sz="12" w:space="0" w:color="auto"/>
            </w:tcBorders>
          </w:tcPr>
          <w:p w14:paraId="6F8036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6A5B73" w14:textId="77777777">
        <w:tc>
          <w:tcPr>
            <w:tcW w:w="1384" w:type="dxa"/>
            <w:vMerge/>
            <w:tcBorders>
              <w:left w:val="single" w:sz="12" w:space="0" w:color="auto"/>
            </w:tcBorders>
          </w:tcPr>
          <w:p w14:paraId="779A2F4C" w14:textId="77777777" w:rsidR="003B3105" w:rsidRDefault="003B3105" w:rsidP="001E533B">
            <w:pPr>
              <w:rPr>
                <w:rFonts w:ascii="新細明體" w:eastAsia="新細明體" w:hAnsi="新細明體"/>
              </w:rPr>
            </w:pPr>
          </w:p>
        </w:tc>
        <w:tc>
          <w:tcPr>
            <w:tcW w:w="1276" w:type="dxa"/>
            <w:vMerge/>
          </w:tcPr>
          <w:p w14:paraId="71156833" w14:textId="77777777" w:rsidR="003B3105" w:rsidRDefault="003B3105" w:rsidP="001E533B">
            <w:pPr>
              <w:rPr>
                <w:rFonts w:ascii="新細明體" w:eastAsia="新細明體" w:hAnsi="新細明體"/>
              </w:rPr>
            </w:pPr>
          </w:p>
        </w:tc>
        <w:tc>
          <w:tcPr>
            <w:tcW w:w="5386" w:type="dxa"/>
            <w:tcBorders>
              <w:top w:val="nil"/>
              <w:bottom w:val="nil"/>
            </w:tcBorders>
          </w:tcPr>
          <w:p w14:paraId="5D4B547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(五)稽核人員應訂定查核週期定期加以稽核，並於每次查核完畢，作成稽核報告，檢附相關附件，呈報所見缺失及改進建議等，並繼續追蹤改進情形。</w:t>
            </w:r>
          </w:p>
        </w:tc>
        <w:tc>
          <w:tcPr>
            <w:tcW w:w="5387" w:type="dxa"/>
            <w:tcBorders>
              <w:top w:val="nil"/>
              <w:bottom w:val="nil"/>
            </w:tcBorders>
          </w:tcPr>
          <w:p w14:paraId="2DF3BD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(五)稽核人員應訂定查核週期定期加以稽核，並於每次查核完畢，作成稽核報告，檢附相關附件，呈報所見缺失及改進建議等，並繼續追蹤改進情形。</w:t>
            </w:r>
          </w:p>
        </w:tc>
        <w:tc>
          <w:tcPr>
            <w:tcW w:w="2023" w:type="dxa"/>
            <w:vMerge/>
            <w:tcBorders>
              <w:right w:val="single" w:sz="12" w:space="0" w:color="auto"/>
            </w:tcBorders>
          </w:tcPr>
          <w:p w14:paraId="7ABCD5F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5EE9A8" w14:textId="77777777">
        <w:tc>
          <w:tcPr>
            <w:tcW w:w="1384" w:type="dxa"/>
            <w:vMerge/>
            <w:tcBorders>
              <w:left w:val="single" w:sz="12" w:space="0" w:color="auto"/>
            </w:tcBorders>
          </w:tcPr>
          <w:p w14:paraId="40430D17" w14:textId="77777777" w:rsidR="003B3105" w:rsidRDefault="003B3105" w:rsidP="001E533B">
            <w:pPr>
              <w:rPr>
                <w:rFonts w:ascii="新細明體" w:eastAsia="新細明體" w:hAnsi="新細明體"/>
              </w:rPr>
            </w:pPr>
          </w:p>
        </w:tc>
        <w:tc>
          <w:tcPr>
            <w:tcW w:w="1276" w:type="dxa"/>
            <w:vMerge/>
          </w:tcPr>
          <w:p w14:paraId="6759FBAD" w14:textId="77777777" w:rsidR="003B3105" w:rsidRDefault="003B3105" w:rsidP="001E533B">
            <w:pPr>
              <w:rPr>
                <w:rFonts w:ascii="新細明體" w:eastAsia="新細明體" w:hAnsi="新細明體"/>
              </w:rPr>
            </w:pPr>
          </w:p>
        </w:tc>
        <w:tc>
          <w:tcPr>
            <w:tcW w:w="5386" w:type="dxa"/>
            <w:tcBorders>
              <w:top w:val="nil"/>
              <w:bottom w:val="nil"/>
            </w:tcBorders>
          </w:tcPr>
          <w:p w14:paraId="021911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(六)稽核報告應依規定格式填寫，包括查核日期、查核項目、查核經過內容(所見事實、違反何種規章、所採措施如何)及改進建議等，且裝訂成冊並於封面註明起迄時間，妥為保管；其中稽核報告（含</w:t>
            </w:r>
            <w:r>
              <w:rPr>
                <w:rFonts w:ascii="新細明體" w:eastAsia="新細明體" w:hAnsi="新細明體" w:cs="新細明體" w:hint="eastAsia"/>
              </w:rPr>
              <w:lastRenderedPageBreak/>
              <w:t>查核明細表）、工作底稿及相關資料至少應保存五年。但對事實未發生之查核項目得於稽核報告上註明即可，毋庸檢附相關查核明細表及工作底稿。稽核報告之完成期限，每日查核應於查核日後二個營業日內完成，每週查核應於受查期間之後五個營業日內完成，每月、每季、每半年及每年查核應於受查期間之後二週內完成。</w:t>
            </w:r>
          </w:p>
        </w:tc>
        <w:tc>
          <w:tcPr>
            <w:tcW w:w="5387" w:type="dxa"/>
            <w:tcBorders>
              <w:top w:val="nil"/>
              <w:bottom w:val="nil"/>
            </w:tcBorders>
          </w:tcPr>
          <w:p w14:paraId="16B803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(六)稽核報告應依規定格式填寫，包括查核日期、查核項目、查核經過內容(所見事實、違反何種規章、所採措施如何)及改進建議等，且裝訂成冊並於封面註明起迄時間，妥為保管；其中稽核報告（含</w:t>
            </w:r>
            <w:r>
              <w:rPr>
                <w:rFonts w:ascii="新細明體" w:eastAsia="新細明體" w:hAnsi="新細明體" w:cs="新細明體" w:hint="eastAsia"/>
              </w:rPr>
              <w:lastRenderedPageBreak/>
              <w:t>查核明細表）、工作底稿及相關資料至少應保存五年。但對事實未發生之查核項目得於稽核報告上註明即可，毋庸檢附相關查核明細表及工作底稿。稽核報告之完成期限，每日查核應於查核日後二個營業日內完成，每週查核應於受查期間之後五個營業日內完成，每月、每季、每半年及每年查核應於受查期間之後二週內完成。</w:t>
            </w:r>
          </w:p>
        </w:tc>
        <w:tc>
          <w:tcPr>
            <w:tcW w:w="2023" w:type="dxa"/>
            <w:vMerge/>
            <w:tcBorders>
              <w:right w:val="single" w:sz="12" w:space="0" w:color="auto"/>
            </w:tcBorders>
          </w:tcPr>
          <w:p w14:paraId="2C589B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E37A30" w14:textId="77777777">
        <w:tc>
          <w:tcPr>
            <w:tcW w:w="1384" w:type="dxa"/>
            <w:vMerge/>
            <w:tcBorders>
              <w:left w:val="single" w:sz="12" w:space="0" w:color="auto"/>
            </w:tcBorders>
          </w:tcPr>
          <w:p w14:paraId="7A36C378" w14:textId="77777777" w:rsidR="003B3105" w:rsidRDefault="003B3105" w:rsidP="001E533B">
            <w:pPr>
              <w:rPr>
                <w:rFonts w:ascii="新細明體" w:eastAsia="新細明體" w:hAnsi="新細明體"/>
              </w:rPr>
            </w:pPr>
          </w:p>
        </w:tc>
        <w:tc>
          <w:tcPr>
            <w:tcW w:w="1276" w:type="dxa"/>
            <w:vMerge/>
          </w:tcPr>
          <w:p w14:paraId="21F5D2F3" w14:textId="77777777" w:rsidR="003B3105" w:rsidRDefault="003B3105" w:rsidP="001E533B">
            <w:pPr>
              <w:rPr>
                <w:rFonts w:ascii="新細明體" w:eastAsia="新細明體" w:hAnsi="新細明體"/>
              </w:rPr>
            </w:pPr>
          </w:p>
        </w:tc>
        <w:tc>
          <w:tcPr>
            <w:tcW w:w="5386" w:type="dxa"/>
            <w:tcBorders>
              <w:top w:val="nil"/>
              <w:bottom w:val="nil"/>
            </w:tcBorders>
          </w:tcPr>
          <w:p w14:paraId="6EAA6D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分公司間應建立異常事項即時通報機制，以確保分公司異常事項能即時通報總公司稽核主管。且公司應將內部控制制度缺失、異常事項及改善情形，列為各部門績效考核之重要項目。</w:t>
            </w:r>
          </w:p>
        </w:tc>
        <w:tc>
          <w:tcPr>
            <w:tcW w:w="5387" w:type="dxa"/>
            <w:tcBorders>
              <w:top w:val="nil"/>
              <w:bottom w:val="nil"/>
            </w:tcBorders>
          </w:tcPr>
          <w:p w14:paraId="1B3B5E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分公司間應建立異常事項即時通報機制，以確保分公司異常事項能即時通報總公司稽核主管。且公司應將內部控制制度缺失、異常事項及改善情形，列為各部門績效考核之重要項目。</w:t>
            </w:r>
          </w:p>
        </w:tc>
        <w:tc>
          <w:tcPr>
            <w:tcW w:w="2023" w:type="dxa"/>
            <w:vMerge/>
            <w:tcBorders>
              <w:right w:val="single" w:sz="12" w:space="0" w:color="auto"/>
            </w:tcBorders>
          </w:tcPr>
          <w:p w14:paraId="4FACC3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F0E300" w14:textId="77777777">
        <w:tc>
          <w:tcPr>
            <w:tcW w:w="1384" w:type="dxa"/>
            <w:vMerge/>
            <w:tcBorders>
              <w:left w:val="single" w:sz="12" w:space="0" w:color="auto"/>
            </w:tcBorders>
          </w:tcPr>
          <w:p w14:paraId="7ED3490B" w14:textId="77777777" w:rsidR="003B3105" w:rsidRDefault="003B3105" w:rsidP="001E533B">
            <w:pPr>
              <w:rPr>
                <w:rFonts w:ascii="新細明體" w:eastAsia="新細明體" w:hAnsi="新細明體"/>
              </w:rPr>
            </w:pPr>
          </w:p>
        </w:tc>
        <w:tc>
          <w:tcPr>
            <w:tcW w:w="1276" w:type="dxa"/>
            <w:vMerge/>
          </w:tcPr>
          <w:p w14:paraId="0AA62163" w14:textId="77777777" w:rsidR="003B3105" w:rsidRDefault="003B3105" w:rsidP="001E533B">
            <w:pPr>
              <w:rPr>
                <w:rFonts w:ascii="新細明體" w:eastAsia="新細明體" w:hAnsi="新細明體"/>
              </w:rPr>
            </w:pPr>
          </w:p>
        </w:tc>
        <w:tc>
          <w:tcPr>
            <w:tcW w:w="5386" w:type="dxa"/>
            <w:tcBorders>
              <w:top w:val="nil"/>
              <w:bottom w:val="nil"/>
            </w:tcBorders>
          </w:tcPr>
          <w:p w14:paraId="225B86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(八)稽核報告及追蹤報告陳核後，應於稽核項目完成之次月底前交付各監察人查</w:t>
            </w:r>
            <w:r>
              <w:rPr>
                <w:rFonts w:ascii="新細明體" w:eastAsia="新細明體" w:hAnsi="新細明體" w:cs="新細明體" w:hint="eastAsia"/>
              </w:rPr>
              <w:lastRenderedPageBreak/>
              <w:t>閱。內部稽核人員如發現重大違規情事或公司有受重大損失之虞時，應立即作成報告陳核，並通知各監察人。設有獨立董事者，應一併交付或通知獨立董事。</w:t>
            </w:r>
          </w:p>
        </w:tc>
        <w:tc>
          <w:tcPr>
            <w:tcW w:w="5387" w:type="dxa"/>
            <w:tcBorders>
              <w:top w:val="nil"/>
              <w:bottom w:val="nil"/>
            </w:tcBorders>
          </w:tcPr>
          <w:p w14:paraId="2C35EF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(八)稽核報告及追蹤報告陳核後，應於稽核項目完成之次月底前交付各監察人查</w:t>
            </w:r>
            <w:r>
              <w:rPr>
                <w:rFonts w:ascii="新細明體" w:eastAsia="新細明體" w:hAnsi="新細明體" w:cs="新細明體" w:hint="eastAsia"/>
              </w:rPr>
              <w:lastRenderedPageBreak/>
              <w:t>閱。內部稽核人員如發現重大違規情事或公司有受重大損失之虞時，應立即作成報告陳核，並通知各監察人。設有獨立董事者，應一併交付或通知獨立董事。</w:t>
            </w:r>
          </w:p>
        </w:tc>
        <w:tc>
          <w:tcPr>
            <w:tcW w:w="2023" w:type="dxa"/>
            <w:vMerge/>
            <w:tcBorders>
              <w:right w:val="single" w:sz="12" w:space="0" w:color="auto"/>
            </w:tcBorders>
          </w:tcPr>
          <w:p w14:paraId="2C27E10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CDDFF4" w14:textId="77777777">
        <w:tc>
          <w:tcPr>
            <w:tcW w:w="1384" w:type="dxa"/>
            <w:vMerge/>
            <w:tcBorders>
              <w:left w:val="single" w:sz="12" w:space="0" w:color="auto"/>
            </w:tcBorders>
          </w:tcPr>
          <w:p w14:paraId="04412A7B" w14:textId="77777777" w:rsidR="003B3105" w:rsidRDefault="003B3105" w:rsidP="001E533B">
            <w:pPr>
              <w:rPr>
                <w:rFonts w:ascii="新細明體" w:eastAsia="新細明體" w:hAnsi="新細明體"/>
              </w:rPr>
            </w:pPr>
          </w:p>
        </w:tc>
        <w:tc>
          <w:tcPr>
            <w:tcW w:w="1276" w:type="dxa"/>
            <w:vMerge/>
          </w:tcPr>
          <w:p w14:paraId="53075BFE" w14:textId="77777777" w:rsidR="003B3105" w:rsidRDefault="003B3105" w:rsidP="001E533B">
            <w:pPr>
              <w:rPr>
                <w:rFonts w:ascii="新細明體" w:eastAsia="新細明體" w:hAnsi="新細明體"/>
              </w:rPr>
            </w:pPr>
          </w:p>
        </w:tc>
        <w:tc>
          <w:tcPr>
            <w:tcW w:w="5386" w:type="dxa"/>
            <w:tcBorders>
              <w:top w:val="nil"/>
              <w:bottom w:val="nil"/>
            </w:tcBorders>
          </w:tcPr>
          <w:p w14:paraId="5C60F8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(九)分公司稽核報告應至少每月一次由總公司稽核主管彙整陳核最高主管（董事長或董事會授權之主管）。</w:t>
            </w:r>
          </w:p>
        </w:tc>
        <w:tc>
          <w:tcPr>
            <w:tcW w:w="5387" w:type="dxa"/>
            <w:tcBorders>
              <w:top w:val="nil"/>
              <w:bottom w:val="nil"/>
            </w:tcBorders>
          </w:tcPr>
          <w:p w14:paraId="0F305F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(九)分公司稽核報告應至少每月一次由總公司稽核主管彙整陳核最高主管（董事長或董事會授權之主管）。</w:t>
            </w:r>
          </w:p>
        </w:tc>
        <w:tc>
          <w:tcPr>
            <w:tcW w:w="2023" w:type="dxa"/>
            <w:vMerge/>
            <w:tcBorders>
              <w:right w:val="single" w:sz="12" w:space="0" w:color="auto"/>
            </w:tcBorders>
          </w:tcPr>
          <w:p w14:paraId="4DDF12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BD933B" w14:textId="77777777">
        <w:tc>
          <w:tcPr>
            <w:tcW w:w="1384" w:type="dxa"/>
            <w:vMerge/>
            <w:tcBorders>
              <w:left w:val="single" w:sz="12" w:space="0" w:color="auto"/>
            </w:tcBorders>
          </w:tcPr>
          <w:p w14:paraId="52154E29" w14:textId="77777777" w:rsidR="003B3105" w:rsidRDefault="003B3105" w:rsidP="001E533B">
            <w:pPr>
              <w:rPr>
                <w:rFonts w:ascii="新細明體" w:eastAsia="新細明體" w:hAnsi="新細明體"/>
              </w:rPr>
            </w:pPr>
          </w:p>
        </w:tc>
        <w:tc>
          <w:tcPr>
            <w:tcW w:w="1276" w:type="dxa"/>
            <w:vMerge/>
          </w:tcPr>
          <w:p w14:paraId="16644F6B" w14:textId="77777777" w:rsidR="003B3105" w:rsidRDefault="003B3105" w:rsidP="001E533B">
            <w:pPr>
              <w:rPr>
                <w:rFonts w:ascii="新細明體" w:eastAsia="新細明體" w:hAnsi="新細明體"/>
              </w:rPr>
            </w:pPr>
          </w:p>
        </w:tc>
        <w:tc>
          <w:tcPr>
            <w:tcW w:w="5386" w:type="dxa"/>
            <w:tcBorders>
              <w:top w:val="nil"/>
              <w:bottom w:val="nil"/>
            </w:tcBorders>
          </w:tcPr>
          <w:p w14:paraId="2147822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十四、稽核人員應注意事項：</w:t>
            </w:r>
          </w:p>
        </w:tc>
        <w:tc>
          <w:tcPr>
            <w:tcW w:w="5387" w:type="dxa"/>
            <w:tcBorders>
              <w:top w:val="nil"/>
              <w:bottom w:val="nil"/>
            </w:tcBorders>
          </w:tcPr>
          <w:p w14:paraId="4F58FA8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十四、稽核人員應注意事項：</w:t>
            </w:r>
          </w:p>
        </w:tc>
        <w:tc>
          <w:tcPr>
            <w:tcW w:w="2023" w:type="dxa"/>
            <w:vMerge/>
            <w:tcBorders>
              <w:right w:val="single" w:sz="12" w:space="0" w:color="auto"/>
            </w:tcBorders>
          </w:tcPr>
          <w:p w14:paraId="239081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BF0568" w14:textId="77777777">
        <w:tc>
          <w:tcPr>
            <w:tcW w:w="1384" w:type="dxa"/>
            <w:vMerge/>
            <w:tcBorders>
              <w:left w:val="single" w:sz="12" w:space="0" w:color="auto"/>
            </w:tcBorders>
          </w:tcPr>
          <w:p w14:paraId="78C62EF9" w14:textId="77777777" w:rsidR="003B3105" w:rsidRDefault="003B3105" w:rsidP="001E533B">
            <w:pPr>
              <w:rPr>
                <w:rFonts w:ascii="新細明體" w:eastAsia="新細明體" w:hAnsi="新細明體"/>
              </w:rPr>
            </w:pPr>
          </w:p>
        </w:tc>
        <w:tc>
          <w:tcPr>
            <w:tcW w:w="1276" w:type="dxa"/>
            <w:vMerge/>
          </w:tcPr>
          <w:p w14:paraId="66050010" w14:textId="77777777" w:rsidR="003B3105" w:rsidRDefault="003B3105" w:rsidP="001E533B">
            <w:pPr>
              <w:rPr>
                <w:rFonts w:ascii="新細明體" w:eastAsia="新細明體" w:hAnsi="新細明體"/>
              </w:rPr>
            </w:pPr>
          </w:p>
        </w:tc>
        <w:tc>
          <w:tcPr>
            <w:tcW w:w="5386" w:type="dxa"/>
            <w:tcBorders>
              <w:top w:val="nil"/>
              <w:bottom w:val="nil"/>
            </w:tcBorders>
          </w:tcPr>
          <w:p w14:paraId="68E05E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(一)內部稽核人員應秉持超然獨立之精神，以客觀公正之立場，確實執行職務，除定期向各監察人報告稽核業務外，稽核主管並應列席董事會報告。內部稽核人員執行業務應本誠實信用原則，並不得有下列情事：</w:t>
            </w:r>
          </w:p>
        </w:tc>
        <w:tc>
          <w:tcPr>
            <w:tcW w:w="5387" w:type="dxa"/>
            <w:tcBorders>
              <w:top w:val="nil"/>
              <w:bottom w:val="nil"/>
            </w:tcBorders>
          </w:tcPr>
          <w:p w14:paraId="029706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(一)內部稽核人員應秉持超然獨立之精神，以客觀公正之立場，確實執行職務，除定期向各監察人報告稽核業務外，稽核主管並應列席董事會報告。內部稽核人員執行業務應本誠實信用原則，並不得有下列情事：</w:t>
            </w:r>
          </w:p>
        </w:tc>
        <w:tc>
          <w:tcPr>
            <w:tcW w:w="2023" w:type="dxa"/>
            <w:vMerge/>
            <w:tcBorders>
              <w:right w:val="single" w:sz="12" w:space="0" w:color="auto"/>
            </w:tcBorders>
          </w:tcPr>
          <w:p w14:paraId="76D03CF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9B245A" w14:textId="77777777">
        <w:tc>
          <w:tcPr>
            <w:tcW w:w="1384" w:type="dxa"/>
            <w:vMerge/>
            <w:tcBorders>
              <w:left w:val="single" w:sz="12" w:space="0" w:color="auto"/>
            </w:tcBorders>
          </w:tcPr>
          <w:p w14:paraId="143F2A25" w14:textId="77777777" w:rsidR="003B3105" w:rsidRDefault="003B3105" w:rsidP="001E533B">
            <w:pPr>
              <w:rPr>
                <w:rFonts w:ascii="新細明體" w:eastAsia="新細明體" w:hAnsi="新細明體"/>
              </w:rPr>
            </w:pPr>
          </w:p>
        </w:tc>
        <w:tc>
          <w:tcPr>
            <w:tcW w:w="1276" w:type="dxa"/>
            <w:vMerge/>
          </w:tcPr>
          <w:p w14:paraId="56408C3B" w14:textId="77777777" w:rsidR="003B3105" w:rsidRDefault="003B3105" w:rsidP="001E533B">
            <w:pPr>
              <w:rPr>
                <w:rFonts w:ascii="新細明體" w:eastAsia="新細明體" w:hAnsi="新細明體"/>
              </w:rPr>
            </w:pPr>
          </w:p>
        </w:tc>
        <w:tc>
          <w:tcPr>
            <w:tcW w:w="5386" w:type="dxa"/>
            <w:tcBorders>
              <w:top w:val="nil"/>
              <w:bottom w:val="nil"/>
            </w:tcBorders>
          </w:tcPr>
          <w:p w14:paraId="0550958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1.明知公司之營運活動、報導及相關法令規章遵循情況有直接損害受益人、客戶或利害關係人之情事，而予以隱飾或作不實、不當之揭露。</w:t>
            </w:r>
          </w:p>
        </w:tc>
        <w:tc>
          <w:tcPr>
            <w:tcW w:w="5387" w:type="dxa"/>
            <w:tcBorders>
              <w:top w:val="nil"/>
              <w:bottom w:val="nil"/>
            </w:tcBorders>
          </w:tcPr>
          <w:p w14:paraId="7F84B9D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1.明知公司之營運活動、報導及相關法令規章遵循情況有直接損害受益人、客戶或利害關係人之情事，而予以隱飾或作不實、不當之揭露。</w:t>
            </w:r>
          </w:p>
        </w:tc>
        <w:tc>
          <w:tcPr>
            <w:tcW w:w="2023" w:type="dxa"/>
            <w:vMerge/>
            <w:tcBorders>
              <w:right w:val="single" w:sz="12" w:space="0" w:color="auto"/>
            </w:tcBorders>
          </w:tcPr>
          <w:p w14:paraId="21DBA6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E1AA8F" w14:textId="77777777">
        <w:tc>
          <w:tcPr>
            <w:tcW w:w="1384" w:type="dxa"/>
            <w:vMerge/>
            <w:tcBorders>
              <w:left w:val="single" w:sz="12" w:space="0" w:color="auto"/>
            </w:tcBorders>
          </w:tcPr>
          <w:p w14:paraId="14CE394F" w14:textId="77777777" w:rsidR="003B3105" w:rsidRDefault="003B3105" w:rsidP="001E533B">
            <w:pPr>
              <w:rPr>
                <w:rFonts w:ascii="新細明體" w:eastAsia="新細明體" w:hAnsi="新細明體"/>
              </w:rPr>
            </w:pPr>
          </w:p>
        </w:tc>
        <w:tc>
          <w:tcPr>
            <w:tcW w:w="1276" w:type="dxa"/>
            <w:vMerge/>
          </w:tcPr>
          <w:p w14:paraId="46795069" w14:textId="77777777" w:rsidR="003B3105" w:rsidRDefault="003B3105" w:rsidP="001E533B">
            <w:pPr>
              <w:rPr>
                <w:rFonts w:ascii="新細明體" w:eastAsia="新細明體" w:hAnsi="新細明體"/>
              </w:rPr>
            </w:pPr>
          </w:p>
        </w:tc>
        <w:tc>
          <w:tcPr>
            <w:tcW w:w="5386" w:type="dxa"/>
            <w:tcBorders>
              <w:top w:val="nil"/>
              <w:bottom w:val="nil"/>
            </w:tcBorders>
          </w:tcPr>
          <w:p w14:paraId="370EAC4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2.因職務上之廢弛，致損及公司或利害關係人之權益等情事。</w:t>
            </w:r>
          </w:p>
        </w:tc>
        <w:tc>
          <w:tcPr>
            <w:tcW w:w="5387" w:type="dxa"/>
            <w:tcBorders>
              <w:top w:val="nil"/>
              <w:bottom w:val="nil"/>
            </w:tcBorders>
          </w:tcPr>
          <w:p w14:paraId="48F3FB5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2.因職務上之廢弛，致損及公司或利害關係人之權益等情事。</w:t>
            </w:r>
          </w:p>
        </w:tc>
        <w:tc>
          <w:tcPr>
            <w:tcW w:w="2023" w:type="dxa"/>
            <w:vMerge/>
            <w:tcBorders>
              <w:right w:val="single" w:sz="12" w:space="0" w:color="auto"/>
            </w:tcBorders>
          </w:tcPr>
          <w:p w14:paraId="52FEAA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371518" w14:textId="77777777">
        <w:tc>
          <w:tcPr>
            <w:tcW w:w="1384" w:type="dxa"/>
            <w:vMerge/>
            <w:tcBorders>
              <w:left w:val="single" w:sz="12" w:space="0" w:color="auto"/>
            </w:tcBorders>
          </w:tcPr>
          <w:p w14:paraId="0258E06F" w14:textId="77777777" w:rsidR="003B3105" w:rsidRDefault="003B3105" w:rsidP="001E533B">
            <w:pPr>
              <w:rPr>
                <w:rFonts w:ascii="新細明體" w:eastAsia="新細明體" w:hAnsi="新細明體"/>
              </w:rPr>
            </w:pPr>
          </w:p>
        </w:tc>
        <w:tc>
          <w:tcPr>
            <w:tcW w:w="1276" w:type="dxa"/>
            <w:vMerge/>
          </w:tcPr>
          <w:p w14:paraId="26A6A372" w14:textId="77777777" w:rsidR="003B3105" w:rsidRDefault="003B3105" w:rsidP="001E533B">
            <w:pPr>
              <w:rPr>
                <w:rFonts w:ascii="新細明體" w:eastAsia="新細明體" w:hAnsi="新細明體"/>
              </w:rPr>
            </w:pPr>
          </w:p>
        </w:tc>
        <w:tc>
          <w:tcPr>
            <w:tcW w:w="5386" w:type="dxa"/>
            <w:tcBorders>
              <w:top w:val="nil"/>
              <w:bottom w:val="nil"/>
            </w:tcBorders>
          </w:tcPr>
          <w:p w14:paraId="61D90A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3.逾越稽核職權範圍以外之行為或有其他不正當情事，意圖為自己或第三人之利益，違背其職務之行為或侵占公司資產。</w:t>
            </w:r>
          </w:p>
        </w:tc>
        <w:tc>
          <w:tcPr>
            <w:tcW w:w="5387" w:type="dxa"/>
            <w:tcBorders>
              <w:top w:val="nil"/>
              <w:bottom w:val="nil"/>
            </w:tcBorders>
          </w:tcPr>
          <w:p w14:paraId="5E81639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3.逾越稽核職權範圍以外之行為或有其他不正當情事，意圖為自己或第三人之利益，違背其職務之行為或侵占公司資產。</w:t>
            </w:r>
          </w:p>
        </w:tc>
        <w:tc>
          <w:tcPr>
            <w:tcW w:w="2023" w:type="dxa"/>
            <w:vMerge/>
            <w:tcBorders>
              <w:right w:val="single" w:sz="12" w:space="0" w:color="auto"/>
            </w:tcBorders>
          </w:tcPr>
          <w:p w14:paraId="24D7A73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CCFF48" w14:textId="77777777">
        <w:tc>
          <w:tcPr>
            <w:tcW w:w="1384" w:type="dxa"/>
            <w:vMerge/>
            <w:tcBorders>
              <w:left w:val="single" w:sz="12" w:space="0" w:color="auto"/>
            </w:tcBorders>
          </w:tcPr>
          <w:p w14:paraId="5C30F5F6" w14:textId="77777777" w:rsidR="003B3105" w:rsidRDefault="003B3105" w:rsidP="001E533B">
            <w:pPr>
              <w:rPr>
                <w:rFonts w:ascii="新細明體" w:eastAsia="新細明體" w:hAnsi="新細明體"/>
              </w:rPr>
            </w:pPr>
          </w:p>
        </w:tc>
        <w:tc>
          <w:tcPr>
            <w:tcW w:w="1276" w:type="dxa"/>
            <w:vMerge/>
          </w:tcPr>
          <w:p w14:paraId="5D58B9B4" w14:textId="77777777" w:rsidR="003B3105" w:rsidRDefault="003B3105" w:rsidP="001E533B">
            <w:pPr>
              <w:rPr>
                <w:rFonts w:ascii="新細明體" w:eastAsia="新細明體" w:hAnsi="新細明體"/>
              </w:rPr>
            </w:pPr>
          </w:p>
        </w:tc>
        <w:tc>
          <w:tcPr>
            <w:tcW w:w="5386" w:type="dxa"/>
            <w:tcBorders>
              <w:top w:val="nil"/>
              <w:bottom w:val="nil"/>
            </w:tcBorders>
          </w:tcPr>
          <w:p w14:paraId="2FD926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4.對於以前曾服務之部門，於一年內進行稽核作業。但依主管機關規定，訂定下列防範利益衝突之適當措施者，分公司</w:t>
            </w:r>
            <w:r>
              <w:rPr>
                <w:rFonts w:ascii="新細明體" w:eastAsia="新細明體" w:hAnsi="新細明體" w:cs="新細明體" w:hint="eastAsia"/>
              </w:rPr>
              <w:lastRenderedPageBreak/>
              <w:t>內部稽核人員得對以前服務之部門進行稽核作業：</w:t>
            </w:r>
          </w:p>
        </w:tc>
        <w:tc>
          <w:tcPr>
            <w:tcW w:w="5387" w:type="dxa"/>
            <w:tcBorders>
              <w:top w:val="nil"/>
              <w:bottom w:val="nil"/>
            </w:tcBorders>
          </w:tcPr>
          <w:p w14:paraId="38AF7C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4.對於以前曾服務之部門，於一年內進行稽核作業。但依主管機關規定，訂定下列防範利益衝突之適當措施者，分公司</w:t>
            </w:r>
            <w:r>
              <w:rPr>
                <w:rFonts w:ascii="新細明體" w:eastAsia="新細明體" w:hAnsi="新細明體" w:cs="新細明體" w:hint="eastAsia"/>
              </w:rPr>
              <w:lastRenderedPageBreak/>
              <w:t>內部稽核人員得對以前服務之部門進行稽核作業：</w:t>
            </w:r>
          </w:p>
        </w:tc>
        <w:tc>
          <w:tcPr>
            <w:tcW w:w="2023" w:type="dxa"/>
            <w:vMerge/>
            <w:tcBorders>
              <w:right w:val="single" w:sz="12" w:space="0" w:color="auto"/>
            </w:tcBorders>
          </w:tcPr>
          <w:p w14:paraId="3F46EB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3576FB" w14:textId="77777777">
        <w:tc>
          <w:tcPr>
            <w:tcW w:w="1384" w:type="dxa"/>
            <w:vMerge/>
            <w:tcBorders>
              <w:left w:val="single" w:sz="12" w:space="0" w:color="auto"/>
            </w:tcBorders>
          </w:tcPr>
          <w:p w14:paraId="396A2B0C" w14:textId="77777777" w:rsidR="003B3105" w:rsidRDefault="003B3105" w:rsidP="001E533B">
            <w:pPr>
              <w:rPr>
                <w:rFonts w:ascii="新細明體" w:eastAsia="新細明體" w:hAnsi="新細明體"/>
              </w:rPr>
            </w:pPr>
          </w:p>
        </w:tc>
        <w:tc>
          <w:tcPr>
            <w:tcW w:w="1276" w:type="dxa"/>
            <w:vMerge/>
          </w:tcPr>
          <w:p w14:paraId="3902468C" w14:textId="77777777" w:rsidR="003B3105" w:rsidRDefault="003B3105" w:rsidP="001E533B">
            <w:pPr>
              <w:rPr>
                <w:rFonts w:ascii="新細明體" w:eastAsia="新細明體" w:hAnsi="新細明體"/>
              </w:rPr>
            </w:pPr>
          </w:p>
        </w:tc>
        <w:tc>
          <w:tcPr>
            <w:tcW w:w="5386" w:type="dxa"/>
            <w:tcBorders>
              <w:top w:val="nil"/>
              <w:bottom w:val="nil"/>
            </w:tcBorders>
          </w:tcPr>
          <w:p w14:paraId="275944E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(1)總公司稽核部門應就該分公司新任稽核人員之原職務內容進行專案查核，查核無疑慮後其始得就任。</w:t>
            </w:r>
          </w:p>
        </w:tc>
        <w:tc>
          <w:tcPr>
            <w:tcW w:w="5387" w:type="dxa"/>
            <w:tcBorders>
              <w:top w:val="nil"/>
              <w:bottom w:val="nil"/>
            </w:tcBorders>
          </w:tcPr>
          <w:p w14:paraId="26B3FAF3"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(1)總公司稽核部門應就該分公司新任稽核人員之原職務內容進行專案查核，查核無疑慮後其始得就任。</w:t>
            </w:r>
          </w:p>
        </w:tc>
        <w:tc>
          <w:tcPr>
            <w:tcW w:w="2023" w:type="dxa"/>
            <w:vMerge/>
            <w:tcBorders>
              <w:right w:val="single" w:sz="12" w:space="0" w:color="auto"/>
            </w:tcBorders>
          </w:tcPr>
          <w:p w14:paraId="61AF113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2557DE" w14:textId="77777777">
        <w:tc>
          <w:tcPr>
            <w:tcW w:w="1384" w:type="dxa"/>
            <w:vMerge/>
            <w:tcBorders>
              <w:left w:val="single" w:sz="12" w:space="0" w:color="auto"/>
            </w:tcBorders>
          </w:tcPr>
          <w:p w14:paraId="62222D89" w14:textId="77777777" w:rsidR="003B3105" w:rsidRDefault="003B3105" w:rsidP="001E533B">
            <w:pPr>
              <w:rPr>
                <w:rFonts w:ascii="新細明體" w:eastAsia="新細明體" w:hAnsi="新細明體"/>
              </w:rPr>
            </w:pPr>
          </w:p>
        </w:tc>
        <w:tc>
          <w:tcPr>
            <w:tcW w:w="1276" w:type="dxa"/>
            <w:vMerge/>
          </w:tcPr>
          <w:p w14:paraId="5439BD01" w14:textId="77777777" w:rsidR="003B3105" w:rsidRDefault="003B3105" w:rsidP="001E533B">
            <w:pPr>
              <w:rPr>
                <w:rFonts w:ascii="新細明體" w:eastAsia="新細明體" w:hAnsi="新細明體"/>
              </w:rPr>
            </w:pPr>
          </w:p>
        </w:tc>
        <w:tc>
          <w:tcPr>
            <w:tcW w:w="5386" w:type="dxa"/>
            <w:tcBorders>
              <w:top w:val="nil"/>
              <w:bottom w:val="nil"/>
            </w:tcBorders>
          </w:tcPr>
          <w:p w14:paraId="4614C035"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(2)總公司稽核部門主管應就該分公司新任稽核人員之適任性盡評估責任。</w:t>
            </w:r>
          </w:p>
        </w:tc>
        <w:tc>
          <w:tcPr>
            <w:tcW w:w="5387" w:type="dxa"/>
            <w:tcBorders>
              <w:top w:val="nil"/>
              <w:bottom w:val="nil"/>
            </w:tcBorders>
          </w:tcPr>
          <w:p w14:paraId="251E79D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(2)總公司稽核部門主管應就該分公司新任稽核人員之適任性盡評估責任。</w:t>
            </w:r>
          </w:p>
        </w:tc>
        <w:tc>
          <w:tcPr>
            <w:tcW w:w="2023" w:type="dxa"/>
            <w:vMerge/>
            <w:tcBorders>
              <w:right w:val="single" w:sz="12" w:space="0" w:color="auto"/>
            </w:tcBorders>
          </w:tcPr>
          <w:p w14:paraId="1D35C7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7E092A" w14:textId="77777777">
        <w:tc>
          <w:tcPr>
            <w:tcW w:w="1384" w:type="dxa"/>
            <w:vMerge/>
            <w:tcBorders>
              <w:left w:val="single" w:sz="12" w:space="0" w:color="auto"/>
            </w:tcBorders>
          </w:tcPr>
          <w:p w14:paraId="3AA8A46F" w14:textId="77777777" w:rsidR="003B3105" w:rsidRDefault="003B3105" w:rsidP="001E533B">
            <w:pPr>
              <w:rPr>
                <w:rFonts w:ascii="新細明體" w:eastAsia="新細明體" w:hAnsi="新細明體"/>
              </w:rPr>
            </w:pPr>
          </w:p>
        </w:tc>
        <w:tc>
          <w:tcPr>
            <w:tcW w:w="1276" w:type="dxa"/>
            <w:vMerge/>
          </w:tcPr>
          <w:p w14:paraId="72B9066B" w14:textId="77777777" w:rsidR="003B3105" w:rsidRDefault="003B3105" w:rsidP="001E533B">
            <w:pPr>
              <w:rPr>
                <w:rFonts w:ascii="新細明體" w:eastAsia="新細明體" w:hAnsi="新細明體"/>
              </w:rPr>
            </w:pPr>
          </w:p>
        </w:tc>
        <w:tc>
          <w:tcPr>
            <w:tcW w:w="5386" w:type="dxa"/>
            <w:tcBorders>
              <w:top w:val="nil"/>
              <w:bottom w:val="nil"/>
            </w:tcBorders>
          </w:tcPr>
          <w:p w14:paraId="3F383DB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(3)總公司稽核部門應就稽核人員係由原分公司其他部門轉任之營業據點，提高查核頻率至每季一次，直至該稽核人員任職屆滿一年為止。</w:t>
            </w:r>
          </w:p>
        </w:tc>
        <w:tc>
          <w:tcPr>
            <w:tcW w:w="5387" w:type="dxa"/>
            <w:tcBorders>
              <w:top w:val="nil"/>
              <w:bottom w:val="nil"/>
            </w:tcBorders>
          </w:tcPr>
          <w:p w14:paraId="6BA57A10"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(3)總公司稽核部門應就稽核人員係由原分公司其他部門轉任之營業據點，提高查核頻率至每季一次，直至該稽核人員任職屆滿一年為止。</w:t>
            </w:r>
          </w:p>
        </w:tc>
        <w:tc>
          <w:tcPr>
            <w:tcW w:w="2023" w:type="dxa"/>
            <w:vMerge/>
            <w:tcBorders>
              <w:right w:val="single" w:sz="12" w:space="0" w:color="auto"/>
            </w:tcBorders>
          </w:tcPr>
          <w:p w14:paraId="4648A2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B79A3F" w14:textId="77777777">
        <w:tc>
          <w:tcPr>
            <w:tcW w:w="1384" w:type="dxa"/>
            <w:vMerge/>
            <w:tcBorders>
              <w:left w:val="single" w:sz="12" w:space="0" w:color="auto"/>
            </w:tcBorders>
          </w:tcPr>
          <w:p w14:paraId="5D3289CA" w14:textId="77777777" w:rsidR="003B3105" w:rsidRDefault="003B3105" w:rsidP="001E533B">
            <w:pPr>
              <w:rPr>
                <w:rFonts w:ascii="新細明體" w:eastAsia="新細明體" w:hAnsi="新細明體"/>
              </w:rPr>
            </w:pPr>
          </w:p>
        </w:tc>
        <w:tc>
          <w:tcPr>
            <w:tcW w:w="1276" w:type="dxa"/>
            <w:vMerge/>
          </w:tcPr>
          <w:p w14:paraId="76DCFC32" w14:textId="77777777" w:rsidR="003B3105" w:rsidRDefault="003B3105" w:rsidP="001E533B">
            <w:pPr>
              <w:rPr>
                <w:rFonts w:ascii="新細明體" w:eastAsia="新細明體" w:hAnsi="新細明體"/>
              </w:rPr>
            </w:pPr>
          </w:p>
        </w:tc>
        <w:tc>
          <w:tcPr>
            <w:tcW w:w="5386" w:type="dxa"/>
            <w:tcBorders>
              <w:top w:val="nil"/>
              <w:bottom w:val="nil"/>
            </w:tcBorders>
          </w:tcPr>
          <w:p w14:paraId="16C406F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(4)該分公司新任稽核人員及經理人應分別出具書面聲明，表示將確盡稽核義務，及表示尊重稽核人員之獨立性，絕不干預。</w:t>
            </w:r>
          </w:p>
        </w:tc>
        <w:tc>
          <w:tcPr>
            <w:tcW w:w="5387" w:type="dxa"/>
            <w:tcBorders>
              <w:top w:val="nil"/>
              <w:bottom w:val="nil"/>
            </w:tcBorders>
          </w:tcPr>
          <w:p w14:paraId="794D2FC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(4)該分公司新任稽核人員及經理人應分別出具書面聲明，表示將確盡稽核義務，及表示尊重稽核人員之獨立性，絕不干預。</w:t>
            </w:r>
          </w:p>
        </w:tc>
        <w:tc>
          <w:tcPr>
            <w:tcW w:w="2023" w:type="dxa"/>
            <w:vMerge/>
            <w:tcBorders>
              <w:right w:val="single" w:sz="12" w:space="0" w:color="auto"/>
            </w:tcBorders>
          </w:tcPr>
          <w:p w14:paraId="212F39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3C0762" w14:textId="77777777">
        <w:tc>
          <w:tcPr>
            <w:tcW w:w="1384" w:type="dxa"/>
            <w:vMerge/>
            <w:tcBorders>
              <w:left w:val="single" w:sz="12" w:space="0" w:color="auto"/>
            </w:tcBorders>
          </w:tcPr>
          <w:p w14:paraId="3DA51BFC" w14:textId="77777777" w:rsidR="003B3105" w:rsidRDefault="003B3105" w:rsidP="001E533B">
            <w:pPr>
              <w:rPr>
                <w:rFonts w:ascii="新細明體" w:eastAsia="新細明體" w:hAnsi="新細明體"/>
              </w:rPr>
            </w:pPr>
          </w:p>
        </w:tc>
        <w:tc>
          <w:tcPr>
            <w:tcW w:w="1276" w:type="dxa"/>
            <w:vMerge/>
          </w:tcPr>
          <w:p w14:paraId="022F55C3" w14:textId="77777777" w:rsidR="003B3105" w:rsidRDefault="003B3105" w:rsidP="001E533B">
            <w:pPr>
              <w:rPr>
                <w:rFonts w:ascii="新細明體" w:eastAsia="新細明體" w:hAnsi="新細明體"/>
              </w:rPr>
            </w:pPr>
          </w:p>
        </w:tc>
        <w:tc>
          <w:tcPr>
            <w:tcW w:w="5386" w:type="dxa"/>
            <w:tcBorders>
              <w:top w:val="nil"/>
              <w:bottom w:val="nil"/>
            </w:tcBorders>
          </w:tcPr>
          <w:p w14:paraId="6CF9CAB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5.與自身有利害關係或利益衝突案件未予迴避。</w:t>
            </w:r>
          </w:p>
        </w:tc>
        <w:tc>
          <w:tcPr>
            <w:tcW w:w="5387" w:type="dxa"/>
            <w:tcBorders>
              <w:top w:val="nil"/>
              <w:bottom w:val="nil"/>
            </w:tcBorders>
          </w:tcPr>
          <w:p w14:paraId="45E1D2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5.與自身有利害關係或利益衝突案件未予迴避。</w:t>
            </w:r>
          </w:p>
        </w:tc>
        <w:tc>
          <w:tcPr>
            <w:tcW w:w="2023" w:type="dxa"/>
            <w:vMerge/>
            <w:tcBorders>
              <w:right w:val="single" w:sz="12" w:space="0" w:color="auto"/>
            </w:tcBorders>
          </w:tcPr>
          <w:p w14:paraId="035A2B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FA17FB" w14:textId="77777777">
        <w:tc>
          <w:tcPr>
            <w:tcW w:w="1384" w:type="dxa"/>
            <w:vMerge/>
            <w:tcBorders>
              <w:left w:val="single" w:sz="12" w:space="0" w:color="auto"/>
            </w:tcBorders>
          </w:tcPr>
          <w:p w14:paraId="5AF40F58" w14:textId="77777777" w:rsidR="003B3105" w:rsidRDefault="003B3105" w:rsidP="001E533B">
            <w:pPr>
              <w:rPr>
                <w:rFonts w:ascii="新細明體" w:eastAsia="新細明體" w:hAnsi="新細明體"/>
              </w:rPr>
            </w:pPr>
          </w:p>
        </w:tc>
        <w:tc>
          <w:tcPr>
            <w:tcW w:w="1276" w:type="dxa"/>
            <w:vMerge/>
          </w:tcPr>
          <w:p w14:paraId="5FFD8D84" w14:textId="77777777" w:rsidR="003B3105" w:rsidRDefault="003B3105" w:rsidP="001E533B">
            <w:pPr>
              <w:rPr>
                <w:rFonts w:ascii="新細明體" w:eastAsia="新細明體" w:hAnsi="新細明體"/>
              </w:rPr>
            </w:pPr>
          </w:p>
        </w:tc>
        <w:tc>
          <w:tcPr>
            <w:tcW w:w="5386" w:type="dxa"/>
            <w:tcBorders>
              <w:top w:val="nil"/>
              <w:bottom w:val="nil"/>
            </w:tcBorders>
          </w:tcPr>
          <w:p w14:paraId="1D2AE6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6.未配合辦理主管機關指示查核事項或提供相關資料。</w:t>
            </w:r>
          </w:p>
        </w:tc>
        <w:tc>
          <w:tcPr>
            <w:tcW w:w="5387" w:type="dxa"/>
            <w:tcBorders>
              <w:top w:val="nil"/>
              <w:bottom w:val="nil"/>
            </w:tcBorders>
          </w:tcPr>
          <w:p w14:paraId="11C79C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6.未配合辦理主管機關指示查核事項或提供相關資料。</w:t>
            </w:r>
          </w:p>
        </w:tc>
        <w:tc>
          <w:tcPr>
            <w:tcW w:w="2023" w:type="dxa"/>
            <w:vMerge/>
            <w:tcBorders>
              <w:right w:val="single" w:sz="12" w:space="0" w:color="auto"/>
            </w:tcBorders>
          </w:tcPr>
          <w:p w14:paraId="31B940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B6811D" w14:textId="77777777">
        <w:tc>
          <w:tcPr>
            <w:tcW w:w="1384" w:type="dxa"/>
            <w:vMerge/>
            <w:tcBorders>
              <w:left w:val="single" w:sz="12" w:space="0" w:color="auto"/>
            </w:tcBorders>
          </w:tcPr>
          <w:p w14:paraId="5776CCC7" w14:textId="77777777" w:rsidR="003B3105" w:rsidRDefault="003B3105" w:rsidP="001E533B">
            <w:pPr>
              <w:rPr>
                <w:rFonts w:ascii="新細明體" w:eastAsia="新細明體" w:hAnsi="新細明體"/>
              </w:rPr>
            </w:pPr>
          </w:p>
        </w:tc>
        <w:tc>
          <w:tcPr>
            <w:tcW w:w="1276" w:type="dxa"/>
            <w:vMerge/>
          </w:tcPr>
          <w:p w14:paraId="039ACAE9" w14:textId="77777777" w:rsidR="003B3105" w:rsidRDefault="003B3105" w:rsidP="001E533B">
            <w:pPr>
              <w:rPr>
                <w:rFonts w:ascii="新細明體" w:eastAsia="新細明體" w:hAnsi="新細明體"/>
              </w:rPr>
            </w:pPr>
          </w:p>
        </w:tc>
        <w:tc>
          <w:tcPr>
            <w:tcW w:w="5386" w:type="dxa"/>
            <w:tcBorders>
              <w:top w:val="nil"/>
              <w:bottom w:val="nil"/>
            </w:tcBorders>
          </w:tcPr>
          <w:p w14:paraId="6466ED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7.直接或間接提供、承諾、要求或收受不合理禮物、款待或其他任何形式之不正當利益。</w:t>
            </w:r>
          </w:p>
        </w:tc>
        <w:tc>
          <w:tcPr>
            <w:tcW w:w="5387" w:type="dxa"/>
            <w:tcBorders>
              <w:top w:val="nil"/>
              <w:bottom w:val="nil"/>
            </w:tcBorders>
          </w:tcPr>
          <w:p w14:paraId="5BA8178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7.直接或間接提供、承諾、要求或收受不合理禮物、款待或其他任何形式之不正當利益。</w:t>
            </w:r>
          </w:p>
        </w:tc>
        <w:tc>
          <w:tcPr>
            <w:tcW w:w="2023" w:type="dxa"/>
            <w:vMerge/>
            <w:tcBorders>
              <w:right w:val="single" w:sz="12" w:space="0" w:color="auto"/>
            </w:tcBorders>
          </w:tcPr>
          <w:p w14:paraId="5A9B4B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4C246B" w14:textId="77777777">
        <w:tc>
          <w:tcPr>
            <w:tcW w:w="1384" w:type="dxa"/>
            <w:vMerge/>
            <w:tcBorders>
              <w:left w:val="single" w:sz="12" w:space="0" w:color="auto"/>
            </w:tcBorders>
          </w:tcPr>
          <w:p w14:paraId="7E83E004" w14:textId="77777777" w:rsidR="003B3105" w:rsidRDefault="003B3105" w:rsidP="001E533B">
            <w:pPr>
              <w:rPr>
                <w:rFonts w:ascii="新細明體" w:eastAsia="新細明體" w:hAnsi="新細明體"/>
              </w:rPr>
            </w:pPr>
          </w:p>
        </w:tc>
        <w:tc>
          <w:tcPr>
            <w:tcW w:w="1276" w:type="dxa"/>
            <w:vMerge/>
          </w:tcPr>
          <w:p w14:paraId="2435F948" w14:textId="77777777" w:rsidR="003B3105" w:rsidRDefault="003B3105" w:rsidP="001E533B">
            <w:pPr>
              <w:rPr>
                <w:rFonts w:ascii="新細明體" w:eastAsia="新細明體" w:hAnsi="新細明體"/>
              </w:rPr>
            </w:pPr>
          </w:p>
        </w:tc>
        <w:tc>
          <w:tcPr>
            <w:tcW w:w="5386" w:type="dxa"/>
            <w:tcBorders>
              <w:top w:val="nil"/>
              <w:bottom w:val="nil"/>
            </w:tcBorders>
          </w:tcPr>
          <w:p w14:paraId="45A914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8.其他違反法令或經主管機關規定不得為之行為。</w:t>
            </w:r>
          </w:p>
        </w:tc>
        <w:tc>
          <w:tcPr>
            <w:tcW w:w="5387" w:type="dxa"/>
            <w:tcBorders>
              <w:top w:val="nil"/>
              <w:bottom w:val="nil"/>
            </w:tcBorders>
          </w:tcPr>
          <w:p w14:paraId="028448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8.其他違反法令或經主管機關規定不得為之行為。</w:t>
            </w:r>
          </w:p>
        </w:tc>
        <w:tc>
          <w:tcPr>
            <w:tcW w:w="2023" w:type="dxa"/>
            <w:vMerge/>
            <w:tcBorders>
              <w:right w:val="single" w:sz="12" w:space="0" w:color="auto"/>
            </w:tcBorders>
          </w:tcPr>
          <w:p w14:paraId="27CD9E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50FD30" w14:textId="77777777">
        <w:tc>
          <w:tcPr>
            <w:tcW w:w="1384" w:type="dxa"/>
            <w:vMerge/>
            <w:tcBorders>
              <w:left w:val="single" w:sz="12" w:space="0" w:color="auto"/>
            </w:tcBorders>
          </w:tcPr>
          <w:p w14:paraId="021DECC0" w14:textId="77777777" w:rsidR="003B3105" w:rsidRDefault="003B3105" w:rsidP="001E533B">
            <w:pPr>
              <w:rPr>
                <w:rFonts w:ascii="新細明體" w:eastAsia="新細明體" w:hAnsi="新細明體"/>
              </w:rPr>
            </w:pPr>
          </w:p>
        </w:tc>
        <w:tc>
          <w:tcPr>
            <w:tcW w:w="1276" w:type="dxa"/>
            <w:vMerge/>
          </w:tcPr>
          <w:p w14:paraId="511026FD" w14:textId="77777777" w:rsidR="003B3105" w:rsidRDefault="003B3105" w:rsidP="001E533B">
            <w:pPr>
              <w:rPr>
                <w:rFonts w:ascii="新細明體" w:eastAsia="新細明體" w:hAnsi="新細明體"/>
              </w:rPr>
            </w:pPr>
          </w:p>
        </w:tc>
        <w:tc>
          <w:tcPr>
            <w:tcW w:w="5386" w:type="dxa"/>
            <w:tcBorders>
              <w:top w:val="nil"/>
              <w:bottom w:val="nil"/>
            </w:tcBorders>
          </w:tcPr>
          <w:p w14:paraId="73B49C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(二)稽核人員應持續參加主管機關或專業機構或公司自行舉辦之內部稽核講習及各項專業課程，以提昇稽核品質及能力。</w:t>
            </w:r>
          </w:p>
        </w:tc>
        <w:tc>
          <w:tcPr>
            <w:tcW w:w="5387" w:type="dxa"/>
            <w:tcBorders>
              <w:top w:val="nil"/>
              <w:bottom w:val="nil"/>
            </w:tcBorders>
          </w:tcPr>
          <w:p w14:paraId="72DDA93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(二)稽核人員應持續參加主管機關或專業機構或公司自行舉辦之內部稽核講習及各項專業課程，以提昇稽核品質及能力。</w:t>
            </w:r>
          </w:p>
        </w:tc>
        <w:tc>
          <w:tcPr>
            <w:tcW w:w="2023" w:type="dxa"/>
            <w:vMerge/>
            <w:tcBorders>
              <w:right w:val="single" w:sz="12" w:space="0" w:color="auto"/>
            </w:tcBorders>
          </w:tcPr>
          <w:p w14:paraId="3CB087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BECC65" w14:textId="77777777">
        <w:tc>
          <w:tcPr>
            <w:tcW w:w="1384" w:type="dxa"/>
            <w:vMerge/>
            <w:tcBorders>
              <w:left w:val="single" w:sz="12" w:space="0" w:color="auto"/>
            </w:tcBorders>
          </w:tcPr>
          <w:p w14:paraId="4D0E0D61" w14:textId="77777777" w:rsidR="003B3105" w:rsidRDefault="003B3105" w:rsidP="001E533B">
            <w:pPr>
              <w:rPr>
                <w:rFonts w:ascii="新細明體" w:eastAsia="新細明體" w:hAnsi="新細明體"/>
              </w:rPr>
            </w:pPr>
          </w:p>
        </w:tc>
        <w:tc>
          <w:tcPr>
            <w:tcW w:w="1276" w:type="dxa"/>
            <w:vMerge/>
          </w:tcPr>
          <w:p w14:paraId="2F240E24" w14:textId="77777777" w:rsidR="003B3105" w:rsidRDefault="003B3105" w:rsidP="001E533B">
            <w:pPr>
              <w:rPr>
                <w:rFonts w:ascii="新細明體" w:eastAsia="新細明體" w:hAnsi="新細明體"/>
              </w:rPr>
            </w:pPr>
          </w:p>
        </w:tc>
        <w:tc>
          <w:tcPr>
            <w:tcW w:w="5386" w:type="dxa"/>
            <w:tcBorders>
              <w:top w:val="nil"/>
              <w:bottom w:val="nil"/>
            </w:tcBorders>
          </w:tcPr>
          <w:p w14:paraId="153F54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(三)稽核程序按查核計畫進行，避免不必要之討論與諮詢，儘量減少影響受查單位經辦人員本身之工作，遇有不明瞭之事項，應於適當時間提出詢問，至澈底瞭解為止。</w:t>
            </w:r>
          </w:p>
        </w:tc>
        <w:tc>
          <w:tcPr>
            <w:tcW w:w="5387" w:type="dxa"/>
            <w:tcBorders>
              <w:top w:val="nil"/>
              <w:bottom w:val="nil"/>
            </w:tcBorders>
          </w:tcPr>
          <w:p w14:paraId="39AC6C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(三)稽核程序按查核計畫進行，避免不必要之討論與諮詢，儘量減少影響受查單位經辦人員本身之工作，遇有不明瞭之事項，應於適當時間提出詢問，至澈底瞭解為止。</w:t>
            </w:r>
          </w:p>
        </w:tc>
        <w:tc>
          <w:tcPr>
            <w:tcW w:w="2023" w:type="dxa"/>
            <w:vMerge/>
            <w:tcBorders>
              <w:right w:val="single" w:sz="12" w:space="0" w:color="auto"/>
            </w:tcBorders>
          </w:tcPr>
          <w:p w14:paraId="26DB22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AB1FE5" w14:textId="77777777">
        <w:tc>
          <w:tcPr>
            <w:tcW w:w="1384" w:type="dxa"/>
            <w:vMerge/>
            <w:tcBorders>
              <w:left w:val="single" w:sz="12" w:space="0" w:color="auto"/>
            </w:tcBorders>
          </w:tcPr>
          <w:p w14:paraId="15B406ED" w14:textId="77777777" w:rsidR="003B3105" w:rsidRDefault="003B3105" w:rsidP="001E533B">
            <w:pPr>
              <w:rPr>
                <w:rFonts w:ascii="新細明體" w:eastAsia="新細明體" w:hAnsi="新細明體"/>
              </w:rPr>
            </w:pPr>
          </w:p>
        </w:tc>
        <w:tc>
          <w:tcPr>
            <w:tcW w:w="1276" w:type="dxa"/>
            <w:vMerge/>
          </w:tcPr>
          <w:p w14:paraId="367A6978" w14:textId="77777777" w:rsidR="003B3105" w:rsidRDefault="003B3105" w:rsidP="001E533B">
            <w:pPr>
              <w:rPr>
                <w:rFonts w:ascii="新細明體" w:eastAsia="新細明體" w:hAnsi="新細明體"/>
              </w:rPr>
            </w:pPr>
          </w:p>
        </w:tc>
        <w:tc>
          <w:tcPr>
            <w:tcW w:w="5386" w:type="dxa"/>
            <w:tcBorders>
              <w:top w:val="nil"/>
              <w:bottom w:val="nil"/>
            </w:tcBorders>
          </w:tcPr>
          <w:p w14:paraId="112D03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(四)勿與受查單位人員爭論制度上之不完備，發現錯誤情事不得當面批評，受查單位人員如有申訴或建議，應細心聆聽，勿與辯論。</w:t>
            </w:r>
          </w:p>
        </w:tc>
        <w:tc>
          <w:tcPr>
            <w:tcW w:w="5387" w:type="dxa"/>
            <w:tcBorders>
              <w:top w:val="nil"/>
              <w:bottom w:val="nil"/>
            </w:tcBorders>
          </w:tcPr>
          <w:p w14:paraId="06E656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(四)勿與受查單位人員爭論制度上之不完備，發現錯誤情事不得當面批評，受查單位人員如有申訴或建議，應細心聆聽，勿與辯論。</w:t>
            </w:r>
          </w:p>
        </w:tc>
        <w:tc>
          <w:tcPr>
            <w:tcW w:w="2023" w:type="dxa"/>
            <w:vMerge/>
            <w:tcBorders>
              <w:right w:val="single" w:sz="12" w:space="0" w:color="auto"/>
            </w:tcBorders>
          </w:tcPr>
          <w:p w14:paraId="4D955A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394030" w14:textId="77777777">
        <w:tc>
          <w:tcPr>
            <w:tcW w:w="1384" w:type="dxa"/>
            <w:vMerge/>
            <w:tcBorders>
              <w:left w:val="single" w:sz="12" w:space="0" w:color="auto"/>
            </w:tcBorders>
          </w:tcPr>
          <w:p w14:paraId="40F3893B" w14:textId="77777777" w:rsidR="003B3105" w:rsidRDefault="003B3105" w:rsidP="001E533B">
            <w:pPr>
              <w:rPr>
                <w:rFonts w:ascii="新細明體" w:eastAsia="新細明體" w:hAnsi="新細明體"/>
              </w:rPr>
            </w:pPr>
          </w:p>
        </w:tc>
        <w:tc>
          <w:tcPr>
            <w:tcW w:w="1276" w:type="dxa"/>
            <w:vMerge/>
          </w:tcPr>
          <w:p w14:paraId="59E46BC8" w14:textId="77777777" w:rsidR="003B3105" w:rsidRDefault="003B3105" w:rsidP="001E533B">
            <w:pPr>
              <w:rPr>
                <w:rFonts w:ascii="新細明體" w:eastAsia="新細明體" w:hAnsi="新細明體"/>
              </w:rPr>
            </w:pPr>
          </w:p>
        </w:tc>
        <w:tc>
          <w:tcPr>
            <w:tcW w:w="5386" w:type="dxa"/>
            <w:tcBorders>
              <w:top w:val="nil"/>
              <w:bottom w:val="nil"/>
            </w:tcBorders>
          </w:tcPr>
          <w:p w14:paraId="2B07BF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(五)稽核人員應充分瞭解現行相關法令，並熟諳公司現行內部控制各種制度、規章，尚應透徹瞭解受查單位之單行辦法及特殊情況。</w:t>
            </w:r>
          </w:p>
        </w:tc>
        <w:tc>
          <w:tcPr>
            <w:tcW w:w="5387" w:type="dxa"/>
            <w:tcBorders>
              <w:top w:val="nil"/>
              <w:bottom w:val="nil"/>
            </w:tcBorders>
          </w:tcPr>
          <w:p w14:paraId="633F2F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(五)稽核人員應充分瞭解現行相關法令，並熟諳公司現行內部控制各種制度、規章，尚應透徹瞭解受查單位之單行辦法及特殊情況。</w:t>
            </w:r>
          </w:p>
        </w:tc>
        <w:tc>
          <w:tcPr>
            <w:tcW w:w="2023" w:type="dxa"/>
            <w:vMerge/>
            <w:tcBorders>
              <w:right w:val="single" w:sz="12" w:space="0" w:color="auto"/>
            </w:tcBorders>
          </w:tcPr>
          <w:p w14:paraId="0A005E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AA4CC8" w14:textId="77777777">
        <w:tc>
          <w:tcPr>
            <w:tcW w:w="1384" w:type="dxa"/>
            <w:vMerge/>
            <w:tcBorders>
              <w:left w:val="single" w:sz="12" w:space="0" w:color="auto"/>
            </w:tcBorders>
          </w:tcPr>
          <w:p w14:paraId="6E6044E8" w14:textId="77777777" w:rsidR="003B3105" w:rsidRDefault="003B3105" w:rsidP="001E533B">
            <w:pPr>
              <w:rPr>
                <w:rFonts w:ascii="新細明體" w:eastAsia="新細明體" w:hAnsi="新細明體"/>
              </w:rPr>
            </w:pPr>
          </w:p>
        </w:tc>
        <w:tc>
          <w:tcPr>
            <w:tcW w:w="1276" w:type="dxa"/>
            <w:vMerge/>
          </w:tcPr>
          <w:p w14:paraId="7E405F74" w14:textId="77777777" w:rsidR="003B3105" w:rsidRDefault="003B3105" w:rsidP="001E533B">
            <w:pPr>
              <w:rPr>
                <w:rFonts w:ascii="新細明體" w:eastAsia="新細明體" w:hAnsi="新細明體"/>
              </w:rPr>
            </w:pPr>
          </w:p>
        </w:tc>
        <w:tc>
          <w:tcPr>
            <w:tcW w:w="5386" w:type="dxa"/>
            <w:tcBorders>
              <w:top w:val="nil"/>
              <w:bottom w:val="nil"/>
            </w:tcBorders>
          </w:tcPr>
          <w:p w14:paraId="069AE9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(六)稽核人員應事前熟知受查單位之歷史背景、重要資料及以往稽核報告內容。</w:t>
            </w:r>
          </w:p>
        </w:tc>
        <w:tc>
          <w:tcPr>
            <w:tcW w:w="5387" w:type="dxa"/>
            <w:tcBorders>
              <w:top w:val="nil"/>
              <w:bottom w:val="nil"/>
            </w:tcBorders>
          </w:tcPr>
          <w:p w14:paraId="000F6A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(六)稽核人員應事前熟知受查單位之歷史背景、重要資料及以往稽核報告內容。</w:t>
            </w:r>
          </w:p>
        </w:tc>
        <w:tc>
          <w:tcPr>
            <w:tcW w:w="2023" w:type="dxa"/>
            <w:vMerge/>
            <w:tcBorders>
              <w:right w:val="single" w:sz="12" w:space="0" w:color="auto"/>
            </w:tcBorders>
          </w:tcPr>
          <w:p w14:paraId="6A7D1C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036CD7" w14:textId="77777777">
        <w:tc>
          <w:tcPr>
            <w:tcW w:w="1384" w:type="dxa"/>
            <w:vMerge/>
            <w:tcBorders>
              <w:left w:val="single" w:sz="12" w:space="0" w:color="auto"/>
            </w:tcBorders>
          </w:tcPr>
          <w:p w14:paraId="0C507A43" w14:textId="77777777" w:rsidR="003B3105" w:rsidRDefault="003B3105" w:rsidP="001E533B">
            <w:pPr>
              <w:rPr>
                <w:rFonts w:ascii="新細明體" w:eastAsia="新細明體" w:hAnsi="新細明體"/>
              </w:rPr>
            </w:pPr>
          </w:p>
        </w:tc>
        <w:tc>
          <w:tcPr>
            <w:tcW w:w="1276" w:type="dxa"/>
            <w:vMerge/>
          </w:tcPr>
          <w:p w14:paraId="066F1B82" w14:textId="77777777" w:rsidR="003B3105" w:rsidRDefault="003B3105" w:rsidP="001E533B">
            <w:pPr>
              <w:rPr>
                <w:rFonts w:ascii="新細明體" w:eastAsia="新細明體" w:hAnsi="新細明體"/>
              </w:rPr>
            </w:pPr>
          </w:p>
        </w:tc>
        <w:tc>
          <w:tcPr>
            <w:tcW w:w="5386" w:type="dxa"/>
            <w:tcBorders>
              <w:top w:val="nil"/>
              <w:bottom w:val="nil"/>
            </w:tcBorders>
          </w:tcPr>
          <w:p w14:paraId="6F7F02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(七)稽核人員對查核結果應予合理判斷，此項判斷應有可靠之理論依據，獲得足夠而適切之證明。</w:t>
            </w:r>
          </w:p>
        </w:tc>
        <w:tc>
          <w:tcPr>
            <w:tcW w:w="5387" w:type="dxa"/>
            <w:tcBorders>
              <w:top w:val="nil"/>
              <w:bottom w:val="nil"/>
            </w:tcBorders>
          </w:tcPr>
          <w:p w14:paraId="768CCB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(七)稽核人員對查核結果應予合理判斷，此項判斷應有可靠之理論依據，獲得足夠而適切之證明。</w:t>
            </w:r>
          </w:p>
        </w:tc>
        <w:tc>
          <w:tcPr>
            <w:tcW w:w="2023" w:type="dxa"/>
            <w:vMerge/>
            <w:tcBorders>
              <w:right w:val="single" w:sz="12" w:space="0" w:color="auto"/>
            </w:tcBorders>
          </w:tcPr>
          <w:p w14:paraId="1277B2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BAD498" w14:textId="77777777">
        <w:tc>
          <w:tcPr>
            <w:tcW w:w="1384" w:type="dxa"/>
            <w:vMerge/>
            <w:tcBorders>
              <w:left w:val="single" w:sz="12" w:space="0" w:color="auto"/>
            </w:tcBorders>
          </w:tcPr>
          <w:p w14:paraId="3F7324A9" w14:textId="77777777" w:rsidR="003B3105" w:rsidRDefault="003B3105" w:rsidP="001E533B">
            <w:pPr>
              <w:rPr>
                <w:rFonts w:ascii="新細明體" w:eastAsia="新細明體" w:hAnsi="新細明體"/>
              </w:rPr>
            </w:pPr>
          </w:p>
        </w:tc>
        <w:tc>
          <w:tcPr>
            <w:tcW w:w="1276" w:type="dxa"/>
            <w:vMerge/>
          </w:tcPr>
          <w:p w14:paraId="3F5235D8" w14:textId="77777777" w:rsidR="003B3105" w:rsidRDefault="003B3105" w:rsidP="001E533B">
            <w:pPr>
              <w:rPr>
                <w:rFonts w:ascii="新細明體" w:eastAsia="新細明體" w:hAnsi="新細明體"/>
              </w:rPr>
            </w:pPr>
          </w:p>
        </w:tc>
        <w:tc>
          <w:tcPr>
            <w:tcW w:w="5386" w:type="dxa"/>
            <w:tcBorders>
              <w:top w:val="nil"/>
              <w:bottom w:val="nil"/>
            </w:tcBorders>
          </w:tcPr>
          <w:p w14:paraId="4FE880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(八)稽核人員執行查核工作係接觸公司第一手機密檔案資料，應嚴格保密，並應提高警覺，注意文件安全，以防失落。</w:t>
            </w:r>
          </w:p>
        </w:tc>
        <w:tc>
          <w:tcPr>
            <w:tcW w:w="5387" w:type="dxa"/>
            <w:tcBorders>
              <w:top w:val="nil"/>
              <w:bottom w:val="nil"/>
            </w:tcBorders>
          </w:tcPr>
          <w:p w14:paraId="258831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(八)稽核人員執行查核工作係接觸公司第一手機密檔案資料，應嚴格保密，並應提高警覺，注意文件安全，以防失落。</w:t>
            </w:r>
          </w:p>
        </w:tc>
        <w:tc>
          <w:tcPr>
            <w:tcW w:w="2023" w:type="dxa"/>
            <w:vMerge/>
            <w:tcBorders>
              <w:right w:val="single" w:sz="12" w:space="0" w:color="auto"/>
            </w:tcBorders>
          </w:tcPr>
          <w:p w14:paraId="74E3C2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6E0AD4" w14:textId="77777777">
        <w:tc>
          <w:tcPr>
            <w:tcW w:w="1384" w:type="dxa"/>
            <w:vMerge/>
            <w:tcBorders>
              <w:left w:val="single" w:sz="12" w:space="0" w:color="auto"/>
            </w:tcBorders>
          </w:tcPr>
          <w:p w14:paraId="7A7AAFD8" w14:textId="77777777" w:rsidR="003B3105" w:rsidRDefault="003B3105" w:rsidP="001E533B">
            <w:pPr>
              <w:rPr>
                <w:rFonts w:ascii="新細明體" w:eastAsia="新細明體" w:hAnsi="新細明體"/>
              </w:rPr>
            </w:pPr>
          </w:p>
        </w:tc>
        <w:tc>
          <w:tcPr>
            <w:tcW w:w="1276" w:type="dxa"/>
            <w:vMerge/>
          </w:tcPr>
          <w:p w14:paraId="4FB8EF7F" w14:textId="77777777" w:rsidR="003B3105" w:rsidRDefault="003B3105" w:rsidP="001E533B">
            <w:pPr>
              <w:rPr>
                <w:rFonts w:ascii="新細明體" w:eastAsia="新細明體" w:hAnsi="新細明體"/>
              </w:rPr>
            </w:pPr>
          </w:p>
        </w:tc>
        <w:tc>
          <w:tcPr>
            <w:tcW w:w="5386" w:type="dxa"/>
            <w:tcBorders>
              <w:top w:val="nil"/>
              <w:bottom w:val="nil"/>
            </w:tcBorders>
          </w:tcPr>
          <w:p w14:paraId="04C8C90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十五、分公司不設專職內部稽核人員規範：</w:t>
            </w:r>
          </w:p>
        </w:tc>
        <w:tc>
          <w:tcPr>
            <w:tcW w:w="5387" w:type="dxa"/>
            <w:tcBorders>
              <w:top w:val="nil"/>
              <w:bottom w:val="nil"/>
            </w:tcBorders>
          </w:tcPr>
          <w:p w14:paraId="25D609D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十五、分公司不設專職內部稽核人員規範：</w:t>
            </w:r>
          </w:p>
        </w:tc>
        <w:tc>
          <w:tcPr>
            <w:tcW w:w="2023" w:type="dxa"/>
            <w:vMerge/>
            <w:tcBorders>
              <w:right w:val="single" w:sz="12" w:space="0" w:color="auto"/>
            </w:tcBorders>
          </w:tcPr>
          <w:p w14:paraId="1F4411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319C0C" w14:textId="77777777">
        <w:tc>
          <w:tcPr>
            <w:tcW w:w="1384" w:type="dxa"/>
            <w:vMerge/>
            <w:tcBorders>
              <w:left w:val="single" w:sz="12" w:space="0" w:color="auto"/>
            </w:tcBorders>
          </w:tcPr>
          <w:p w14:paraId="45A21BB1" w14:textId="77777777" w:rsidR="003B3105" w:rsidRDefault="003B3105" w:rsidP="001E533B">
            <w:pPr>
              <w:rPr>
                <w:rFonts w:ascii="新細明體" w:eastAsia="新細明體" w:hAnsi="新細明體"/>
              </w:rPr>
            </w:pPr>
          </w:p>
        </w:tc>
        <w:tc>
          <w:tcPr>
            <w:tcW w:w="1276" w:type="dxa"/>
            <w:vMerge/>
          </w:tcPr>
          <w:p w14:paraId="770D235F" w14:textId="77777777" w:rsidR="003B3105" w:rsidRDefault="003B3105" w:rsidP="001E533B">
            <w:pPr>
              <w:rPr>
                <w:rFonts w:ascii="新細明體" w:eastAsia="新細明體" w:hAnsi="新細明體"/>
              </w:rPr>
            </w:pPr>
          </w:p>
        </w:tc>
        <w:tc>
          <w:tcPr>
            <w:tcW w:w="5386" w:type="dxa"/>
            <w:tcBorders>
              <w:top w:val="nil"/>
              <w:bottom w:val="nil"/>
            </w:tcBorders>
          </w:tcPr>
          <w:p w14:paraId="4E12FE0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公司基於本身業務及管理之考量，在不影響公司經營風險下，分公司得不設專職之內部</w:t>
            </w:r>
            <w:r>
              <w:rPr>
                <w:rFonts w:ascii="新細明體" w:eastAsia="新細明體" w:hAnsi="新細明體" w:cs="新細明體" w:hint="eastAsia"/>
              </w:rPr>
              <w:lastRenderedPageBreak/>
              <w:t>稽核人員，但必須指派專人辦理分公司自行查核作業。公司採此種自行查核作業者，除應準用上述十至十四之規定外，自行查核人員之資格條件、人數配置、查核項目、頻率及格式與其他有關事項，並須符合下列規定：</w:t>
            </w:r>
          </w:p>
        </w:tc>
        <w:tc>
          <w:tcPr>
            <w:tcW w:w="5387" w:type="dxa"/>
            <w:tcBorders>
              <w:top w:val="nil"/>
              <w:bottom w:val="nil"/>
            </w:tcBorders>
          </w:tcPr>
          <w:p w14:paraId="49A93361"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公司基於本身業務及管理之考量，在不影響公司經營風險下，分公司得不設專職之內部</w:t>
            </w:r>
            <w:r>
              <w:rPr>
                <w:rFonts w:ascii="新細明體" w:eastAsia="新細明體" w:hAnsi="新細明體" w:cs="新細明體" w:hint="eastAsia"/>
              </w:rPr>
              <w:lastRenderedPageBreak/>
              <w:t>稽核人員，但必須指派專人辦理分公司自行查核作業。公司採此種自行查核作業者，除應準用上述十至十四之規定外，自行查核人員之資格條件、人數配置、查核項目、頻率及格式與其他有關事項，並須符合下列規定：</w:t>
            </w:r>
          </w:p>
        </w:tc>
        <w:tc>
          <w:tcPr>
            <w:tcW w:w="2023" w:type="dxa"/>
            <w:vMerge/>
            <w:tcBorders>
              <w:right w:val="single" w:sz="12" w:space="0" w:color="auto"/>
            </w:tcBorders>
          </w:tcPr>
          <w:p w14:paraId="7B24F7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705F58" w14:textId="77777777">
        <w:tc>
          <w:tcPr>
            <w:tcW w:w="1384" w:type="dxa"/>
            <w:vMerge/>
            <w:tcBorders>
              <w:left w:val="single" w:sz="12" w:space="0" w:color="auto"/>
            </w:tcBorders>
          </w:tcPr>
          <w:p w14:paraId="0E3C514D" w14:textId="77777777" w:rsidR="003B3105" w:rsidRDefault="003B3105" w:rsidP="001E533B">
            <w:pPr>
              <w:rPr>
                <w:rFonts w:ascii="新細明體" w:eastAsia="新細明體" w:hAnsi="新細明體"/>
              </w:rPr>
            </w:pPr>
          </w:p>
        </w:tc>
        <w:tc>
          <w:tcPr>
            <w:tcW w:w="1276" w:type="dxa"/>
            <w:vMerge/>
          </w:tcPr>
          <w:p w14:paraId="3B07C1C0" w14:textId="77777777" w:rsidR="003B3105" w:rsidRDefault="003B3105" w:rsidP="001E533B">
            <w:pPr>
              <w:rPr>
                <w:rFonts w:ascii="新細明體" w:eastAsia="新細明體" w:hAnsi="新細明體"/>
              </w:rPr>
            </w:pPr>
          </w:p>
        </w:tc>
        <w:tc>
          <w:tcPr>
            <w:tcW w:w="5386" w:type="dxa"/>
            <w:tcBorders>
              <w:top w:val="nil"/>
              <w:bottom w:val="nil"/>
            </w:tcBorders>
          </w:tcPr>
          <w:p w14:paraId="33A0C7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查核人員之資格條件及人數配置：有關分公司非專職之查核人員，除應具備業務員或高級業務員資格外，至少須由曾參加證基會或券商公會舉辦之「內部稽核講習」研習結業並經考試及格者。經指定之查核人員，不得就自己經辦之業務進行查核，每一分公司應置自行查核人員至少為二人，並應經登記為各該分公司業務員或高級業務員。</w:t>
            </w:r>
          </w:p>
        </w:tc>
        <w:tc>
          <w:tcPr>
            <w:tcW w:w="5387" w:type="dxa"/>
            <w:tcBorders>
              <w:top w:val="nil"/>
              <w:bottom w:val="nil"/>
            </w:tcBorders>
          </w:tcPr>
          <w:p w14:paraId="3A07EC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一)自行查核人員之資格條件及人數配置：有關分公司非專職之查核人員，除應具備業務員或高級業務員資格外，至少須由曾參加證基會或券商公會舉辦之「內部稽核講習」研習結業並經考試及格者。經指定之查核人員，不得就自己經辦之業務進行查核，每一分公司應置自行查核人員至少為二人，並應經登記為各該分公司業務員或高級業務員。</w:t>
            </w:r>
          </w:p>
        </w:tc>
        <w:tc>
          <w:tcPr>
            <w:tcW w:w="2023" w:type="dxa"/>
            <w:vMerge/>
            <w:tcBorders>
              <w:right w:val="single" w:sz="12" w:space="0" w:color="auto"/>
            </w:tcBorders>
          </w:tcPr>
          <w:p w14:paraId="5CFBD6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3C7DEA" w14:textId="77777777">
        <w:tc>
          <w:tcPr>
            <w:tcW w:w="1384" w:type="dxa"/>
            <w:vMerge/>
            <w:tcBorders>
              <w:left w:val="single" w:sz="12" w:space="0" w:color="auto"/>
            </w:tcBorders>
          </w:tcPr>
          <w:p w14:paraId="26067D60" w14:textId="77777777" w:rsidR="003B3105" w:rsidRDefault="003B3105" w:rsidP="001E533B">
            <w:pPr>
              <w:rPr>
                <w:rFonts w:ascii="新細明體" w:eastAsia="新細明體" w:hAnsi="新細明體"/>
              </w:rPr>
            </w:pPr>
          </w:p>
        </w:tc>
        <w:tc>
          <w:tcPr>
            <w:tcW w:w="1276" w:type="dxa"/>
            <w:vMerge/>
          </w:tcPr>
          <w:p w14:paraId="62048D83" w14:textId="77777777" w:rsidR="003B3105" w:rsidRDefault="003B3105" w:rsidP="001E533B">
            <w:pPr>
              <w:rPr>
                <w:rFonts w:ascii="新細明體" w:eastAsia="新細明體" w:hAnsi="新細明體"/>
              </w:rPr>
            </w:pPr>
          </w:p>
        </w:tc>
        <w:tc>
          <w:tcPr>
            <w:tcW w:w="5386" w:type="dxa"/>
            <w:tcBorders>
              <w:top w:val="nil"/>
              <w:bottom w:val="nil"/>
            </w:tcBorders>
          </w:tcPr>
          <w:p w14:paraId="63B5B8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(二)查核項目、頻率及格式：分公司辦理自行查核作業，其查核項目、頻率及格式均比照現行證券交易輔助人內部稽核報告（含查核明細表、查核工作底稿及相關資料等）相關規範內容辦理。</w:t>
            </w:r>
          </w:p>
        </w:tc>
        <w:tc>
          <w:tcPr>
            <w:tcW w:w="5387" w:type="dxa"/>
            <w:tcBorders>
              <w:top w:val="nil"/>
              <w:bottom w:val="nil"/>
            </w:tcBorders>
          </w:tcPr>
          <w:p w14:paraId="4D8429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(二)查核項目、頻率及格式：分公司辦理自行查核作業，其查核項目、頻率及格式均比照現行證券交易輔助人內部稽核報告（含查核明細表、查核工作底稿及相關資料等）相關規範內容辦理。</w:t>
            </w:r>
          </w:p>
        </w:tc>
        <w:tc>
          <w:tcPr>
            <w:tcW w:w="2023" w:type="dxa"/>
            <w:vMerge/>
            <w:tcBorders>
              <w:right w:val="single" w:sz="12" w:space="0" w:color="auto"/>
            </w:tcBorders>
          </w:tcPr>
          <w:p w14:paraId="62473E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B6AAE9" w14:textId="77777777">
        <w:tc>
          <w:tcPr>
            <w:tcW w:w="1384" w:type="dxa"/>
            <w:vMerge/>
            <w:tcBorders>
              <w:left w:val="single" w:sz="12" w:space="0" w:color="auto"/>
            </w:tcBorders>
          </w:tcPr>
          <w:p w14:paraId="45B758A4" w14:textId="77777777" w:rsidR="003B3105" w:rsidRDefault="003B3105" w:rsidP="001E533B">
            <w:pPr>
              <w:rPr>
                <w:rFonts w:ascii="新細明體" w:eastAsia="新細明體" w:hAnsi="新細明體"/>
              </w:rPr>
            </w:pPr>
          </w:p>
        </w:tc>
        <w:tc>
          <w:tcPr>
            <w:tcW w:w="1276" w:type="dxa"/>
            <w:vMerge/>
          </w:tcPr>
          <w:p w14:paraId="25D0753B" w14:textId="77777777" w:rsidR="003B3105" w:rsidRDefault="003B3105" w:rsidP="001E533B">
            <w:pPr>
              <w:rPr>
                <w:rFonts w:ascii="新細明體" w:eastAsia="新細明體" w:hAnsi="新細明體"/>
              </w:rPr>
            </w:pPr>
          </w:p>
        </w:tc>
        <w:tc>
          <w:tcPr>
            <w:tcW w:w="5386" w:type="dxa"/>
            <w:tcBorders>
              <w:top w:val="nil"/>
              <w:bottom w:val="nil"/>
            </w:tcBorders>
          </w:tcPr>
          <w:p w14:paraId="492E10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(三)公司採專人辦理分公司自行查核作業者，應加強分公司之督導查核，方式如下：</w:t>
            </w:r>
          </w:p>
        </w:tc>
        <w:tc>
          <w:tcPr>
            <w:tcW w:w="5387" w:type="dxa"/>
            <w:tcBorders>
              <w:top w:val="nil"/>
              <w:bottom w:val="nil"/>
            </w:tcBorders>
          </w:tcPr>
          <w:p w14:paraId="073273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(三)公司採專人辦理分公司自行查核作業者，應加強分公司之督導查核，方式如下：</w:t>
            </w:r>
          </w:p>
        </w:tc>
        <w:tc>
          <w:tcPr>
            <w:tcW w:w="2023" w:type="dxa"/>
            <w:vMerge/>
            <w:tcBorders>
              <w:right w:val="single" w:sz="12" w:space="0" w:color="auto"/>
            </w:tcBorders>
          </w:tcPr>
          <w:p w14:paraId="3591E9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4190C3" w14:textId="77777777">
        <w:tc>
          <w:tcPr>
            <w:tcW w:w="1384" w:type="dxa"/>
            <w:vMerge/>
            <w:tcBorders>
              <w:left w:val="single" w:sz="12" w:space="0" w:color="auto"/>
            </w:tcBorders>
          </w:tcPr>
          <w:p w14:paraId="2FC79253" w14:textId="77777777" w:rsidR="003B3105" w:rsidRDefault="003B3105" w:rsidP="001E533B">
            <w:pPr>
              <w:rPr>
                <w:rFonts w:ascii="新細明體" w:eastAsia="新細明體" w:hAnsi="新細明體"/>
              </w:rPr>
            </w:pPr>
          </w:p>
        </w:tc>
        <w:tc>
          <w:tcPr>
            <w:tcW w:w="1276" w:type="dxa"/>
            <w:vMerge/>
          </w:tcPr>
          <w:p w14:paraId="1645404A" w14:textId="77777777" w:rsidR="003B3105" w:rsidRDefault="003B3105" w:rsidP="001E533B">
            <w:pPr>
              <w:rPr>
                <w:rFonts w:ascii="新細明體" w:eastAsia="新細明體" w:hAnsi="新細明體"/>
              </w:rPr>
            </w:pPr>
          </w:p>
        </w:tc>
        <w:tc>
          <w:tcPr>
            <w:tcW w:w="5386" w:type="dxa"/>
            <w:tcBorders>
              <w:top w:val="nil"/>
              <w:bottom w:val="nil"/>
            </w:tcBorders>
          </w:tcPr>
          <w:p w14:paraId="79C00AF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1.內部稽核作業（自行查核作業）之督導查核：由總公司指派內部稽核人員至少每半年對每家分公司至少依「查核分支機構內部稽核作業評核表」項目查核一</w:t>
            </w:r>
            <w:r>
              <w:rPr>
                <w:rFonts w:ascii="新細明體" w:eastAsia="新細明體" w:hAnsi="新細明體" w:cs="新細明體" w:hint="eastAsia"/>
              </w:rPr>
              <w:lastRenderedPageBreak/>
              <w:t>次。</w:t>
            </w:r>
          </w:p>
        </w:tc>
        <w:tc>
          <w:tcPr>
            <w:tcW w:w="5387" w:type="dxa"/>
            <w:tcBorders>
              <w:top w:val="nil"/>
              <w:bottom w:val="nil"/>
            </w:tcBorders>
          </w:tcPr>
          <w:p w14:paraId="57713C0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1.內部稽核作業（自行查核作業）之督導查核：由總公司指派內部稽核人員至少每半年對每家分公司至少依「查核分支機構內部稽核作業評核表」項目查核一</w:t>
            </w:r>
            <w:r>
              <w:rPr>
                <w:rFonts w:ascii="新細明體" w:eastAsia="新細明體" w:hAnsi="新細明體" w:cs="新細明體" w:hint="eastAsia"/>
              </w:rPr>
              <w:lastRenderedPageBreak/>
              <w:t>次。</w:t>
            </w:r>
          </w:p>
        </w:tc>
        <w:tc>
          <w:tcPr>
            <w:tcW w:w="2023" w:type="dxa"/>
            <w:vMerge/>
            <w:tcBorders>
              <w:right w:val="single" w:sz="12" w:space="0" w:color="auto"/>
            </w:tcBorders>
          </w:tcPr>
          <w:p w14:paraId="2E19EA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FBC153" w14:textId="77777777">
        <w:tc>
          <w:tcPr>
            <w:tcW w:w="1384" w:type="dxa"/>
            <w:vMerge/>
            <w:tcBorders>
              <w:left w:val="single" w:sz="12" w:space="0" w:color="auto"/>
            </w:tcBorders>
          </w:tcPr>
          <w:p w14:paraId="755B568A" w14:textId="77777777" w:rsidR="003B3105" w:rsidRDefault="003B3105" w:rsidP="001E533B">
            <w:pPr>
              <w:rPr>
                <w:rFonts w:ascii="新細明體" w:eastAsia="新細明體" w:hAnsi="新細明體"/>
              </w:rPr>
            </w:pPr>
          </w:p>
        </w:tc>
        <w:tc>
          <w:tcPr>
            <w:tcW w:w="1276" w:type="dxa"/>
            <w:vMerge/>
          </w:tcPr>
          <w:p w14:paraId="4C13D3D5" w14:textId="77777777" w:rsidR="003B3105" w:rsidRDefault="003B3105" w:rsidP="001E533B">
            <w:pPr>
              <w:rPr>
                <w:rFonts w:ascii="新細明體" w:eastAsia="新細明體" w:hAnsi="新細明體"/>
              </w:rPr>
            </w:pPr>
          </w:p>
        </w:tc>
        <w:tc>
          <w:tcPr>
            <w:tcW w:w="5386" w:type="dxa"/>
            <w:tcBorders>
              <w:top w:val="nil"/>
              <w:bottom w:val="nil"/>
            </w:tcBorders>
          </w:tcPr>
          <w:p w14:paraId="2FB27B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業務作業之督導查核：由總公司指派內部稽核人員至少每半年對每家分公司至少依「查核分支機構財務業務作業報告表」項目實際查核一次，不得以複核方式辦理。公司並應視管理需要及分公司實際狀況，加強查核之項目（例如過去曾發生之重大缺失事項）、頻率及深度。</w:t>
            </w:r>
          </w:p>
        </w:tc>
        <w:tc>
          <w:tcPr>
            <w:tcW w:w="5387" w:type="dxa"/>
            <w:tcBorders>
              <w:top w:val="nil"/>
              <w:bottom w:val="nil"/>
            </w:tcBorders>
          </w:tcPr>
          <w:p w14:paraId="6D2D58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財務業務作業之督導查核：由總公司指派內部稽核人員至少每半年對每家分公司至少依「查核分支機構財務業務作業報告表」項目實際查核一次，不得以複核方式辦理。公司並應視管理需要及分公司實際狀況，加強查核之項目（例如過去曾發生之重大缺失事項）、頻率及深度。</w:t>
            </w:r>
          </w:p>
        </w:tc>
        <w:tc>
          <w:tcPr>
            <w:tcW w:w="2023" w:type="dxa"/>
            <w:vMerge/>
            <w:tcBorders>
              <w:right w:val="single" w:sz="12" w:space="0" w:color="auto"/>
            </w:tcBorders>
          </w:tcPr>
          <w:p w14:paraId="7F9B96F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192E29" w14:textId="77777777">
        <w:tc>
          <w:tcPr>
            <w:tcW w:w="1384" w:type="dxa"/>
            <w:vMerge/>
            <w:tcBorders>
              <w:left w:val="single" w:sz="12" w:space="0" w:color="auto"/>
            </w:tcBorders>
          </w:tcPr>
          <w:p w14:paraId="6B345229" w14:textId="77777777" w:rsidR="003B3105" w:rsidRDefault="003B3105" w:rsidP="001E533B">
            <w:pPr>
              <w:rPr>
                <w:rFonts w:ascii="新細明體" w:eastAsia="新細明體" w:hAnsi="新細明體"/>
              </w:rPr>
            </w:pPr>
          </w:p>
        </w:tc>
        <w:tc>
          <w:tcPr>
            <w:tcW w:w="1276" w:type="dxa"/>
            <w:vMerge/>
          </w:tcPr>
          <w:p w14:paraId="5140D3E6" w14:textId="77777777" w:rsidR="003B3105" w:rsidRDefault="003B3105" w:rsidP="001E533B">
            <w:pPr>
              <w:rPr>
                <w:rFonts w:ascii="新細明體" w:eastAsia="新細明體" w:hAnsi="新細明體"/>
              </w:rPr>
            </w:pPr>
          </w:p>
        </w:tc>
        <w:tc>
          <w:tcPr>
            <w:tcW w:w="5386" w:type="dxa"/>
            <w:tcBorders>
              <w:top w:val="nil"/>
              <w:bottom w:val="nil"/>
            </w:tcBorders>
          </w:tcPr>
          <w:p w14:paraId="3F0DF2B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查核報告檢送作業：上開內部稽核作業（自行查核作業）及財務業務作業之督導查核，公司應於查核之次月五日前將「查核分支機構內部稽核作業評核表」（包含內部稽核作業評核表、內部稽核作業工作底稿及覆核項目之查核明細表與工作底稿等之完整稽核報告）」及「查核分支機構財務業務作業報告表」（包含查核明細表、查核工作底稿及相關資料），彙整於總公司，俾利主管機關、證交所或櫃檯買賣中心調閱。</w:t>
            </w:r>
          </w:p>
        </w:tc>
        <w:tc>
          <w:tcPr>
            <w:tcW w:w="5387" w:type="dxa"/>
            <w:tcBorders>
              <w:top w:val="nil"/>
              <w:bottom w:val="nil"/>
            </w:tcBorders>
          </w:tcPr>
          <w:p w14:paraId="1524963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查核報告檢送作業：上開內部稽核作業（自行查核作業）及財務業務作業之督導查核，公司應於查核之次月五日前將「查核分支機構內部稽核作業評核表」（包含內部稽核作業評核表、內部稽核作業工作底稿及覆核項目之查核明細表與工作底稿等之完整稽核報告）」及「查核分支機構財務業務作業報告表」（包含查核明細表、查核工作底稿及相關資料），彙整於總公司，俾利主管機關、證交所或櫃檯買賣中心調閱。</w:t>
            </w:r>
          </w:p>
        </w:tc>
        <w:tc>
          <w:tcPr>
            <w:tcW w:w="2023" w:type="dxa"/>
            <w:vMerge/>
            <w:tcBorders>
              <w:right w:val="single" w:sz="12" w:space="0" w:color="auto"/>
            </w:tcBorders>
          </w:tcPr>
          <w:p w14:paraId="37A2B57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767354" w14:textId="77777777">
        <w:tc>
          <w:tcPr>
            <w:tcW w:w="1384" w:type="dxa"/>
            <w:vMerge/>
            <w:tcBorders>
              <w:left w:val="single" w:sz="12" w:space="0" w:color="auto"/>
            </w:tcBorders>
          </w:tcPr>
          <w:p w14:paraId="790CCC1C" w14:textId="77777777" w:rsidR="003B3105" w:rsidRDefault="003B3105" w:rsidP="001E533B">
            <w:pPr>
              <w:rPr>
                <w:rFonts w:ascii="新細明體" w:eastAsia="新細明體" w:hAnsi="新細明體"/>
              </w:rPr>
            </w:pPr>
          </w:p>
        </w:tc>
        <w:tc>
          <w:tcPr>
            <w:tcW w:w="1276" w:type="dxa"/>
            <w:vMerge/>
          </w:tcPr>
          <w:p w14:paraId="7AFF39B1" w14:textId="77777777" w:rsidR="003B3105" w:rsidRDefault="003B3105" w:rsidP="001E533B">
            <w:pPr>
              <w:rPr>
                <w:rFonts w:ascii="新細明體" w:eastAsia="新細明體" w:hAnsi="新細明體"/>
              </w:rPr>
            </w:pPr>
          </w:p>
        </w:tc>
        <w:tc>
          <w:tcPr>
            <w:tcW w:w="5386" w:type="dxa"/>
            <w:tcBorders>
              <w:top w:val="nil"/>
              <w:bottom w:val="nil"/>
            </w:tcBorders>
          </w:tcPr>
          <w:p w14:paraId="2C552E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總公司稽核部門應就因作業疏失而遭受主管機關或證券相關機構處分（指主管機關糾正以上處分，或相關機構因查核而函請改善以上處置）之分公司加強輔導與查核，於受處分後每三個月至少執行一次無預警查核，直至總公司稽核部門評估業已改善為止，並留存相關紀</w:t>
            </w:r>
            <w:r>
              <w:rPr>
                <w:rFonts w:ascii="新細明體" w:eastAsia="新細明體" w:hAnsi="新細明體" w:cs="新細明體" w:hint="eastAsia"/>
              </w:rPr>
              <w:lastRenderedPageBreak/>
              <w:t>錄；另總公司稽核部門並應將前開分公司受處分之缺失事項周知所有分公司並留存通知紀錄，請其他分公司自行查核人員亦對該等缺失事項注意查核。</w:t>
            </w:r>
          </w:p>
        </w:tc>
        <w:tc>
          <w:tcPr>
            <w:tcW w:w="5387" w:type="dxa"/>
            <w:tcBorders>
              <w:top w:val="nil"/>
              <w:bottom w:val="nil"/>
            </w:tcBorders>
          </w:tcPr>
          <w:p w14:paraId="5ADEAC5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總公司稽核部門應就因作業疏失而遭受主管機關或證券相關機構處分（指主管機關糾正以上處分，或相關機構因查核而函請改善以上處置）之分公司加強輔導與查核，於受處分後每三個月至少執行一次無預警查核，直至總公司稽核部門評估業已改善為止，並留存相關紀</w:t>
            </w:r>
            <w:r>
              <w:rPr>
                <w:rFonts w:ascii="新細明體" w:eastAsia="新細明體" w:hAnsi="新細明體" w:cs="新細明體" w:hint="eastAsia"/>
              </w:rPr>
              <w:lastRenderedPageBreak/>
              <w:t>錄；另總公司稽核部門並應將前開分公司受處分之缺失事項周知所有分公司並留存通知紀錄，請其他分公司自行查核人員亦對該等缺失事項注意查核。</w:t>
            </w:r>
          </w:p>
        </w:tc>
        <w:tc>
          <w:tcPr>
            <w:tcW w:w="2023" w:type="dxa"/>
            <w:vMerge/>
            <w:tcBorders>
              <w:right w:val="single" w:sz="12" w:space="0" w:color="auto"/>
            </w:tcBorders>
          </w:tcPr>
          <w:p w14:paraId="2B8795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292093" w14:textId="77777777">
        <w:tc>
          <w:tcPr>
            <w:tcW w:w="1384" w:type="dxa"/>
            <w:vMerge/>
            <w:tcBorders>
              <w:left w:val="single" w:sz="12" w:space="0" w:color="auto"/>
            </w:tcBorders>
          </w:tcPr>
          <w:p w14:paraId="5A330946" w14:textId="77777777" w:rsidR="003B3105" w:rsidRDefault="003B3105" w:rsidP="001E533B">
            <w:pPr>
              <w:rPr>
                <w:rFonts w:ascii="新細明體" w:eastAsia="新細明體" w:hAnsi="新細明體"/>
              </w:rPr>
            </w:pPr>
          </w:p>
        </w:tc>
        <w:tc>
          <w:tcPr>
            <w:tcW w:w="1276" w:type="dxa"/>
            <w:vMerge/>
          </w:tcPr>
          <w:p w14:paraId="72F79F43" w14:textId="77777777" w:rsidR="003B3105" w:rsidRDefault="003B3105" w:rsidP="001E533B">
            <w:pPr>
              <w:rPr>
                <w:rFonts w:ascii="新細明體" w:eastAsia="新細明體" w:hAnsi="新細明體"/>
              </w:rPr>
            </w:pPr>
          </w:p>
        </w:tc>
        <w:tc>
          <w:tcPr>
            <w:tcW w:w="5386" w:type="dxa"/>
            <w:tcBorders>
              <w:top w:val="nil"/>
              <w:bottom w:val="nil"/>
            </w:tcBorders>
          </w:tcPr>
          <w:p w14:paraId="20A5CF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5.公司應針對全體分公司經理人及相關從業人員加強宣導內控落實之責任及法令遵循之義務，以強調遵法精神，並將相關宣導資料建檔備查。</w:t>
            </w:r>
          </w:p>
        </w:tc>
        <w:tc>
          <w:tcPr>
            <w:tcW w:w="5387" w:type="dxa"/>
            <w:tcBorders>
              <w:top w:val="nil"/>
              <w:bottom w:val="nil"/>
            </w:tcBorders>
          </w:tcPr>
          <w:p w14:paraId="1418BB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5.公司應針對全體分公司經理人及相關從業人員加強宣導內控落實之責任及法令遵循之義務，以強調遵法精神，並將相關宣導資料建檔備查。</w:t>
            </w:r>
          </w:p>
        </w:tc>
        <w:tc>
          <w:tcPr>
            <w:tcW w:w="2023" w:type="dxa"/>
            <w:vMerge/>
            <w:tcBorders>
              <w:right w:val="single" w:sz="12" w:space="0" w:color="auto"/>
            </w:tcBorders>
          </w:tcPr>
          <w:p w14:paraId="13EA78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3F95FA" w14:textId="77777777">
        <w:tc>
          <w:tcPr>
            <w:tcW w:w="1384" w:type="dxa"/>
            <w:vMerge/>
            <w:tcBorders>
              <w:left w:val="single" w:sz="12" w:space="0" w:color="auto"/>
            </w:tcBorders>
          </w:tcPr>
          <w:p w14:paraId="35D3618C" w14:textId="77777777" w:rsidR="003B3105" w:rsidRDefault="003B3105" w:rsidP="001E533B">
            <w:pPr>
              <w:rPr>
                <w:rFonts w:ascii="新細明體" w:eastAsia="新細明體" w:hAnsi="新細明體"/>
              </w:rPr>
            </w:pPr>
          </w:p>
        </w:tc>
        <w:tc>
          <w:tcPr>
            <w:tcW w:w="1276" w:type="dxa"/>
            <w:vMerge/>
          </w:tcPr>
          <w:p w14:paraId="09520FE7" w14:textId="77777777" w:rsidR="003B3105" w:rsidRDefault="003B3105" w:rsidP="001E533B">
            <w:pPr>
              <w:rPr>
                <w:rFonts w:ascii="新細明體" w:eastAsia="新細明體" w:hAnsi="新細明體"/>
              </w:rPr>
            </w:pPr>
          </w:p>
        </w:tc>
        <w:tc>
          <w:tcPr>
            <w:tcW w:w="5386" w:type="dxa"/>
            <w:tcBorders>
              <w:top w:val="nil"/>
              <w:bottom w:val="nil"/>
            </w:tcBorders>
          </w:tcPr>
          <w:p w14:paraId="2C38D4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就分公司執行自行查核作業之良窳，列入分公司經理人、督導主管及自行查核人員年度績效考核項目，並留存紀錄，若對重大違規事項有隱匿之情事者，應依公司獎懲規定予以處分，以強化自行查核品質。</w:t>
            </w:r>
          </w:p>
        </w:tc>
        <w:tc>
          <w:tcPr>
            <w:tcW w:w="5387" w:type="dxa"/>
            <w:tcBorders>
              <w:top w:val="nil"/>
              <w:bottom w:val="nil"/>
            </w:tcBorders>
          </w:tcPr>
          <w:p w14:paraId="1B48AC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就分公司執行自行查核作業之良窳，列入分公司經理人、督導主管及自行查核人員年度績效考核項目，並留存紀錄，若對重大違規事項有隱匿之情事者，應依公司獎懲規定予以處分，以強化自行查核品質。</w:t>
            </w:r>
          </w:p>
        </w:tc>
        <w:tc>
          <w:tcPr>
            <w:tcW w:w="2023" w:type="dxa"/>
            <w:vMerge/>
            <w:tcBorders>
              <w:right w:val="single" w:sz="12" w:space="0" w:color="auto"/>
            </w:tcBorders>
          </w:tcPr>
          <w:p w14:paraId="4DFCE7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24DCDD" w14:textId="77777777">
        <w:tc>
          <w:tcPr>
            <w:tcW w:w="1384" w:type="dxa"/>
            <w:vMerge/>
            <w:tcBorders>
              <w:left w:val="single" w:sz="12" w:space="0" w:color="auto"/>
            </w:tcBorders>
          </w:tcPr>
          <w:p w14:paraId="746985F6" w14:textId="77777777" w:rsidR="003B3105" w:rsidRDefault="003B3105" w:rsidP="001E533B">
            <w:pPr>
              <w:rPr>
                <w:rFonts w:ascii="新細明體" w:eastAsia="新細明體" w:hAnsi="新細明體"/>
              </w:rPr>
            </w:pPr>
          </w:p>
        </w:tc>
        <w:tc>
          <w:tcPr>
            <w:tcW w:w="1276" w:type="dxa"/>
            <w:vMerge/>
          </w:tcPr>
          <w:p w14:paraId="0F452F2C" w14:textId="77777777" w:rsidR="003B3105" w:rsidRDefault="003B3105" w:rsidP="001E533B">
            <w:pPr>
              <w:rPr>
                <w:rFonts w:ascii="新細明體" w:eastAsia="新細明體" w:hAnsi="新細明體"/>
              </w:rPr>
            </w:pPr>
          </w:p>
        </w:tc>
        <w:tc>
          <w:tcPr>
            <w:tcW w:w="5386" w:type="dxa"/>
            <w:tcBorders>
              <w:top w:val="nil"/>
              <w:bottom w:val="nil"/>
            </w:tcBorders>
          </w:tcPr>
          <w:p w14:paraId="6C2F67C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公司因投資人檢舉案或外部查核單位查核發現顯有內控內稽作業未予落實之情形，除應依主管機關或外部查核單位之規定及要求辦理外，總公司稽核部門並應就該分公司加強輔導與查核，並留存輔導與查核相關資料。</w:t>
            </w:r>
          </w:p>
        </w:tc>
        <w:tc>
          <w:tcPr>
            <w:tcW w:w="5387" w:type="dxa"/>
            <w:tcBorders>
              <w:top w:val="nil"/>
              <w:bottom w:val="nil"/>
            </w:tcBorders>
          </w:tcPr>
          <w:p w14:paraId="71AC168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公司因投資人檢舉案或外部查核單位查核發現顯有內控內稽作業未予落實之情形，除應依主管機關或外部查核單位之規定及要求辦理外，總公司稽核部門並應就該分公司加強輔導與查核，並留存輔導與查核相關資料。</w:t>
            </w:r>
          </w:p>
        </w:tc>
        <w:tc>
          <w:tcPr>
            <w:tcW w:w="2023" w:type="dxa"/>
            <w:vMerge/>
            <w:tcBorders>
              <w:right w:val="single" w:sz="12" w:space="0" w:color="auto"/>
            </w:tcBorders>
          </w:tcPr>
          <w:p w14:paraId="71E820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29772B" w14:textId="77777777">
        <w:tc>
          <w:tcPr>
            <w:tcW w:w="1384" w:type="dxa"/>
            <w:vMerge/>
            <w:tcBorders>
              <w:left w:val="single" w:sz="12" w:space="0" w:color="auto"/>
            </w:tcBorders>
          </w:tcPr>
          <w:p w14:paraId="2E39EC84" w14:textId="77777777" w:rsidR="003B3105" w:rsidRDefault="003B3105" w:rsidP="001E533B">
            <w:pPr>
              <w:rPr>
                <w:rFonts w:ascii="新細明體" w:eastAsia="新細明體" w:hAnsi="新細明體"/>
              </w:rPr>
            </w:pPr>
          </w:p>
        </w:tc>
        <w:tc>
          <w:tcPr>
            <w:tcW w:w="1276" w:type="dxa"/>
            <w:vMerge/>
          </w:tcPr>
          <w:p w14:paraId="7F3362E2" w14:textId="77777777" w:rsidR="003B3105" w:rsidRDefault="003B3105" w:rsidP="001E533B">
            <w:pPr>
              <w:rPr>
                <w:rFonts w:ascii="新細明體" w:eastAsia="新細明體" w:hAnsi="新細明體"/>
              </w:rPr>
            </w:pPr>
          </w:p>
        </w:tc>
        <w:tc>
          <w:tcPr>
            <w:tcW w:w="5386" w:type="dxa"/>
            <w:tcBorders>
              <w:top w:val="nil"/>
              <w:bottom w:val="nil"/>
            </w:tcBorders>
          </w:tcPr>
          <w:p w14:paraId="71657D9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8.分公司自行查核結果除應依規報總公司稽核部門彙陳外，總公司稽核部門應視自行查核結果中所列缺失事項之輕重程度，即時陳報董事會，於必要時應加強輔導與查核。</w:t>
            </w:r>
          </w:p>
        </w:tc>
        <w:tc>
          <w:tcPr>
            <w:tcW w:w="5387" w:type="dxa"/>
            <w:tcBorders>
              <w:top w:val="nil"/>
              <w:bottom w:val="nil"/>
            </w:tcBorders>
          </w:tcPr>
          <w:p w14:paraId="5D9130F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8.分公司自行查核結果除應依規報總公司稽核部門彙陳外，總公司稽核部門應視自行查核結果中所列缺失事項之輕重程度，即時陳報董事會，於必要時應加強輔導與查核。</w:t>
            </w:r>
          </w:p>
        </w:tc>
        <w:tc>
          <w:tcPr>
            <w:tcW w:w="2023" w:type="dxa"/>
            <w:vMerge/>
            <w:tcBorders>
              <w:right w:val="single" w:sz="12" w:space="0" w:color="auto"/>
            </w:tcBorders>
          </w:tcPr>
          <w:p w14:paraId="2610B6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B19108" w14:textId="77777777">
        <w:tc>
          <w:tcPr>
            <w:tcW w:w="1384" w:type="dxa"/>
            <w:vMerge/>
            <w:tcBorders>
              <w:left w:val="single" w:sz="12" w:space="0" w:color="auto"/>
            </w:tcBorders>
          </w:tcPr>
          <w:p w14:paraId="53CDADDF" w14:textId="77777777" w:rsidR="003B3105" w:rsidRDefault="003B3105" w:rsidP="001E533B">
            <w:pPr>
              <w:rPr>
                <w:rFonts w:ascii="新細明體" w:eastAsia="新細明體" w:hAnsi="新細明體"/>
              </w:rPr>
            </w:pPr>
          </w:p>
        </w:tc>
        <w:tc>
          <w:tcPr>
            <w:tcW w:w="1276" w:type="dxa"/>
            <w:vMerge/>
          </w:tcPr>
          <w:p w14:paraId="14942A84" w14:textId="77777777" w:rsidR="003B3105" w:rsidRDefault="003B3105" w:rsidP="001E533B">
            <w:pPr>
              <w:rPr>
                <w:rFonts w:ascii="新細明體" w:eastAsia="新細明體" w:hAnsi="新細明體"/>
              </w:rPr>
            </w:pPr>
          </w:p>
        </w:tc>
        <w:tc>
          <w:tcPr>
            <w:tcW w:w="5386" w:type="dxa"/>
            <w:tcBorders>
              <w:top w:val="nil"/>
              <w:bottom w:val="nil"/>
            </w:tcBorders>
          </w:tcPr>
          <w:p w14:paraId="132FD0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(四)公司欲採專人辦理分公司自行查核作業者，分公司應全數適用，除新採行或</w:t>
            </w:r>
            <w:r>
              <w:rPr>
                <w:rFonts w:ascii="新細明體" w:eastAsia="新細明體" w:hAnsi="新細明體" w:cs="新細明體" w:hint="eastAsia"/>
              </w:rPr>
              <w:lastRenderedPageBreak/>
              <w:t>原已採分公司自行查核作業欲變更為專職內部稽核人員制度者，應於每年十二月向證交所等證券相關機構函報次一年度查核制度外，如無變動，無須函報證交所等證券相關機構。公司於年度中將分公司內部稽核制度由專人辦理自行查核作業改為專職內部稽核人員辦理查核作業者，於事先書面申報證交所等證券相關機構後即可生效，惟仍應依規辦理內部稽核人員登記事宜。</w:t>
            </w:r>
          </w:p>
        </w:tc>
        <w:tc>
          <w:tcPr>
            <w:tcW w:w="5387" w:type="dxa"/>
            <w:tcBorders>
              <w:top w:val="nil"/>
              <w:bottom w:val="nil"/>
            </w:tcBorders>
          </w:tcPr>
          <w:p w14:paraId="2C4BD6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(四)公司欲採專人辦理分公司自行查核作業者，分公司應全數適用，除新採行或</w:t>
            </w:r>
            <w:r>
              <w:rPr>
                <w:rFonts w:ascii="新細明體" w:eastAsia="新細明體" w:hAnsi="新細明體" w:cs="新細明體" w:hint="eastAsia"/>
              </w:rPr>
              <w:lastRenderedPageBreak/>
              <w:t>原已採分公司自行查核作業欲變更為專職內部稽核人員制度者，應於每年十二月向證交所等證券相關機構函報次一年度查核制度外，如無變動，無須函報證交所等證券相關機構。公司於年度中將分公司內部稽核制度由專人辦理自行查核作業改為專職內部稽核人員辦理查核作業者，於事先書面申報證交所等證券相關機構後即可生效，惟仍應依規辦理內部稽核人員登記事宜。</w:t>
            </w:r>
          </w:p>
        </w:tc>
        <w:tc>
          <w:tcPr>
            <w:tcW w:w="2023" w:type="dxa"/>
            <w:vMerge/>
            <w:tcBorders>
              <w:right w:val="single" w:sz="12" w:space="0" w:color="auto"/>
            </w:tcBorders>
          </w:tcPr>
          <w:p w14:paraId="747313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694CCE" w14:textId="77777777">
        <w:tc>
          <w:tcPr>
            <w:tcW w:w="1384" w:type="dxa"/>
            <w:vMerge/>
            <w:tcBorders>
              <w:left w:val="single" w:sz="12" w:space="0" w:color="auto"/>
            </w:tcBorders>
          </w:tcPr>
          <w:p w14:paraId="2015DB04" w14:textId="77777777" w:rsidR="003B3105" w:rsidRDefault="003B3105" w:rsidP="001E533B">
            <w:pPr>
              <w:rPr>
                <w:rFonts w:ascii="新細明體" w:eastAsia="新細明體" w:hAnsi="新細明體"/>
              </w:rPr>
            </w:pPr>
          </w:p>
        </w:tc>
        <w:tc>
          <w:tcPr>
            <w:tcW w:w="1276" w:type="dxa"/>
            <w:vMerge/>
          </w:tcPr>
          <w:p w14:paraId="017FECB8" w14:textId="77777777" w:rsidR="003B3105" w:rsidRDefault="003B3105" w:rsidP="001E533B">
            <w:pPr>
              <w:rPr>
                <w:rFonts w:ascii="新細明體" w:eastAsia="新細明體" w:hAnsi="新細明體"/>
              </w:rPr>
            </w:pPr>
          </w:p>
        </w:tc>
        <w:tc>
          <w:tcPr>
            <w:tcW w:w="5386" w:type="dxa"/>
            <w:tcBorders>
              <w:top w:val="nil"/>
              <w:bottom w:val="nil"/>
            </w:tcBorders>
          </w:tcPr>
          <w:p w14:paraId="23A8EE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(五)其他：主管機關及證交所等證券相關機構就證券交易輔助人內部稽核制度或作業所為規定，均應遵守之。</w:t>
            </w:r>
          </w:p>
        </w:tc>
        <w:tc>
          <w:tcPr>
            <w:tcW w:w="5387" w:type="dxa"/>
            <w:tcBorders>
              <w:top w:val="nil"/>
              <w:bottom w:val="nil"/>
            </w:tcBorders>
          </w:tcPr>
          <w:p w14:paraId="22C598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(五)其他：主管機關及證交所等證券相關機構就證券交易輔助人內部稽核制度或作業所為規定，均應遵守之。</w:t>
            </w:r>
          </w:p>
        </w:tc>
        <w:tc>
          <w:tcPr>
            <w:tcW w:w="2023" w:type="dxa"/>
            <w:vMerge/>
            <w:tcBorders>
              <w:right w:val="single" w:sz="12" w:space="0" w:color="auto"/>
            </w:tcBorders>
          </w:tcPr>
          <w:p w14:paraId="116EB0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AB0ED8" w14:textId="77777777">
        <w:tc>
          <w:tcPr>
            <w:tcW w:w="1384" w:type="dxa"/>
            <w:vMerge/>
            <w:tcBorders>
              <w:left w:val="single" w:sz="12" w:space="0" w:color="auto"/>
            </w:tcBorders>
          </w:tcPr>
          <w:p w14:paraId="08B4619B" w14:textId="77777777" w:rsidR="003B3105" w:rsidRDefault="003B3105" w:rsidP="001E533B">
            <w:pPr>
              <w:rPr>
                <w:rFonts w:ascii="新細明體" w:eastAsia="新細明體" w:hAnsi="新細明體"/>
              </w:rPr>
            </w:pPr>
          </w:p>
        </w:tc>
        <w:tc>
          <w:tcPr>
            <w:tcW w:w="1276" w:type="dxa"/>
            <w:vMerge/>
          </w:tcPr>
          <w:p w14:paraId="0B111C2D" w14:textId="77777777" w:rsidR="003B3105" w:rsidRDefault="003B3105" w:rsidP="001E533B">
            <w:pPr>
              <w:rPr>
                <w:rFonts w:ascii="新細明體" w:eastAsia="新細明體" w:hAnsi="新細明體"/>
              </w:rPr>
            </w:pPr>
          </w:p>
        </w:tc>
        <w:tc>
          <w:tcPr>
            <w:tcW w:w="5386" w:type="dxa"/>
            <w:tcBorders>
              <w:top w:val="nil"/>
              <w:bottom w:val="nil"/>
            </w:tcBorders>
          </w:tcPr>
          <w:p w14:paraId="2A72ABE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十六、公司應訂定適當之風險管理政策與程序，建立獨立有效風險管理機制，以評估及監督整體風險承擔能力、已承受風險現況、決定風險因應策略及風險管理程序遵循情形。</w:t>
            </w:r>
          </w:p>
        </w:tc>
        <w:tc>
          <w:tcPr>
            <w:tcW w:w="5387" w:type="dxa"/>
            <w:tcBorders>
              <w:top w:val="nil"/>
              <w:bottom w:val="nil"/>
            </w:tcBorders>
          </w:tcPr>
          <w:p w14:paraId="0C39E10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十六、公司應訂定適當之風險管理政策與程序，建立獨立有效風險管理機制，以評估及監督整體風險承擔能力、已承受風險現況、決定風險因應策略及風險管理程序遵循情形。</w:t>
            </w:r>
          </w:p>
        </w:tc>
        <w:tc>
          <w:tcPr>
            <w:tcW w:w="2023" w:type="dxa"/>
            <w:vMerge/>
            <w:tcBorders>
              <w:right w:val="single" w:sz="12" w:space="0" w:color="auto"/>
            </w:tcBorders>
          </w:tcPr>
          <w:p w14:paraId="237A01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85D614" w14:textId="77777777">
        <w:tc>
          <w:tcPr>
            <w:tcW w:w="1384" w:type="dxa"/>
            <w:vMerge/>
            <w:tcBorders>
              <w:left w:val="single" w:sz="12" w:space="0" w:color="auto"/>
            </w:tcBorders>
          </w:tcPr>
          <w:p w14:paraId="2F653655" w14:textId="77777777" w:rsidR="003B3105" w:rsidRDefault="003B3105" w:rsidP="001E533B">
            <w:pPr>
              <w:rPr>
                <w:rFonts w:ascii="新細明體" w:eastAsia="新細明體" w:hAnsi="新細明體"/>
              </w:rPr>
            </w:pPr>
          </w:p>
        </w:tc>
        <w:tc>
          <w:tcPr>
            <w:tcW w:w="1276" w:type="dxa"/>
            <w:vMerge/>
          </w:tcPr>
          <w:p w14:paraId="58E227C1" w14:textId="77777777" w:rsidR="003B3105" w:rsidRDefault="003B3105" w:rsidP="001E533B">
            <w:pPr>
              <w:rPr>
                <w:rFonts w:ascii="新細明體" w:eastAsia="新細明體" w:hAnsi="新細明體"/>
              </w:rPr>
            </w:pPr>
          </w:p>
        </w:tc>
        <w:tc>
          <w:tcPr>
            <w:tcW w:w="5386" w:type="dxa"/>
            <w:tcBorders>
              <w:top w:val="nil"/>
              <w:bottom w:val="nil"/>
            </w:tcBorders>
          </w:tcPr>
          <w:p w14:paraId="771BFE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依「期貨商經營證券交易輔助業務管理規則」及相關規定經營證券交易輔助業務，其相關業務之內部控制制度未明訂於本標準規範者，均準用「證券商內部控制制度標準規範」規定（含表單種類及格式）。</w:t>
            </w:r>
          </w:p>
        </w:tc>
        <w:tc>
          <w:tcPr>
            <w:tcW w:w="5387" w:type="dxa"/>
            <w:tcBorders>
              <w:top w:val="nil"/>
              <w:bottom w:val="nil"/>
            </w:tcBorders>
          </w:tcPr>
          <w:p w14:paraId="080E3A4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公司依「期貨商經營證券交易輔助業務管理規則」及相關規定經營證券交易輔助業務，其相關業務之內部控制制度未明訂於本標準規範者，均準用「證券商內部控制制度標準規範」規定（含表單種類及格式）。</w:t>
            </w:r>
          </w:p>
        </w:tc>
        <w:tc>
          <w:tcPr>
            <w:tcW w:w="2023" w:type="dxa"/>
            <w:vMerge/>
            <w:tcBorders>
              <w:right w:val="single" w:sz="12" w:space="0" w:color="auto"/>
            </w:tcBorders>
          </w:tcPr>
          <w:p w14:paraId="24DDD0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十八、本總則未規定之有關事項，應依「期貨商內部控制制度標準規範」辦理。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十八、本總則未規定之有關事項，應依「期貨商內部控制制度標準規範」辦理。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C489C" w14:textId="77777777" w:rsidR="00632939" w:rsidRDefault="00632939" w:rsidP="00E87601">
      <w:pPr>
        <w:spacing w:line="240" w:lineRule="auto"/>
      </w:pPr>
      <w:r>
        <w:separator/>
      </w:r>
    </w:p>
  </w:endnote>
  <w:endnote w:type="continuationSeparator" w:id="0">
    <w:p w14:paraId="3CA739EB" w14:textId="77777777" w:rsidR="00632939" w:rsidRDefault="0063293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B53E4" w14:textId="77777777" w:rsidR="00632939" w:rsidRDefault="00632939" w:rsidP="00E87601">
      <w:pPr>
        <w:spacing w:line="240" w:lineRule="auto"/>
      </w:pPr>
      <w:r>
        <w:separator/>
      </w:r>
    </w:p>
  </w:footnote>
  <w:footnote w:type="continuationSeparator" w:id="0">
    <w:p w14:paraId="36AA12CE" w14:textId="77777777" w:rsidR="00632939" w:rsidRDefault="0063293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F102F"/>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32939"/>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13AB1"/>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3034</Words>
  <Characters>17294</Characters>
  <Application>Microsoft Office Word</Application>
  <DocSecurity>0</DocSecurity>
  <Lines>144</Lines>
  <Paragraphs>40</Paragraphs>
  <ScaleCrop>false</ScaleCrop>
  <Company>Hewlett-Packard Company</Company>
  <LinksUpToDate>false</LinksUpToDate>
  <CharactersWithSpaces>20288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2026-05-18T10:24:00Z</dcterms:modified>
</cp:coreProperties>
</file>