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5B2B6FBE" w:rsidR="00A24FFC" w:rsidRPr="00FB3CAF" w:rsidRDefault="00E87601" w:rsidP="00FB3CAF">
      <w:pPr>
        <w:pStyle w:val="1"/>
        <w:spacing w:line="360" w:lineRule="exact"/>
        <w:rPr>
          <w:rFonts w:ascii="新細明體" w:eastAsia="新細明體" w:hAnsi="新細明體" w:cs="新細明體"/>
          <w:color w:val="000000"/>
        </w:rPr>
      </w:pPr>
      <w:r w:rsidRPr="00F6439B">
        <w:rPr>
          <w:rFonts w:ascii="新細明體" w:eastAsia="新細明體" w:hAnsi="新細明體" w:cs="新細明體" w:hint="eastAsia"/>
          <w:color w:val="000000"/>
        </w:rPr>
        <w:t>期貨商經營證券交易輔助業務內部控制制度標準規範─內部控制制度修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CA-61210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受託買賣及成交作業</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交所「證券經紀商受託買賣預收款券作業應行注意事項」第一點及櫃檯買賣中心「櫃檯買賣證券經紀商受託買賣預收款券有價證券應行注意事項」第二點規定修正，增訂證券商受託賣出列為處置證券之受益憑證時，須確認客戶已取得相關申購部位確認，爰予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(一)受託買賣作業：</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(一)受託買賣作業：</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CA60EA" w14:textId="77777777">
        <w:tc>
          <w:tcPr>
            <w:tcW w:w="1384" w:type="dxa"/>
            <w:vMerge/>
            <w:tcBorders>
              <w:left w:val="single" w:sz="12" w:space="0" w:color="auto"/>
            </w:tcBorders>
          </w:tcPr>
          <w:p w14:paraId="5271A42B" w14:textId="77777777" w:rsidR="003B3105" w:rsidRDefault="003B3105" w:rsidP="001E533B">
            <w:pPr>
              <w:rPr>
                <w:rFonts w:ascii="新細明體" w:eastAsia="新細明體" w:hAnsi="新細明體"/>
              </w:rPr>
            </w:pPr>
          </w:p>
        </w:tc>
        <w:tc>
          <w:tcPr>
            <w:tcW w:w="1276" w:type="dxa"/>
            <w:vMerge/>
          </w:tcPr>
          <w:p w14:paraId="6CB3E41A" w14:textId="77777777" w:rsidR="003B3105" w:rsidRDefault="003B3105" w:rsidP="001E533B">
            <w:pPr>
              <w:rPr>
                <w:rFonts w:ascii="新細明體" w:eastAsia="新細明體" w:hAnsi="新細明體"/>
              </w:rPr>
            </w:pPr>
          </w:p>
        </w:tc>
        <w:tc>
          <w:tcPr>
            <w:tcW w:w="5386" w:type="dxa"/>
            <w:tcBorders>
              <w:top w:val="nil"/>
              <w:bottom w:val="nil"/>
            </w:tcBorders>
          </w:tcPr>
          <w:p w14:paraId="4C42BB8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5387" w:type="dxa"/>
            <w:tcBorders>
              <w:top w:val="nil"/>
              <w:bottom w:val="nil"/>
            </w:tcBorders>
          </w:tcPr>
          <w:p w14:paraId="3720C3B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2023" w:type="dxa"/>
            <w:vMerge/>
            <w:tcBorders>
              <w:right w:val="single" w:sz="12" w:space="0" w:color="auto"/>
            </w:tcBorders>
          </w:tcPr>
          <w:p w14:paraId="7F02357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6CC598" w14:textId="77777777">
        <w:tc>
          <w:tcPr>
            <w:tcW w:w="1384" w:type="dxa"/>
            <w:vMerge/>
            <w:tcBorders>
              <w:left w:val="single" w:sz="12" w:space="0" w:color="auto"/>
            </w:tcBorders>
          </w:tcPr>
          <w:p w14:paraId="78F4B185" w14:textId="77777777" w:rsidR="003B3105" w:rsidRDefault="003B3105" w:rsidP="001E533B">
            <w:pPr>
              <w:rPr>
                <w:rFonts w:ascii="新細明體" w:eastAsia="新細明體" w:hAnsi="新細明體"/>
              </w:rPr>
            </w:pPr>
          </w:p>
        </w:tc>
        <w:tc>
          <w:tcPr>
            <w:tcW w:w="1276" w:type="dxa"/>
            <w:vMerge/>
          </w:tcPr>
          <w:p w14:paraId="5E4B2437" w14:textId="77777777" w:rsidR="003B3105" w:rsidRDefault="003B3105" w:rsidP="001E533B">
            <w:pPr>
              <w:rPr>
                <w:rFonts w:ascii="新細明體" w:eastAsia="新細明體" w:hAnsi="新細明體"/>
              </w:rPr>
            </w:pPr>
          </w:p>
        </w:tc>
        <w:tc>
          <w:tcPr>
            <w:tcW w:w="5386" w:type="dxa"/>
            <w:tcBorders>
              <w:top w:val="nil"/>
              <w:bottom w:val="nil"/>
            </w:tcBorders>
          </w:tcPr>
          <w:p w14:paraId="03B9373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公司採主機連線者，就當面委託客戶之委託買賣時間紀錄方式，除使用印時鐘紀錄外，得採用錄影之配套機制，紀錄客戶委託時間及序號。</w:t>
            </w:r>
          </w:p>
        </w:tc>
        <w:tc>
          <w:tcPr>
            <w:tcW w:w="5387" w:type="dxa"/>
            <w:tcBorders>
              <w:top w:val="nil"/>
              <w:bottom w:val="nil"/>
            </w:tcBorders>
          </w:tcPr>
          <w:p w14:paraId="7387D54D"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公司採主機連線者，就當面委託客戶之委託買賣時間紀錄方式，除使用印時鐘紀錄外，得採用錄影之配套機制，紀錄客戶委託時間及序號。</w:t>
            </w:r>
          </w:p>
        </w:tc>
        <w:tc>
          <w:tcPr>
            <w:tcW w:w="2023" w:type="dxa"/>
            <w:vMerge/>
            <w:tcBorders>
              <w:right w:val="single" w:sz="12" w:space="0" w:color="auto"/>
            </w:tcBorders>
          </w:tcPr>
          <w:p w14:paraId="3D0EDE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A992A2" w14:textId="77777777">
        <w:tc>
          <w:tcPr>
            <w:tcW w:w="1384" w:type="dxa"/>
            <w:vMerge/>
            <w:tcBorders>
              <w:left w:val="single" w:sz="12" w:space="0" w:color="auto"/>
            </w:tcBorders>
          </w:tcPr>
          <w:p w14:paraId="2DE5531A" w14:textId="77777777" w:rsidR="003B3105" w:rsidRDefault="003B3105" w:rsidP="001E533B">
            <w:pPr>
              <w:rPr>
                <w:rFonts w:ascii="新細明體" w:eastAsia="新細明體" w:hAnsi="新細明體"/>
              </w:rPr>
            </w:pPr>
          </w:p>
        </w:tc>
        <w:tc>
          <w:tcPr>
            <w:tcW w:w="1276" w:type="dxa"/>
            <w:vMerge/>
          </w:tcPr>
          <w:p w14:paraId="51B1E216" w14:textId="77777777" w:rsidR="003B3105" w:rsidRDefault="003B3105" w:rsidP="001E533B">
            <w:pPr>
              <w:rPr>
                <w:rFonts w:ascii="新細明體" w:eastAsia="新細明體" w:hAnsi="新細明體"/>
              </w:rPr>
            </w:pPr>
          </w:p>
        </w:tc>
        <w:tc>
          <w:tcPr>
            <w:tcW w:w="5386" w:type="dxa"/>
            <w:tcBorders>
              <w:top w:val="nil"/>
              <w:bottom w:val="nil"/>
            </w:tcBorders>
          </w:tcPr>
          <w:p w14:paraId="303B576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Reuters、ITG...等﹞所提供之系統傳遞委託買賣有價證券內容或指令，公司</w:t>
            </w:r>
            <w:r>
              <w:rPr>
                <w:rFonts w:ascii="新細明體" w:eastAsia="新細明體" w:hAnsi="新細明體" w:cs="新細明體" w:hint="eastAsia"/>
              </w:rPr>
              <w:lastRenderedPageBreak/>
              <w:t>與客戶應確保資訊平台之交易安全性與資料保存之完整性）委託者，由營業員負責填、印製委託書並簽章後，遞交終端機操作員同依上項程序輸入電腦進行交易，俟委託成交後通知客戶補辦簽章（客戶已簽訂委託人交割/給付結算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證交所106年8月24日臺證輔字第1060015757號函辦理。</w:t>
            </w:r>
          </w:p>
        </w:tc>
        <w:tc>
          <w:tcPr>
            <w:tcW w:w="5387" w:type="dxa"/>
            <w:tcBorders>
              <w:top w:val="nil"/>
              <w:bottom w:val="nil"/>
            </w:tcBorders>
          </w:tcPr>
          <w:p w14:paraId="6F96174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lastRenderedPageBreak/>
              <w:t>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Reuters、ITG...等﹞所提供之系統傳遞委託買賣有價證券內容或指令，公司</w:t>
            </w:r>
            <w:r>
              <w:rPr>
                <w:rFonts w:ascii="新細明體" w:eastAsia="新細明體" w:hAnsi="新細明體" w:cs="新細明體" w:hint="eastAsia"/>
              </w:rPr>
              <w:lastRenderedPageBreak/>
              <w:t>與客戶應確保資訊平台之交易安全性與資料保存之完整性）委託者，由營業員負責填、印製委託書並簽章後，遞交終端機操作員同依上項程序輸入電腦進行交易，俟委託成交後通知客戶補辦簽章（客戶已簽訂委託人交割/給付結算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證交所106年8月24日臺證輔字第1060015757號函辦理。</w:t>
            </w:r>
          </w:p>
        </w:tc>
        <w:tc>
          <w:tcPr>
            <w:tcW w:w="2023" w:type="dxa"/>
            <w:vMerge/>
            <w:tcBorders>
              <w:right w:val="single" w:sz="12" w:space="0" w:color="auto"/>
            </w:tcBorders>
          </w:tcPr>
          <w:p w14:paraId="6C0937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B4D46A" w14:textId="77777777">
        <w:tc>
          <w:tcPr>
            <w:tcW w:w="1384" w:type="dxa"/>
            <w:vMerge/>
            <w:tcBorders>
              <w:left w:val="single" w:sz="12" w:space="0" w:color="auto"/>
            </w:tcBorders>
          </w:tcPr>
          <w:p w14:paraId="5C6B1FE6" w14:textId="77777777" w:rsidR="003B3105" w:rsidRDefault="003B3105" w:rsidP="001E533B">
            <w:pPr>
              <w:rPr>
                <w:rFonts w:ascii="新細明體" w:eastAsia="新細明體" w:hAnsi="新細明體"/>
              </w:rPr>
            </w:pPr>
          </w:p>
        </w:tc>
        <w:tc>
          <w:tcPr>
            <w:tcW w:w="1276" w:type="dxa"/>
            <w:vMerge/>
          </w:tcPr>
          <w:p w14:paraId="14B3AC99" w14:textId="77777777" w:rsidR="003B3105" w:rsidRDefault="003B3105" w:rsidP="001E533B">
            <w:pPr>
              <w:rPr>
                <w:rFonts w:ascii="新細明體" w:eastAsia="新細明體" w:hAnsi="新細明體"/>
              </w:rPr>
            </w:pPr>
          </w:p>
        </w:tc>
        <w:tc>
          <w:tcPr>
            <w:tcW w:w="5386" w:type="dxa"/>
            <w:tcBorders>
              <w:top w:val="nil"/>
              <w:bottom w:val="nil"/>
            </w:tcBorders>
          </w:tcPr>
          <w:p w14:paraId="4BF12E9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接受客戶以傳真方式委託買賣有價證券時，為避免產生交易糾紛並保護個人資料，公司應採行下列管控機制以為配套：</w:t>
            </w:r>
          </w:p>
        </w:tc>
        <w:tc>
          <w:tcPr>
            <w:tcW w:w="5387" w:type="dxa"/>
            <w:tcBorders>
              <w:top w:val="nil"/>
              <w:bottom w:val="nil"/>
            </w:tcBorders>
          </w:tcPr>
          <w:p w14:paraId="7E953BDB"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接受客戶以傳真方式委託買賣有價證券時，為避免產生交易糾紛並保護個人資料，公司應採行下列管控機制以為配套：</w:t>
            </w:r>
          </w:p>
        </w:tc>
        <w:tc>
          <w:tcPr>
            <w:tcW w:w="2023" w:type="dxa"/>
            <w:vMerge/>
            <w:tcBorders>
              <w:right w:val="single" w:sz="12" w:space="0" w:color="auto"/>
            </w:tcBorders>
          </w:tcPr>
          <w:p w14:paraId="3E263B1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FD1467" w14:textId="77777777">
        <w:tc>
          <w:tcPr>
            <w:tcW w:w="1384" w:type="dxa"/>
            <w:vMerge/>
            <w:tcBorders>
              <w:left w:val="single" w:sz="12" w:space="0" w:color="auto"/>
            </w:tcBorders>
          </w:tcPr>
          <w:p w14:paraId="4345CD29" w14:textId="77777777" w:rsidR="003B3105" w:rsidRDefault="003B3105" w:rsidP="001E533B">
            <w:pPr>
              <w:rPr>
                <w:rFonts w:ascii="新細明體" w:eastAsia="新細明體" w:hAnsi="新細明體"/>
              </w:rPr>
            </w:pPr>
          </w:p>
        </w:tc>
        <w:tc>
          <w:tcPr>
            <w:tcW w:w="1276" w:type="dxa"/>
            <w:vMerge/>
          </w:tcPr>
          <w:p w14:paraId="67DC71E3" w14:textId="77777777" w:rsidR="003B3105" w:rsidRDefault="003B3105" w:rsidP="001E533B">
            <w:pPr>
              <w:rPr>
                <w:rFonts w:ascii="新細明體" w:eastAsia="新細明體" w:hAnsi="新細明體"/>
              </w:rPr>
            </w:pPr>
          </w:p>
        </w:tc>
        <w:tc>
          <w:tcPr>
            <w:tcW w:w="5386" w:type="dxa"/>
            <w:tcBorders>
              <w:top w:val="nil"/>
              <w:bottom w:val="nil"/>
            </w:tcBorders>
          </w:tcPr>
          <w:p w14:paraId="0F0A030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(1)應要求客戶於傳真文件上簽章並填具隱藏後4碼之身分證字號，或要求客戶</w:t>
            </w:r>
            <w:r>
              <w:rPr>
                <w:rFonts w:ascii="新細明體" w:eastAsia="新細明體" w:hAnsi="新細明體" w:cs="新細明體" w:hint="eastAsia"/>
              </w:rPr>
              <w:lastRenderedPageBreak/>
              <w:t>於傳真文件上簽章並核對與其開戶留存簽章是否相符。</w:t>
            </w:r>
          </w:p>
        </w:tc>
        <w:tc>
          <w:tcPr>
            <w:tcW w:w="5387" w:type="dxa"/>
            <w:tcBorders>
              <w:top w:val="nil"/>
              <w:bottom w:val="nil"/>
            </w:tcBorders>
          </w:tcPr>
          <w:p w14:paraId="0E24180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(1)應要求客戶於傳真文件上簽章並填具隱藏後4碼之身分證字號，或要求客戶</w:t>
            </w:r>
            <w:r>
              <w:rPr>
                <w:rFonts w:ascii="新細明體" w:eastAsia="新細明體" w:hAnsi="新細明體" w:cs="新細明體" w:hint="eastAsia"/>
              </w:rPr>
              <w:lastRenderedPageBreak/>
              <w:t>於傳真文件上簽章並核對與其開戶留存簽章是否相符。</w:t>
            </w:r>
          </w:p>
        </w:tc>
        <w:tc>
          <w:tcPr>
            <w:tcW w:w="2023" w:type="dxa"/>
            <w:vMerge/>
            <w:tcBorders>
              <w:right w:val="single" w:sz="12" w:space="0" w:color="auto"/>
            </w:tcBorders>
          </w:tcPr>
          <w:p w14:paraId="19BA02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458D90" w14:textId="77777777">
        <w:tc>
          <w:tcPr>
            <w:tcW w:w="1384" w:type="dxa"/>
            <w:vMerge/>
            <w:tcBorders>
              <w:left w:val="single" w:sz="12" w:space="0" w:color="auto"/>
            </w:tcBorders>
          </w:tcPr>
          <w:p w14:paraId="7B047B59" w14:textId="77777777" w:rsidR="003B3105" w:rsidRDefault="003B3105" w:rsidP="001E533B">
            <w:pPr>
              <w:rPr>
                <w:rFonts w:ascii="新細明體" w:eastAsia="新細明體" w:hAnsi="新細明體"/>
              </w:rPr>
            </w:pPr>
          </w:p>
        </w:tc>
        <w:tc>
          <w:tcPr>
            <w:tcW w:w="1276" w:type="dxa"/>
            <w:vMerge/>
          </w:tcPr>
          <w:p w14:paraId="75FCED8E" w14:textId="77777777" w:rsidR="003B3105" w:rsidRDefault="003B3105" w:rsidP="001E533B">
            <w:pPr>
              <w:rPr>
                <w:rFonts w:ascii="新細明體" w:eastAsia="新細明體" w:hAnsi="新細明體"/>
              </w:rPr>
            </w:pPr>
          </w:p>
        </w:tc>
        <w:tc>
          <w:tcPr>
            <w:tcW w:w="5386" w:type="dxa"/>
            <w:tcBorders>
              <w:top w:val="nil"/>
              <w:bottom w:val="nil"/>
            </w:tcBorders>
          </w:tcPr>
          <w:p w14:paraId="033253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(2)應設置專用傳真機於營業櫃檯內供使用，並應每日檢查傳真機顯示時間有無誤差。</w:t>
            </w:r>
          </w:p>
        </w:tc>
        <w:tc>
          <w:tcPr>
            <w:tcW w:w="5387" w:type="dxa"/>
            <w:tcBorders>
              <w:top w:val="nil"/>
              <w:bottom w:val="nil"/>
            </w:tcBorders>
          </w:tcPr>
          <w:p w14:paraId="3CC98D6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(2)應設置專用傳真機於營業櫃檯內供使用，並應每日檢查傳真機顯示時間有無誤差。</w:t>
            </w:r>
          </w:p>
        </w:tc>
        <w:tc>
          <w:tcPr>
            <w:tcW w:w="2023" w:type="dxa"/>
            <w:vMerge/>
            <w:tcBorders>
              <w:right w:val="single" w:sz="12" w:space="0" w:color="auto"/>
            </w:tcBorders>
          </w:tcPr>
          <w:p w14:paraId="1B4168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969600" w14:textId="77777777">
        <w:tc>
          <w:tcPr>
            <w:tcW w:w="1384" w:type="dxa"/>
            <w:vMerge/>
            <w:tcBorders>
              <w:left w:val="single" w:sz="12" w:space="0" w:color="auto"/>
            </w:tcBorders>
          </w:tcPr>
          <w:p w14:paraId="0254AEA6" w14:textId="77777777" w:rsidR="003B3105" w:rsidRDefault="003B3105" w:rsidP="001E533B">
            <w:pPr>
              <w:rPr>
                <w:rFonts w:ascii="新細明體" w:eastAsia="新細明體" w:hAnsi="新細明體"/>
              </w:rPr>
            </w:pPr>
          </w:p>
        </w:tc>
        <w:tc>
          <w:tcPr>
            <w:tcW w:w="1276" w:type="dxa"/>
            <w:vMerge/>
          </w:tcPr>
          <w:p w14:paraId="05BCC7E9" w14:textId="77777777" w:rsidR="003B3105" w:rsidRDefault="003B3105" w:rsidP="001E533B">
            <w:pPr>
              <w:rPr>
                <w:rFonts w:ascii="新細明體" w:eastAsia="新細明體" w:hAnsi="新細明體"/>
              </w:rPr>
            </w:pPr>
          </w:p>
        </w:tc>
        <w:tc>
          <w:tcPr>
            <w:tcW w:w="5386" w:type="dxa"/>
            <w:tcBorders>
              <w:top w:val="nil"/>
              <w:bottom w:val="nil"/>
            </w:tcBorders>
          </w:tcPr>
          <w:p w14:paraId="364DF29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5387" w:type="dxa"/>
            <w:tcBorders>
              <w:top w:val="nil"/>
              <w:bottom w:val="nil"/>
            </w:tcBorders>
          </w:tcPr>
          <w:p w14:paraId="675F62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2023" w:type="dxa"/>
            <w:vMerge/>
            <w:tcBorders>
              <w:right w:val="single" w:sz="12" w:space="0" w:color="auto"/>
            </w:tcBorders>
          </w:tcPr>
          <w:p w14:paraId="5157B3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21A1EDB" w14:textId="77777777">
        <w:tc>
          <w:tcPr>
            <w:tcW w:w="1384" w:type="dxa"/>
            <w:vMerge/>
            <w:tcBorders>
              <w:left w:val="single" w:sz="12" w:space="0" w:color="auto"/>
            </w:tcBorders>
          </w:tcPr>
          <w:p w14:paraId="28055704" w14:textId="77777777" w:rsidR="003B3105" w:rsidRDefault="003B3105" w:rsidP="001E533B">
            <w:pPr>
              <w:rPr>
                <w:rFonts w:ascii="新細明體" w:eastAsia="新細明體" w:hAnsi="新細明體"/>
              </w:rPr>
            </w:pPr>
          </w:p>
        </w:tc>
        <w:tc>
          <w:tcPr>
            <w:tcW w:w="1276" w:type="dxa"/>
            <w:vMerge/>
          </w:tcPr>
          <w:p w14:paraId="6FE80633" w14:textId="77777777" w:rsidR="003B3105" w:rsidRDefault="003B3105" w:rsidP="001E533B">
            <w:pPr>
              <w:rPr>
                <w:rFonts w:ascii="新細明體" w:eastAsia="新細明體" w:hAnsi="新細明體"/>
              </w:rPr>
            </w:pPr>
          </w:p>
        </w:tc>
        <w:tc>
          <w:tcPr>
            <w:tcW w:w="5386" w:type="dxa"/>
            <w:tcBorders>
              <w:top w:val="nil"/>
              <w:bottom w:val="nil"/>
            </w:tcBorders>
          </w:tcPr>
          <w:p w14:paraId="3342B2E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3.採用電腦交易作業之股票其申報價格以不超逾當日漲跌停板之升降幅度為限。</w:t>
            </w:r>
          </w:p>
        </w:tc>
        <w:tc>
          <w:tcPr>
            <w:tcW w:w="5387" w:type="dxa"/>
            <w:tcBorders>
              <w:top w:val="nil"/>
              <w:bottom w:val="nil"/>
            </w:tcBorders>
          </w:tcPr>
          <w:p w14:paraId="20D578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3.採用電腦交易作業之股票其申報價格以不超逾當日漲跌停板之升降幅度為限。</w:t>
            </w:r>
          </w:p>
        </w:tc>
        <w:tc>
          <w:tcPr>
            <w:tcW w:w="2023" w:type="dxa"/>
            <w:vMerge/>
            <w:tcBorders>
              <w:right w:val="single" w:sz="12" w:space="0" w:color="auto"/>
            </w:tcBorders>
          </w:tcPr>
          <w:p w14:paraId="388504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876B50" w14:textId="77777777">
        <w:tc>
          <w:tcPr>
            <w:tcW w:w="1384" w:type="dxa"/>
            <w:vMerge/>
            <w:tcBorders>
              <w:left w:val="single" w:sz="12" w:space="0" w:color="auto"/>
            </w:tcBorders>
          </w:tcPr>
          <w:p w14:paraId="1F1EAAF3" w14:textId="77777777" w:rsidR="003B3105" w:rsidRDefault="003B3105" w:rsidP="001E533B">
            <w:pPr>
              <w:rPr>
                <w:rFonts w:ascii="新細明體" w:eastAsia="新細明體" w:hAnsi="新細明體"/>
              </w:rPr>
            </w:pPr>
          </w:p>
        </w:tc>
        <w:tc>
          <w:tcPr>
            <w:tcW w:w="1276" w:type="dxa"/>
            <w:vMerge/>
          </w:tcPr>
          <w:p w14:paraId="7690FBA0" w14:textId="77777777" w:rsidR="003B3105" w:rsidRDefault="003B3105" w:rsidP="001E533B">
            <w:pPr>
              <w:rPr>
                <w:rFonts w:ascii="新細明體" w:eastAsia="新細明體" w:hAnsi="新細明體"/>
              </w:rPr>
            </w:pPr>
          </w:p>
        </w:tc>
        <w:tc>
          <w:tcPr>
            <w:tcW w:w="5386" w:type="dxa"/>
            <w:tcBorders>
              <w:top w:val="nil"/>
              <w:bottom w:val="nil"/>
            </w:tcBorders>
          </w:tcPr>
          <w:p w14:paraId="331210A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4.買賣之委託，得自開盤時間開始前半小時輸入，但若屬零股、鉅額買賣及有價證券除債券(不含可轉換公司債)外之盤後定價等交易，其委託買賣之輸入時間則另依證交所及櫃檯買賣中心相關規定辦理。</w:t>
            </w:r>
          </w:p>
        </w:tc>
        <w:tc>
          <w:tcPr>
            <w:tcW w:w="5387" w:type="dxa"/>
            <w:tcBorders>
              <w:top w:val="nil"/>
              <w:bottom w:val="nil"/>
            </w:tcBorders>
          </w:tcPr>
          <w:p w14:paraId="571697E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4.買賣之委託，得自開盤時間開始前半小時輸入，但若屬零股、鉅額買賣及有價證券除債券(不含可轉換公司債)外之盤後定價等交易，其委託買賣之輸入時間則另依證交所及櫃檯買賣中心相關規定辦理。</w:t>
            </w:r>
          </w:p>
        </w:tc>
        <w:tc>
          <w:tcPr>
            <w:tcW w:w="2023" w:type="dxa"/>
            <w:vMerge/>
            <w:tcBorders>
              <w:right w:val="single" w:sz="12" w:space="0" w:color="auto"/>
            </w:tcBorders>
          </w:tcPr>
          <w:p w14:paraId="18CDAD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6265E0" w14:textId="77777777">
        <w:tc>
          <w:tcPr>
            <w:tcW w:w="1384" w:type="dxa"/>
            <w:vMerge/>
            <w:tcBorders>
              <w:left w:val="single" w:sz="12" w:space="0" w:color="auto"/>
            </w:tcBorders>
          </w:tcPr>
          <w:p w14:paraId="572CB048" w14:textId="77777777" w:rsidR="003B3105" w:rsidRDefault="003B3105" w:rsidP="001E533B">
            <w:pPr>
              <w:rPr>
                <w:rFonts w:ascii="新細明體" w:eastAsia="新細明體" w:hAnsi="新細明體"/>
              </w:rPr>
            </w:pPr>
          </w:p>
        </w:tc>
        <w:tc>
          <w:tcPr>
            <w:tcW w:w="1276" w:type="dxa"/>
            <w:vMerge/>
          </w:tcPr>
          <w:p w14:paraId="68739A49" w14:textId="77777777" w:rsidR="003B3105" w:rsidRDefault="003B3105" w:rsidP="001E533B">
            <w:pPr>
              <w:rPr>
                <w:rFonts w:ascii="新細明體" w:eastAsia="新細明體" w:hAnsi="新細明體"/>
              </w:rPr>
            </w:pPr>
          </w:p>
        </w:tc>
        <w:tc>
          <w:tcPr>
            <w:tcW w:w="5386" w:type="dxa"/>
            <w:tcBorders>
              <w:top w:val="nil"/>
              <w:bottom w:val="nil"/>
            </w:tcBorders>
          </w:tcPr>
          <w:p w14:paraId="35F2E4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5.證交所或櫃檯買賣中心電腦交易撮合成交後，經委任證券商之通知或由專用列表機列印成交回報單，營業員以電話、廣播或客戶自行由刷卡成交回報系統得知成交。</w:t>
            </w:r>
          </w:p>
        </w:tc>
        <w:tc>
          <w:tcPr>
            <w:tcW w:w="5387" w:type="dxa"/>
            <w:tcBorders>
              <w:top w:val="nil"/>
              <w:bottom w:val="nil"/>
            </w:tcBorders>
          </w:tcPr>
          <w:p w14:paraId="4232C1E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5.證交所或櫃檯買賣中心電腦交易撮合成交後，經委任證券商之通知或由專用列表機列印成交回報單，營業員以電話、廣播或客戶自行由刷卡成交回報系統得知成交。</w:t>
            </w:r>
          </w:p>
        </w:tc>
        <w:tc>
          <w:tcPr>
            <w:tcW w:w="2023" w:type="dxa"/>
            <w:vMerge/>
            <w:tcBorders>
              <w:right w:val="single" w:sz="12" w:space="0" w:color="auto"/>
            </w:tcBorders>
          </w:tcPr>
          <w:p w14:paraId="3045A8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08EEAD" w14:textId="77777777">
        <w:tc>
          <w:tcPr>
            <w:tcW w:w="1384" w:type="dxa"/>
            <w:vMerge/>
            <w:tcBorders>
              <w:left w:val="single" w:sz="12" w:space="0" w:color="auto"/>
            </w:tcBorders>
          </w:tcPr>
          <w:p w14:paraId="08EB3039" w14:textId="77777777" w:rsidR="003B3105" w:rsidRDefault="003B3105" w:rsidP="001E533B">
            <w:pPr>
              <w:rPr>
                <w:rFonts w:ascii="新細明體" w:eastAsia="新細明體" w:hAnsi="新細明體"/>
              </w:rPr>
            </w:pPr>
          </w:p>
        </w:tc>
        <w:tc>
          <w:tcPr>
            <w:tcW w:w="1276" w:type="dxa"/>
            <w:vMerge/>
          </w:tcPr>
          <w:p w14:paraId="41A5B946" w14:textId="77777777" w:rsidR="003B3105" w:rsidRDefault="003B3105" w:rsidP="001E533B">
            <w:pPr>
              <w:rPr>
                <w:rFonts w:ascii="新細明體" w:eastAsia="新細明體" w:hAnsi="新細明體"/>
              </w:rPr>
            </w:pPr>
          </w:p>
        </w:tc>
        <w:tc>
          <w:tcPr>
            <w:tcW w:w="5386" w:type="dxa"/>
            <w:tcBorders>
              <w:top w:val="nil"/>
              <w:bottom w:val="nil"/>
            </w:tcBorders>
          </w:tcPr>
          <w:p w14:paraId="0DC17F9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6.將委託書與成交回報單核對後（俗稱勾</w:t>
            </w:r>
            <w:r>
              <w:rPr>
                <w:rFonts w:ascii="新細明體" w:eastAsia="新細明體" w:hAnsi="新細明體" w:cs="新細明體" w:hint="eastAsia"/>
              </w:rPr>
              <w:lastRenderedPageBreak/>
              <w:t>單），在已成交之委託書上蓋「已成交」戳記，另未成交之委託書亦須加蓋「未成交」或「註銷」戳記，並依規定期限保存，而於期限屆滿後，如無爭議，得自行銷毀。</w:t>
            </w:r>
          </w:p>
        </w:tc>
        <w:tc>
          <w:tcPr>
            <w:tcW w:w="5387" w:type="dxa"/>
            <w:tcBorders>
              <w:top w:val="nil"/>
              <w:bottom w:val="nil"/>
            </w:tcBorders>
          </w:tcPr>
          <w:p w14:paraId="53493A9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6.將委託書與成交回報單核對後（俗稱勾</w:t>
            </w:r>
            <w:r>
              <w:rPr>
                <w:rFonts w:ascii="新細明體" w:eastAsia="新細明體" w:hAnsi="新細明體" w:cs="新細明體" w:hint="eastAsia"/>
              </w:rPr>
              <w:lastRenderedPageBreak/>
              <w:t>單），在已成交之委託書上蓋「已成交」戳記，另未成交之委託書亦須加蓋「未成交」或「註銷」戳記，並依規定期限保存，而於期限屆滿後，如無爭議，得自行銷毀。</w:t>
            </w:r>
          </w:p>
        </w:tc>
        <w:tc>
          <w:tcPr>
            <w:tcW w:w="2023" w:type="dxa"/>
            <w:vMerge/>
            <w:tcBorders>
              <w:right w:val="single" w:sz="12" w:space="0" w:color="auto"/>
            </w:tcBorders>
          </w:tcPr>
          <w:p w14:paraId="3B59B8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13CCF7" w14:textId="77777777">
        <w:tc>
          <w:tcPr>
            <w:tcW w:w="1384" w:type="dxa"/>
            <w:vMerge/>
            <w:tcBorders>
              <w:left w:val="single" w:sz="12" w:space="0" w:color="auto"/>
            </w:tcBorders>
          </w:tcPr>
          <w:p w14:paraId="7DB968AB" w14:textId="77777777" w:rsidR="003B3105" w:rsidRDefault="003B3105" w:rsidP="001E533B">
            <w:pPr>
              <w:rPr>
                <w:rFonts w:ascii="新細明體" w:eastAsia="新細明體" w:hAnsi="新細明體"/>
              </w:rPr>
            </w:pPr>
          </w:p>
        </w:tc>
        <w:tc>
          <w:tcPr>
            <w:tcW w:w="1276" w:type="dxa"/>
            <w:vMerge/>
          </w:tcPr>
          <w:p w14:paraId="4CF151D8" w14:textId="77777777" w:rsidR="003B3105" w:rsidRDefault="003B3105" w:rsidP="001E533B">
            <w:pPr>
              <w:rPr>
                <w:rFonts w:ascii="新細明體" w:eastAsia="新細明體" w:hAnsi="新細明體"/>
              </w:rPr>
            </w:pPr>
          </w:p>
        </w:tc>
        <w:tc>
          <w:tcPr>
            <w:tcW w:w="5386" w:type="dxa"/>
            <w:tcBorders>
              <w:top w:val="nil"/>
              <w:bottom w:val="nil"/>
            </w:tcBorders>
          </w:tcPr>
          <w:p w14:paraId="60DDB0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5387" w:type="dxa"/>
            <w:tcBorders>
              <w:top w:val="nil"/>
              <w:bottom w:val="nil"/>
            </w:tcBorders>
          </w:tcPr>
          <w:p w14:paraId="33D085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2023" w:type="dxa"/>
            <w:vMerge/>
            <w:tcBorders>
              <w:right w:val="single" w:sz="12" w:space="0" w:color="auto"/>
            </w:tcBorders>
          </w:tcPr>
          <w:p w14:paraId="61A68A4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A55C84" w14:textId="77777777">
        <w:tc>
          <w:tcPr>
            <w:tcW w:w="1384" w:type="dxa"/>
            <w:vMerge/>
            <w:tcBorders>
              <w:left w:val="single" w:sz="12" w:space="0" w:color="auto"/>
            </w:tcBorders>
          </w:tcPr>
          <w:p w14:paraId="0BAAED49" w14:textId="77777777" w:rsidR="003B3105" w:rsidRDefault="003B3105" w:rsidP="001E533B">
            <w:pPr>
              <w:rPr>
                <w:rFonts w:ascii="新細明體" w:eastAsia="新細明體" w:hAnsi="新細明體"/>
              </w:rPr>
            </w:pPr>
          </w:p>
        </w:tc>
        <w:tc>
          <w:tcPr>
            <w:tcW w:w="1276" w:type="dxa"/>
            <w:vMerge/>
          </w:tcPr>
          <w:p w14:paraId="375DBCEC" w14:textId="77777777" w:rsidR="003B3105" w:rsidRDefault="003B3105" w:rsidP="001E533B">
            <w:pPr>
              <w:rPr>
                <w:rFonts w:ascii="新細明體" w:eastAsia="新細明體" w:hAnsi="新細明體"/>
              </w:rPr>
            </w:pPr>
          </w:p>
        </w:tc>
        <w:tc>
          <w:tcPr>
            <w:tcW w:w="5386" w:type="dxa"/>
            <w:tcBorders>
              <w:top w:val="nil"/>
              <w:bottom w:val="nil"/>
            </w:tcBorders>
          </w:tcPr>
          <w:p w14:paraId="222574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8.不得接受已轉讓且未向發行公司辦理過戶登記之記名股票借用他人交易帳戶賣出(註：遺產管理人行使法定職權不在此限)。</w:t>
            </w:r>
          </w:p>
        </w:tc>
        <w:tc>
          <w:tcPr>
            <w:tcW w:w="5387" w:type="dxa"/>
            <w:tcBorders>
              <w:top w:val="nil"/>
              <w:bottom w:val="nil"/>
            </w:tcBorders>
          </w:tcPr>
          <w:p w14:paraId="11F0CA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8.不得接受已轉讓且未向發行公司辦理過戶登記之記名股票借用他人交易帳戶賣出(註：遺產管理人行使法定職權不在此限)。</w:t>
            </w:r>
          </w:p>
        </w:tc>
        <w:tc>
          <w:tcPr>
            <w:tcW w:w="2023" w:type="dxa"/>
            <w:vMerge/>
            <w:tcBorders>
              <w:right w:val="single" w:sz="12" w:space="0" w:color="auto"/>
            </w:tcBorders>
          </w:tcPr>
          <w:p w14:paraId="5D89D4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B0836B" w14:textId="77777777">
        <w:tc>
          <w:tcPr>
            <w:tcW w:w="1384" w:type="dxa"/>
            <w:vMerge/>
            <w:tcBorders>
              <w:left w:val="single" w:sz="12" w:space="0" w:color="auto"/>
            </w:tcBorders>
          </w:tcPr>
          <w:p w14:paraId="61DAEE2C" w14:textId="77777777" w:rsidR="003B3105" w:rsidRDefault="003B3105" w:rsidP="001E533B">
            <w:pPr>
              <w:rPr>
                <w:rFonts w:ascii="新細明體" w:eastAsia="新細明體" w:hAnsi="新細明體"/>
              </w:rPr>
            </w:pPr>
          </w:p>
        </w:tc>
        <w:tc>
          <w:tcPr>
            <w:tcW w:w="1276" w:type="dxa"/>
            <w:vMerge/>
          </w:tcPr>
          <w:p w14:paraId="26EFECFF" w14:textId="77777777" w:rsidR="003B3105" w:rsidRDefault="003B3105" w:rsidP="001E533B">
            <w:pPr>
              <w:rPr>
                <w:rFonts w:ascii="新細明體" w:eastAsia="新細明體" w:hAnsi="新細明體"/>
              </w:rPr>
            </w:pPr>
          </w:p>
        </w:tc>
        <w:tc>
          <w:tcPr>
            <w:tcW w:w="5386" w:type="dxa"/>
            <w:tcBorders>
              <w:top w:val="nil"/>
              <w:bottom w:val="nil"/>
            </w:tcBorders>
          </w:tcPr>
          <w:p w14:paraId="5D63B26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9.客戶如係依規得為委託代理開戶或上月成交金額達五千萬元以上，經委任證券商依規定函證未能送達或未覆函者，營業員應注意控管其委託買賣。</w:t>
            </w:r>
          </w:p>
        </w:tc>
        <w:tc>
          <w:tcPr>
            <w:tcW w:w="5387" w:type="dxa"/>
            <w:tcBorders>
              <w:top w:val="nil"/>
              <w:bottom w:val="nil"/>
            </w:tcBorders>
          </w:tcPr>
          <w:p w14:paraId="54BFE2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9.客戶如係依規得為委託代理開戶或上月成交金額達五千萬元以上，經委任證券商依規定函證未能送達或未覆函者，營業員應注意控管其委託買賣。</w:t>
            </w:r>
          </w:p>
        </w:tc>
        <w:tc>
          <w:tcPr>
            <w:tcW w:w="2023" w:type="dxa"/>
            <w:vMerge/>
            <w:tcBorders>
              <w:right w:val="single" w:sz="12" w:space="0" w:color="auto"/>
            </w:tcBorders>
          </w:tcPr>
          <w:p w14:paraId="607438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35A6CE" w14:textId="77777777">
        <w:tc>
          <w:tcPr>
            <w:tcW w:w="1384" w:type="dxa"/>
            <w:vMerge/>
            <w:tcBorders>
              <w:left w:val="single" w:sz="12" w:space="0" w:color="auto"/>
            </w:tcBorders>
          </w:tcPr>
          <w:p w14:paraId="3FAE8FE4" w14:textId="77777777" w:rsidR="003B3105" w:rsidRDefault="003B3105" w:rsidP="001E533B">
            <w:pPr>
              <w:rPr>
                <w:rFonts w:ascii="新細明體" w:eastAsia="新細明體" w:hAnsi="新細明體"/>
              </w:rPr>
            </w:pPr>
          </w:p>
        </w:tc>
        <w:tc>
          <w:tcPr>
            <w:tcW w:w="1276" w:type="dxa"/>
            <w:vMerge/>
          </w:tcPr>
          <w:p w14:paraId="26D2E683" w14:textId="77777777" w:rsidR="003B3105" w:rsidRDefault="003B3105" w:rsidP="001E533B">
            <w:pPr>
              <w:rPr>
                <w:rFonts w:ascii="新細明體" w:eastAsia="新細明體" w:hAnsi="新細明體"/>
              </w:rPr>
            </w:pPr>
          </w:p>
        </w:tc>
        <w:tc>
          <w:tcPr>
            <w:tcW w:w="5386" w:type="dxa"/>
            <w:tcBorders>
              <w:top w:val="nil"/>
              <w:bottom w:val="nil"/>
            </w:tcBorders>
          </w:tcPr>
          <w:p w14:paraId="03E1EA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10.每一帳戶當日成交金額達五百萬元(得</w:t>
            </w:r>
            <w:r>
              <w:rPr>
                <w:rFonts w:ascii="新細明體" w:eastAsia="新細明體" w:hAnsi="新細明體" w:cs="新細明體" w:hint="eastAsia"/>
              </w:rPr>
              <w:lastRenderedPageBreak/>
              <w:t>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5387" w:type="dxa"/>
            <w:tcBorders>
              <w:top w:val="nil"/>
              <w:bottom w:val="nil"/>
            </w:tcBorders>
          </w:tcPr>
          <w:p w14:paraId="0CEA882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10.每一帳戶當日成交金額達五百萬元(得</w:t>
            </w:r>
            <w:r>
              <w:rPr>
                <w:rFonts w:ascii="新細明體" w:eastAsia="新細明體" w:hAnsi="新細明體" w:cs="新細明體" w:hint="eastAsia"/>
              </w:rPr>
              <w:lastRenderedPageBreak/>
              <w:t>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2023" w:type="dxa"/>
            <w:vMerge/>
            <w:tcBorders>
              <w:right w:val="single" w:sz="12" w:space="0" w:color="auto"/>
            </w:tcBorders>
          </w:tcPr>
          <w:p w14:paraId="1C76EB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DB9291" w14:textId="77777777">
        <w:tc>
          <w:tcPr>
            <w:tcW w:w="1384" w:type="dxa"/>
            <w:vMerge/>
            <w:tcBorders>
              <w:left w:val="single" w:sz="12" w:space="0" w:color="auto"/>
            </w:tcBorders>
          </w:tcPr>
          <w:p w14:paraId="3A4CF8BD" w14:textId="77777777" w:rsidR="003B3105" w:rsidRDefault="003B3105" w:rsidP="001E533B">
            <w:pPr>
              <w:rPr>
                <w:rFonts w:ascii="新細明體" w:eastAsia="新細明體" w:hAnsi="新細明體"/>
              </w:rPr>
            </w:pPr>
          </w:p>
        </w:tc>
        <w:tc>
          <w:tcPr>
            <w:tcW w:w="1276" w:type="dxa"/>
            <w:vMerge/>
          </w:tcPr>
          <w:p w14:paraId="35EF4493" w14:textId="77777777" w:rsidR="003B3105" w:rsidRDefault="003B3105" w:rsidP="001E533B">
            <w:pPr>
              <w:rPr>
                <w:rFonts w:ascii="新細明體" w:eastAsia="新細明體" w:hAnsi="新細明體"/>
              </w:rPr>
            </w:pPr>
          </w:p>
        </w:tc>
        <w:tc>
          <w:tcPr>
            <w:tcW w:w="5386" w:type="dxa"/>
            <w:tcBorders>
              <w:top w:val="nil"/>
              <w:bottom w:val="nil"/>
            </w:tcBorders>
          </w:tcPr>
          <w:p w14:paraId="3726940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11.受託買賣如有下列情事之一者，不得受理：</w:t>
            </w:r>
          </w:p>
        </w:tc>
        <w:tc>
          <w:tcPr>
            <w:tcW w:w="5387" w:type="dxa"/>
            <w:tcBorders>
              <w:top w:val="nil"/>
              <w:bottom w:val="nil"/>
            </w:tcBorders>
          </w:tcPr>
          <w:p w14:paraId="5E0A3F43"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11.受託買賣如有下列情事之一者，不得受理：</w:t>
            </w:r>
          </w:p>
        </w:tc>
        <w:tc>
          <w:tcPr>
            <w:tcW w:w="2023" w:type="dxa"/>
            <w:vMerge/>
            <w:tcBorders>
              <w:right w:val="single" w:sz="12" w:space="0" w:color="auto"/>
            </w:tcBorders>
          </w:tcPr>
          <w:p w14:paraId="4A29E2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FF3C57" w14:textId="77777777">
        <w:tc>
          <w:tcPr>
            <w:tcW w:w="1384" w:type="dxa"/>
            <w:vMerge/>
            <w:tcBorders>
              <w:left w:val="single" w:sz="12" w:space="0" w:color="auto"/>
            </w:tcBorders>
          </w:tcPr>
          <w:p w14:paraId="5992A269" w14:textId="77777777" w:rsidR="003B3105" w:rsidRDefault="003B3105" w:rsidP="001E533B">
            <w:pPr>
              <w:rPr>
                <w:rFonts w:ascii="新細明體" w:eastAsia="新細明體" w:hAnsi="新細明體"/>
              </w:rPr>
            </w:pPr>
          </w:p>
        </w:tc>
        <w:tc>
          <w:tcPr>
            <w:tcW w:w="1276" w:type="dxa"/>
            <w:vMerge/>
          </w:tcPr>
          <w:p w14:paraId="696D78E6" w14:textId="77777777" w:rsidR="003B3105" w:rsidRDefault="003B3105" w:rsidP="001E533B">
            <w:pPr>
              <w:rPr>
                <w:rFonts w:ascii="新細明體" w:eastAsia="新細明體" w:hAnsi="新細明體"/>
              </w:rPr>
            </w:pPr>
          </w:p>
        </w:tc>
        <w:tc>
          <w:tcPr>
            <w:tcW w:w="5386" w:type="dxa"/>
            <w:tcBorders>
              <w:top w:val="nil"/>
              <w:bottom w:val="nil"/>
            </w:tcBorders>
          </w:tcPr>
          <w:p w14:paraId="27C3F8D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(1)全權選擇證券種類之委託買賣。</w:t>
            </w:r>
          </w:p>
        </w:tc>
        <w:tc>
          <w:tcPr>
            <w:tcW w:w="5387" w:type="dxa"/>
            <w:tcBorders>
              <w:top w:val="nil"/>
              <w:bottom w:val="nil"/>
            </w:tcBorders>
          </w:tcPr>
          <w:p w14:paraId="242DBEB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(1)全權選擇證券種類之委託買賣。</w:t>
            </w:r>
          </w:p>
        </w:tc>
        <w:tc>
          <w:tcPr>
            <w:tcW w:w="2023" w:type="dxa"/>
            <w:vMerge/>
            <w:tcBorders>
              <w:right w:val="single" w:sz="12" w:space="0" w:color="auto"/>
            </w:tcBorders>
          </w:tcPr>
          <w:p w14:paraId="09FA93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F1A44B" w14:textId="77777777">
        <w:tc>
          <w:tcPr>
            <w:tcW w:w="1384" w:type="dxa"/>
            <w:vMerge/>
            <w:tcBorders>
              <w:left w:val="single" w:sz="12" w:space="0" w:color="auto"/>
            </w:tcBorders>
          </w:tcPr>
          <w:p w14:paraId="16BACB2C" w14:textId="77777777" w:rsidR="003B3105" w:rsidRDefault="003B3105" w:rsidP="001E533B">
            <w:pPr>
              <w:rPr>
                <w:rFonts w:ascii="新細明體" w:eastAsia="新細明體" w:hAnsi="新細明體"/>
              </w:rPr>
            </w:pPr>
          </w:p>
        </w:tc>
        <w:tc>
          <w:tcPr>
            <w:tcW w:w="1276" w:type="dxa"/>
            <w:vMerge/>
          </w:tcPr>
          <w:p w14:paraId="17110A50" w14:textId="77777777" w:rsidR="003B3105" w:rsidRDefault="003B3105" w:rsidP="001E533B">
            <w:pPr>
              <w:rPr>
                <w:rFonts w:ascii="新細明體" w:eastAsia="新細明體" w:hAnsi="新細明體"/>
              </w:rPr>
            </w:pPr>
          </w:p>
        </w:tc>
        <w:tc>
          <w:tcPr>
            <w:tcW w:w="5386" w:type="dxa"/>
            <w:tcBorders>
              <w:top w:val="nil"/>
              <w:bottom w:val="nil"/>
            </w:tcBorders>
          </w:tcPr>
          <w:p w14:paraId="03C562C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(2)全權決定買賣數量之委託買賣。</w:t>
            </w:r>
          </w:p>
        </w:tc>
        <w:tc>
          <w:tcPr>
            <w:tcW w:w="5387" w:type="dxa"/>
            <w:tcBorders>
              <w:top w:val="nil"/>
              <w:bottom w:val="nil"/>
            </w:tcBorders>
          </w:tcPr>
          <w:p w14:paraId="466C0DB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(2)全權決定買賣數量之委託買賣。</w:t>
            </w:r>
          </w:p>
        </w:tc>
        <w:tc>
          <w:tcPr>
            <w:tcW w:w="2023" w:type="dxa"/>
            <w:vMerge/>
            <w:tcBorders>
              <w:right w:val="single" w:sz="12" w:space="0" w:color="auto"/>
            </w:tcBorders>
          </w:tcPr>
          <w:p w14:paraId="3A57FF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37E539" w14:textId="77777777">
        <w:tc>
          <w:tcPr>
            <w:tcW w:w="1384" w:type="dxa"/>
            <w:vMerge/>
            <w:tcBorders>
              <w:left w:val="single" w:sz="12" w:space="0" w:color="auto"/>
            </w:tcBorders>
          </w:tcPr>
          <w:p w14:paraId="3D38C66F" w14:textId="77777777" w:rsidR="003B3105" w:rsidRDefault="003B3105" w:rsidP="001E533B">
            <w:pPr>
              <w:rPr>
                <w:rFonts w:ascii="新細明體" w:eastAsia="新細明體" w:hAnsi="新細明體"/>
              </w:rPr>
            </w:pPr>
          </w:p>
        </w:tc>
        <w:tc>
          <w:tcPr>
            <w:tcW w:w="1276" w:type="dxa"/>
            <w:vMerge/>
          </w:tcPr>
          <w:p w14:paraId="46216D76" w14:textId="77777777" w:rsidR="003B3105" w:rsidRDefault="003B3105" w:rsidP="001E533B">
            <w:pPr>
              <w:rPr>
                <w:rFonts w:ascii="新細明體" w:eastAsia="新細明體" w:hAnsi="新細明體"/>
              </w:rPr>
            </w:pPr>
          </w:p>
        </w:tc>
        <w:tc>
          <w:tcPr>
            <w:tcW w:w="5386" w:type="dxa"/>
            <w:tcBorders>
              <w:top w:val="nil"/>
              <w:bottom w:val="nil"/>
            </w:tcBorders>
          </w:tcPr>
          <w:p w14:paraId="0B71193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(3)全權決定買賣價格之委託買賣。</w:t>
            </w:r>
          </w:p>
        </w:tc>
        <w:tc>
          <w:tcPr>
            <w:tcW w:w="5387" w:type="dxa"/>
            <w:tcBorders>
              <w:top w:val="nil"/>
              <w:bottom w:val="nil"/>
            </w:tcBorders>
          </w:tcPr>
          <w:p w14:paraId="0CE21D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(3)全權決定買賣價格之委託買賣。</w:t>
            </w:r>
          </w:p>
        </w:tc>
        <w:tc>
          <w:tcPr>
            <w:tcW w:w="2023" w:type="dxa"/>
            <w:vMerge/>
            <w:tcBorders>
              <w:right w:val="single" w:sz="12" w:space="0" w:color="auto"/>
            </w:tcBorders>
          </w:tcPr>
          <w:p w14:paraId="5980E7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3E10056" w14:textId="77777777">
        <w:tc>
          <w:tcPr>
            <w:tcW w:w="1384" w:type="dxa"/>
            <w:vMerge/>
            <w:tcBorders>
              <w:left w:val="single" w:sz="12" w:space="0" w:color="auto"/>
            </w:tcBorders>
          </w:tcPr>
          <w:p w14:paraId="186195C6" w14:textId="77777777" w:rsidR="003B3105" w:rsidRDefault="003B3105" w:rsidP="001E533B">
            <w:pPr>
              <w:rPr>
                <w:rFonts w:ascii="新細明體" w:eastAsia="新細明體" w:hAnsi="新細明體"/>
              </w:rPr>
            </w:pPr>
          </w:p>
        </w:tc>
        <w:tc>
          <w:tcPr>
            <w:tcW w:w="1276" w:type="dxa"/>
            <w:vMerge/>
          </w:tcPr>
          <w:p w14:paraId="72BB8D24" w14:textId="77777777" w:rsidR="003B3105" w:rsidRDefault="003B3105" w:rsidP="001E533B">
            <w:pPr>
              <w:rPr>
                <w:rFonts w:ascii="新細明體" w:eastAsia="新細明體" w:hAnsi="新細明體"/>
              </w:rPr>
            </w:pPr>
          </w:p>
        </w:tc>
        <w:tc>
          <w:tcPr>
            <w:tcW w:w="5386" w:type="dxa"/>
            <w:tcBorders>
              <w:top w:val="nil"/>
              <w:bottom w:val="nil"/>
            </w:tcBorders>
          </w:tcPr>
          <w:p w14:paraId="202291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(4)全權決定賣出或買入之委託買賣。</w:t>
            </w:r>
          </w:p>
        </w:tc>
        <w:tc>
          <w:tcPr>
            <w:tcW w:w="5387" w:type="dxa"/>
            <w:tcBorders>
              <w:top w:val="nil"/>
              <w:bottom w:val="nil"/>
            </w:tcBorders>
          </w:tcPr>
          <w:p w14:paraId="693377F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(4)全權決定賣出或買入之委託買賣。</w:t>
            </w:r>
          </w:p>
        </w:tc>
        <w:tc>
          <w:tcPr>
            <w:tcW w:w="2023" w:type="dxa"/>
            <w:vMerge/>
            <w:tcBorders>
              <w:right w:val="single" w:sz="12" w:space="0" w:color="auto"/>
            </w:tcBorders>
          </w:tcPr>
          <w:p w14:paraId="768D40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AD0B71" w14:textId="77777777">
        <w:tc>
          <w:tcPr>
            <w:tcW w:w="1384" w:type="dxa"/>
            <w:vMerge/>
            <w:tcBorders>
              <w:left w:val="single" w:sz="12" w:space="0" w:color="auto"/>
            </w:tcBorders>
          </w:tcPr>
          <w:p w14:paraId="09D6A376" w14:textId="77777777" w:rsidR="003B3105" w:rsidRDefault="003B3105" w:rsidP="001E533B">
            <w:pPr>
              <w:rPr>
                <w:rFonts w:ascii="新細明體" w:eastAsia="新細明體" w:hAnsi="新細明體"/>
              </w:rPr>
            </w:pPr>
          </w:p>
        </w:tc>
        <w:tc>
          <w:tcPr>
            <w:tcW w:w="1276" w:type="dxa"/>
            <w:vMerge/>
          </w:tcPr>
          <w:p w14:paraId="0A498C89" w14:textId="77777777" w:rsidR="003B3105" w:rsidRDefault="003B3105" w:rsidP="001E533B">
            <w:pPr>
              <w:rPr>
                <w:rFonts w:ascii="新細明體" w:eastAsia="新細明體" w:hAnsi="新細明體"/>
              </w:rPr>
            </w:pPr>
          </w:p>
        </w:tc>
        <w:tc>
          <w:tcPr>
            <w:tcW w:w="5386" w:type="dxa"/>
            <w:tcBorders>
              <w:top w:val="nil"/>
              <w:bottom w:val="nil"/>
            </w:tcBorders>
          </w:tcPr>
          <w:p w14:paraId="42A10CC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(5)未經核准上市或暫停交易之證券買賣。</w:t>
            </w:r>
          </w:p>
        </w:tc>
        <w:tc>
          <w:tcPr>
            <w:tcW w:w="5387" w:type="dxa"/>
            <w:tcBorders>
              <w:top w:val="nil"/>
              <w:bottom w:val="nil"/>
            </w:tcBorders>
          </w:tcPr>
          <w:p w14:paraId="37732FA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(5)未經核准上市或暫停交易之證券買賣。</w:t>
            </w:r>
          </w:p>
        </w:tc>
        <w:tc>
          <w:tcPr>
            <w:tcW w:w="2023" w:type="dxa"/>
            <w:vMerge/>
            <w:tcBorders>
              <w:right w:val="single" w:sz="12" w:space="0" w:color="auto"/>
            </w:tcBorders>
          </w:tcPr>
          <w:p w14:paraId="58F867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5543E2" w14:textId="77777777">
        <w:tc>
          <w:tcPr>
            <w:tcW w:w="1384" w:type="dxa"/>
            <w:vMerge/>
            <w:tcBorders>
              <w:left w:val="single" w:sz="12" w:space="0" w:color="auto"/>
            </w:tcBorders>
          </w:tcPr>
          <w:p w14:paraId="259CDA79" w14:textId="77777777" w:rsidR="003B3105" w:rsidRDefault="003B3105" w:rsidP="001E533B">
            <w:pPr>
              <w:rPr>
                <w:rFonts w:ascii="新細明體" w:eastAsia="新細明體" w:hAnsi="新細明體"/>
              </w:rPr>
            </w:pPr>
          </w:p>
        </w:tc>
        <w:tc>
          <w:tcPr>
            <w:tcW w:w="1276" w:type="dxa"/>
            <w:vMerge/>
          </w:tcPr>
          <w:p w14:paraId="0D76276E" w14:textId="77777777" w:rsidR="003B3105" w:rsidRDefault="003B3105" w:rsidP="001E533B">
            <w:pPr>
              <w:rPr>
                <w:rFonts w:ascii="新細明體" w:eastAsia="新細明體" w:hAnsi="新細明體"/>
              </w:rPr>
            </w:pPr>
          </w:p>
        </w:tc>
        <w:tc>
          <w:tcPr>
            <w:tcW w:w="5386" w:type="dxa"/>
            <w:tcBorders>
              <w:top w:val="nil"/>
              <w:bottom w:val="nil"/>
            </w:tcBorders>
          </w:tcPr>
          <w:p w14:paraId="08D367C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(6)已停止上市之證券買賣。</w:t>
            </w:r>
          </w:p>
        </w:tc>
        <w:tc>
          <w:tcPr>
            <w:tcW w:w="5387" w:type="dxa"/>
            <w:tcBorders>
              <w:top w:val="nil"/>
              <w:bottom w:val="nil"/>
            </w:tcBorders>
          </w:tcPr>
          <w:p w14:paraId="3140F55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(6)已停止上市之證券買賣。</w:t>
            </w:r>
          </w:p>
        </w:tc>
        <w:tc>
          <w:tcPr>
            <w:tcW w:w="2023" w:type="dxa"/>
            <w:vMerge/>
            <w:tcBorders>
              <w:right w:val="single" w:sz="12" w:space="0" w:color="auto"/>
            </w:tcBorders>
          </w:tcPr>
          <w:p w14:paraId="2410DF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FDDBFA" w14:textId="77777777">
        <w:tc>
          <w:tcPr>
            <w:tcW w:w="1384" w:type="dxa"/>
            <w:vMerge/>
            <w:tcBorders>
              <w:left w:val="single" w:sz="12" w:space="0" w:color="auto"/>
            </w:tcBorders>
          </w:tcPr>
          <w:p w14:paraId="0019F3D2" w14:textId="77777777" w:rsidR="003B3105" w:rsidRDefault="003B3105" w:rsidP="001E533B">
            <w:pPr>
              <w:rPr>
                <w:rFonts w:ascii="新細明體" w:eastAsia="新細明體" w:hAnsi="新細明體"/>
              </w:rPr>
            </w:pPr>
          </w:p>
        </w:tc>
        <w:tc>
          <w:tcPr>
            <w:tcW w:w="1276" w:type="dxa"/>
            <w:vMerge/>
          </w:tcPr>
          <w:p w14:paraId="7EAB7409" w14:textId="77777777" w:rsidR="003B3105" w:rsidRDefault="003B3105" w:rsidP="001E533B">
            <w:pPr>
              <w:rPr>
                <w:rFonts w:ascii="新細明體" w:eastAsia="新細明體" w:hAnsi="新細明體"/>
              </w:rPr>
            </w:pPr>
          </w:p>
        </w:tc>
        <w:tc>
          <w:tcPr>
            <w:tcW w:w="5386" w:type="dxa"/>
            <w:tcBorders>
              <w:top w:val="nil"/>
              <w:bottom w:val="nil"/>
            </w:tcBorders>
          </w:tcPr>
          <w:p w14:paraId="128F78A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(7)分期付款方式之證券買賣。</w:t>
            </w:r>
          </w:p>
        </w:tc>
        <w:tc>
          <w:tcPr>
            <w:tcW w:w="5387" w:type="dxa"/>
            <w:tcBorders>
              <w:top w:val="nil"/>
              <w:bottom w:val="nil"/>
            </w:tcBorders>
          </w:tcPr>
          <w:p w14:paraId="2515729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(7)分期付款方式之證券買賣。</w:t>
            </w:r>
          </w:p>
        </w:tc>
        <w:tc>
          <w:tcPr>
            <w:tcW w:w="2023" w:type="dxa"/>
            <w:vMerge/>
            <w:tcBorders>
              <w:right w:val="single" w:sz="12" w:space="0" w:color="auto"/>
            </w:tcBorders>
          </w:tcPr>
          <w:p w14:paraId="42DAF53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62E79C" w14:textId="77777777">
        <w:tc>
          <w:tcPr>
            <w:tcW w:w="1384" w:type="dxa"/>
            <w:vMerge/>
            <w:tcBorders>
              <w:left w:val="single" w:sz="12" w:space="0" w:color="auto"/>
            </w:tcBorders>
          </w:tcPr>
          <w:p w14:paraId="79ECEAF8" w14:textId="77777777" w:rsidR="003B3105" w:rsidRDefault="003B3105" w:rsidP="001E533B">
            <w:pPr>
              <w:rPr>
                <w:rFonts w:ascii="新細明體" w:eastAsia="新細明體" w:hAnsi="新細明體"/>
              </w:rPr>
            </w:pPr>
          </w:p>
        </w:tc>
        <w:tc>
          <w:tcPr>
            <w:tcW w:w="1276" w:type="dxa"/>
            <w:vMerge/>
          </w:tcPr>
          <w:p w14:paraId="10FF348B" w14:textId="77777777" w:rsidR="003B3105" w:rsidRDefault="003B3105" w:rsidP="001E533B">
            <w:pPr>
              <w:rPr>
                <w:rFonts w:ascii="新細明體" w:eastAsia="新細明體" w:hAnsi="新細明體"/>
              </w:rPr>
            </w:pPr>
          </w:p>
        </w:tc>
        <w:tc>
          <w:tcPr>
            <w:tcW w:w="5386" w:type="dxa"/>
            <w:tcBorders>
              <w:top w:val="nil"/>
              <w:bottom w:val="nil"/>
            </w:tcBorders>
          </w:tcPr>
          <w:p w14:paraId="298F632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(8)對客戶作贏利之保證或分享利益之證券買賣。</w:t>
            </w:r>
          </w:p>
        </w:tc>
        <w:tc>
          <w:tcPr>
            <w:tcW w:w="5387" w:type="dxa"/>
            <w:tcBorders>
              <w:top w:val="nil"/>
              <w:bottom w:val="nil"/>
            </w:tcBorders>
          </w:tcPr>
          <w:p w14:paraId="7CDAD06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(8)對客戶作贏利之保證或分享利益之證券買賣。</w:t>
            </w:r>
          </w:p>
        </w:tc>
        <w:tc>
          <w:tcPr>
            <w:tcW w:w="2023" w:type="dxa"/>
            <w:vMerge/>
            <w:tcBorders>
              <w:right w:val="single" w:sz="12" w:space="0" w:color="auto"/>
            </w:tcBorders>
          </w:tcPr>
          <w:p w14:paraId="7179594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DFA838" w14:textId="77777777">
        <w:tc>
          <w:tcPr>
            <w:tcW w:w="1384" w:type="dxa"/>
            <w:vMerge/>
            <w:tcBorders>
              <w:left w:val="single" w:sz="12" w:space="0" w:color="auto"/>
            </w:tcBorders>
          </w:tcPr>
          <w:p w14:paraId="085C3E64" w14:textId="77777777" w:rsidR="003B3105" w:rsidRDefault="003B3105" w:rsidP="001E533B">
            <w:pPr>
              <w:rPr>
                <w:rFonts w:ascii="新細明體" w:eastAsia="新細明體" w:hAnsi="新細明體"/>
              </w:rPr>
            </w:pPr>
          </w:p>
        </w:tc>
        <w:tc>
          <w:tcPr>
            <w:tcW w:w="1276" w:type="dxa"/>
            <w:vMerge/>
          </w:tcPr>
          <w:p w14:paraId="55D23953" w14:textId="77777777" w:rsidR="003B3105" w:rsidRDefault="003B3105" w:rsidP="001E533B">
            <w:pPr>
              <w:rPr>
                <w:rFonts w:ascii="新細明體" w:eastAsia="新細明體" w:hAnsi="新細明體"/>
              </w:rPr>
            </w:pPr>
          </w:p>
        </w:tc>
        <w:tc>
          <w:tcPr>
            <w:tcW w:w="5386" w:type="dxa"/>
            <w:tcBorders>
              <w:top w:val="nil"/>
              <w:bottom w:val="nil"/>
            </w:tcBorders>
          </w:tcPr>
          <w:p w14:paraId="7CEE0B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(9)為自己利益收買、轉售受託買賣之證券。</w:t>
            </w:r>
          </w:p>
        </w:tc>
        <w:tc>
          <w:tcPr>
            <w:tcW w:w="5387" w:type="dxa"/>
            <w:tcBorders>
              <w:top w:val="nil"/>
              <w:bottom w:val="nil"/>
            </w:tcBorders>
          </w:tcPr>
          <w:p w14:paraId="5339527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(9)為自己利益收買、轉售受託買賣之證券。</w:t>
            </w:r>
          </w:p>
        </w:tc>
        <w:tc>
          <w:tcPr>
            <w:tcW w:w="2023" w:type="dxa"/>
            <w:vMerge/>
            <w:tcBorders>
              <w:right w:val="single" w:sz="12" w:space="0" w:color="auto"/>
            </w:tcBorders>
          </w:tcPr>
          <w:p w14:paraId="591DF2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4EF4DC" w14:textId="77777777">
        <w:tc>
          <w:tcPr>
            <w:tcW w:w="1384" w:type="dxa"/>
            <w:vMerge/>
            <w:tcBorders>
              <w:left w:val="single" w:sz="12" w:space="0" w:color="auto"/>
            </w:tcBorders>
          </w:tcPr>
          <w:p w14:paraId="5B455551" w14:textId="77777777" w:rsidR="003B3105" w:rsidRDefault="003B3105" w:rsidP="001E533B">
            <w:pPr>
              <w:rPr>
                <w:rFonts w:ascii="新細明體" w:eastAsia="新細明體" w:hAnsi="新細明體"/>
              </w:rPr>
            </w:pPr>
          </w:p>
        </w:tc>
        <w:tc>
          <w:tcPr>
            <w:tcW w:w="1276" w:type="dxa"/>
            <w:vMerge/>
          </w:tcPr>
          <w:p w14:paraId="0DE6F0B3" w14:textId="77777777" w:rsidR="003B3105" w:rsidRDefault="003B3105" w:rsidP="001E533B">
            <w:pPr>
              <w:rPr>
                <w:rFonts w:ascii="新細明體" w:eastAsia="新細明體" w:hAnsi="新細明體"/>
              </w:rPr>
            </w:pPr>
          </w:p>
        </w:tc>
        <w:tc>
          <w:tcPr>
            <w:tcW w:w="5386" w:type="dxa"/>
            <w:tcBorders>
              <w:top w:val="nil"/>
              <w:bottom w:val="nil"/>
            </w:tcBorders>
          </w:tcPr>
          <w:p w14:paraId="6FACC88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12.公司應慎選超連結之網站，並對其業務人員使用電子郵件、群組電子郵件、佈告欄及網站等進行與營業相關之行為，應負監督管理之責。其中facebook、部落格或電子郵件，係屬網站之網頁資</w:t>
            </w:r>
            <w:r>
              <w:rPr>
                <w:rFonts w:ascii="新細明體" w:eastAsia="新細明體" w:hAnsi="新細明體" w:cs="新細明體" w:hint="eastAsia"/>
              </w:rPr>
              <w:lastRenderedPageBreak/>
              <w:t>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5387" w:type="dxa"/>
            <w:tcBorders>
              <w:top w:val="nil"/>
              <w:bottom w:val="nil"/>
            </w:tcBorders>
          </w:tcPr>
          <w:p w14:paraId="5297055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lastRenderedPageBreak/>
              <w:t>12.公司應慎選超連結之網站，並對其業務人員使用電子郵件、群組電子郵件、佈告欄及網站等進行與營業相關之行為，應負監督管理之責。其中facebook、部落格或電子郵件，係屬網站之網頁資</w:t>
            </w:r>
            <w:r>
              <w:rPr>
                <w:rFonts w:ascii="新細明體" w:eastAsia="新細明體" w:hAnsi="新細明體" w:cs="新細明體" w:hint="eastAsia"/>
              </w:rPr>
              <w:lastRenderedPageBreak/>
              <w:t>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2023" w:type="dxa"/>
            <w:vMerge/>
            <w:tcBorders>
              <w:right w:val="single" w:sz="12" w:space="0" w:color="auto"/>
            </w:tcBorders>
          </w:tcPr>
          <w:p w14:paraId="06B5C4E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0163529" w14:textId="77777777">
        <w:tc>
          <w:tcPr>
            <w:tcW w:w="1384" w:type="dxa"/>
            <w:vMerge/>
            <w:tcBorders>
              <w:left w:val="single" w:sz="12" w:space="0" w:color="auto"/>
            </w:tcBorders>
          </w:tcPr>
          <w:p w14:paraId="1E145ED6" w14:textId="77777777" w:rsidR="003B3105" w:rsidRDefault="003B3105" w:rsidP="001E533B">
            <w:pPr>
              <w:rPr>
                <w:rFonts w:ascii="新細明體" w:eastAsia="新細明體" w:hAnsi="新細明體"/>
              </w:rPr>
            </w:pPr>
          </w:p>
        </w:tc>
        <w:tc>
          <w:tcPr>
            <w:tcW w:w="1276" w:type="dxa"/>
            <w:vMerge/>
          </w:tcPr>
          <w:p w14:paraId="0E86F317" w14:textId="77777777" w:rsidR="003B3105" w:rsidRDefault="003B3105" w:rsidP="001E533B">
            <w:pPr>
              <w:rPr>
                <w:rFonts w:ascii="新細明體" w:eastAsia="新細明體" w:hAnsi="新細明體"/>
              </w:rPr>
            </w:pPr>
          </w:p>
        </w:tc>
        <w:tc>
          <w:tcPr>
            <w:tcW w:w="5386" w:type="dxa"/>
            <w:tcBorders>
              <w:top w:val="nil"/>
              <w:bottom w:val="nil"/>
            </w:tcBorders>
          </w:tcPr>
          <w:p w14:paraId="6A28676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客戶或其法定代理人委由代理人代理委託買賣、申購有價證券或辦理交割相關手續，應出具授權書為之，代理人當面辦理上開作業者，並應留存代理人印鑑卡或簽名樣式卡憑以辦理。但客戶取消委任授權時，得採足以確認申請人為本人及其意思表示之通信或電子化方式為之。</w:t>
            </w:r>
          </w:p>
        </w:tc>
        <w:tc>
          <w:tcPr>
            <w:tcW w:w="5387" w:type="dxa"/>
            <w:tcBorders>
              <w:top w:val="nil"/>
              <w:bottom w:val="nil"/>
            </w:tcBorders>
          </w:tcPr>
          <w:p w14:paraId="2B15025D"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13.客戶或其法定代理人委由代理人代理委託買賣、申購有價證券或辦理交割相關手續，應出具授權書為之，代理人當面辦理上開作業者，並應留存代理人印鑑卡或簽名樣式卡憑以辦理。但客戶取消委任授權時，得採足以確認申請人為本人及其意思表示之通信或電子化方式為之。</w:t>
            </w:r>
          </w:p>
        </w:tc>
        <w:tc>
          <w:tcPr>
            <w:tcW w:w="2023" w:type="dxa"/>
            <w:vMerge/>
            <w:tcBorders>
              <w:right w:val="single" w:sz="12" w:space="0" w:color="auto"/>
            </w:tcBorders>
          </w:tcPr>
          <w:p w14:paraId="600878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8F6E87" w14:textId="77777777">
        <w:tc>
          <w:tcPr>
            <w:tcW w:w="1384" w:type="dxa"/>
            <w:vMerge/>
            <w:tcBorders>
              <w:left w:val="single" w:sz="12" w:space="0" w:color="auto"/>
            </w:tcBorders>
          </w:tcPr>
          <w:p w14:paraId="2F024907" w14:textId="77777777" w:rsidR="003B3105" w:rsidRDefault="003B3105" w:rsidP="001E533B">
            <w:pPr>
              <w:rPr>
                <w:rFonts w:ascii="新細明體" w:eastAsia="新細明體" w:hAnsi="新細明體"/>
              </w:rPr>
            </w:pPr>
          </w:p>
        </w:tc>
        <w:tc>
          <w:tcPr>
            <w:tcW w:w="1276" w:type="dxa"/>
            <w:vMerge/>
          </w:tcPr>
          <w:p w14:paraId="05B850F0" w14:textId="77777777" w:rsidR="003B3105" w:rsidRDefault="003B3105" w:rsidP="001E533B">
            <w:pPr>
              <w:rPr>
                <w:rFonts w:ascii="新細明體" w:eastAsia="新細明體" w:hAnsi="新細明體"/>
              </w:rPr>
            </w:pPr>
          </w:p>
        </w:tc>
        <w:tc>
          <w:tcPr>
            <w:tcW w:w="5386" w:type="dxa"/>
            <w:tcBorders>
              <w:top w:val="nil"/>
              <w:bottom w:val="nil"/>
            </w:tcBorders>
          </w:tcPr>
          <w:p w14:paraId="0B05ADEE"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14.受託買賣業務人員接受客戶當面委託時，委託人應為客戶本人或已出具委任授權書之合格代理人。</w:t>
            </w:r>
          </w:p>
        </w:tc>
        <w:tc>
          <w:tcPr>
            <w:tcW w:w="5387" w:type="dxa"/>
            <w:tcBorders>
              <w:top w:val="nil"/>
              <w:bottom w:val="nil"/>
            </w:tcBorders>
          </w:tcPr>
          <w:p w14:paraId="73EE336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14.受託買賣業務人員接受客戶當面委託時，委託人應為客戶本人或已出具委任授權書之合格代理人。</w:t>
            </w:r>
          </w:p>
        </w:tc>
        <w:tc>
          <w:tcPr>
            <w:tcW w:w="2023" w:type="dxa"/>
            <w:vMerge/>
            <w:tcBorders>
              <w:right w:val="single" w:sz="12" w:space="0" w:color="auto"/>
            </w:tcBorders>
          </w:tcPr>
          <w:p w14:paraId="14374C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AC6106" w14:textId="77777777">
        <w:tc>
          <w:tcPr>
            <w:tcW w:w="1384" w:type="dxa"/>
            <w:vMerge/>
            <w:tcBorders>
              <w:left w:val="single" w:sz="12" w:space="0" w:color="auto"/>
            </w:tcBorders>
          </w:tcPr>
          <w:p w14:paraId="218FF4A1" w14:textId="77777777" w:rsidR="003B3105" w:rsidRDefault="003B3105" w:rsidP="001E533B">
            <w:pPr>
              <w:rPr>
                <w:rFonts w:ascii="新細明體" w:eastAsia="新細明體" w:hAnsi="新細明體"/>
              </w:rPr>
            </w:pPr>
          </w:p>
        </w:tc>
        <w:tc>
          <w:tcPr>
            <w:tcW w:w="1276" w:type="dxa"/>
            <w:vMerge/>
          </w:tcPr>
          <w:p w14:paraId="2AA8982F" w14:textId="77777777" w:rsidR="003B3105" w:rsidRDefault="003B3105" w:rsidP="001E533B">
            <w:pPr>
              <w:rPr>
                <w:rFonts w:ascii="新細明體" w:eastAsia="新細明體" w:hAnsi="新細明體"/>
              </w:rPr>
            </w:pPr>
          </w:p>
        </w:tc>
        <w:tc>
          <w:tcPr>
            <w:tcW w:w="5386" w:type="dxa"/>
            <w:tcBorders>
              <w:top w:val="nil"/>
              <w:bottom w:val="nil"/>
            </w:tcBorders>
          </w:tcPr>
          <w:p w14:paraId="20E318C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15.公司如提供客戶「一點開戶多點服務」作業，應依證交所104年5月14日臺證輔字第1040008533號函及105年11月30日臺證輔字第1050022488號函辦理，注意事項包括：</w:t>
            </w:r>
          </w:p>
        </w:tc>
        <w:tc>
          <w:tcPr>
            <w:tcW w:w="5387" w:type="dxa"/>
            <w:tcBorders>
              <w:top w:val="nil"/>
              <w:bottom w:val="nil"/>
            </w:tcBorders>
          </w:tcPr>
          <w:p w14:paraId="433AF5CB"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15.公司如提供客戶「一點開戶多點服務」作業，應依證交所104年5月14日臺證輔字第1040008533號函及105年11月30日臺證輔字第1050022488號函辦理，注意事項包括：</w:t>
            </w:r>
          </w:p>
        </w:tc>
        <w:tc>
          <w:tcPr>
            <w:tcW w:w="2023" w:type="dxa"/>
            <w:vMerge/>
            <w:tcBorders>
              <w:right w:val="single" w:sz="12" w:space="0" w:color="auto"/>
            </w:tcBorders>
          </w:tcPr>
          <w:p w14:paraId="47F442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B8044A" w14:textId="77777777">
        <w:tc>
          <w:tcPr>
            <w:tcW w:w="1384" w:type="dxa"/>
            <w:vMerge/>
            <w:tcBorders>
              <w:left w:val="single" w:sz="12" w:space="0" w:color="auto"/>
            </w:tcBorders>
          </w:tcPr>
          <w:p w14:paraId="7012CA71" w14:textId="77777777" w:rsidR="003B3105" w:rsidRDefault="003B3105" w:rsidP="001E533B">
            <w:pPr>
              <w:rPr>
                <w:rFonts w:ascii="新細明體" w:eastAsia="新細明體" w:hAnsi="新細明體"/>
              </w:rPr>
            </w:pPr>
          </w:p>
        </w:tc>
        <w:tc>
          <w:tcPr>
            <w:tcW w:w="1276" w:type="dxa"/>
            <w:vMerge/>
          </w:tcPr>
          <w:p w14:paraId="1BED31C9" w14:textId="77777777" w:rsidR="003B3105" w:rsidRDefault="003B3105" w:rsidP="001E533B">
            <w:pPr>
              <w:rPr>
                <w:rFonts w:ascii="新細明體" w:eastAsia="新細明體" w:hAnsi="新細明體"/>
              </w:rPr>
            </w:pPr>
          </w:p>
        </w:tc>
        <w:tc>
          <w:tcPr>
            <w:tcW w:w="5386" w:type="dxa"/>
            <w:tcBorders>
              <w:top w:val="nil"/>
              <w:bottom w:val="nil"/>
            </w:tcBorders>
          </w:tcPr>
          <w:p w14:paraId="759BBE3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(1)客戶得依其需求於公司所有總、分公司委託下單，後  續之交割作業仍由原受理開戶及徵信之總、分公司辦理。</w:t>
            </w:r>
          </w:p>
        </w:tc>
        <w:tc>
          <w:tcPr>
            <w:tcW w:w="5387" w:type="dxa"/>
            <w:tcBorders>
              <w:top w:val="nil"/>
              <w:bottom w:val="nil"/>
            </w:tcBorders>
          </w:tcPr>
          <w:p w14:paraId="72DD27C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(1)客戶得依其需求於公司所有總、分公司委託下單，後  續之交割作業仍由原受理開戶及徵信之總、分公司辦理。</w:t>
            </w:r>
          </w:p>
        </w:tc>
        <w:tc>
          <w:tcPr>
            <w:tcW w:w="2023" w:type="dxa"/>
            <w:vMerge/>
            <w:tcBorders>
              <w:right w:val="single" w:sz="12" w:space="0" w:color="auto"/>
            </w:tcBorders>
          </w:tcPr>
          <w:p w14:paraId="294C21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EA28F7" w14:textId="77777777">
        <w:tc>
          <w:tcPr>
            <w:tcW w:w="1384" w:type="dxa"/>
            <w:vMerge/>
            <w:tcBorders>
              <w:left w:val="single" w:sz="12" w:space="0" w:color="auto"/>
            </w:tcBorders>
          </w:tcPr>
          <w:p w14:paraId="76896B8A" w14:textId="77777777" w:rsidR="003B3105" w:rsidRDefault="003B3105" w:rsidP="001E533B">
            <w:pPr>
              <w:rPr>
                <w:rFonts w:ascii="新細明體" w:eastAsia="新細明體" w:hAnsi="新細明體"/>
              </w:rPr>
            </w:pPr>
          </w:p>
        </w:tc>
        <w:tc>
          <w:tcPr>
            <w:tcW w:w="1276" w:type="dxa"/>
            <w:vMerge/>
          </w:tcPr>
          <w:p w14:paraId="10EF731D" w14:textId="77777777" w:rsidR="003B3105" w:rsidRDefault="003B3105" w:rsidP="001E533B">
            <w:pPr>
              <w:rPr>
                <w:rFonts w:ascii="新細明體" w:eastAsia="新細明體" w:hAnsi="新細明體"/>
              </w:rPr>
            </w:pPr>
          </w:p>
        </w:tc>
        <w:tc>
          <w:tcPr>
            <w:tcW w:w="5386" w:type="dxa"/>
            <w:tcBorders>
              <w:top w:val="nil"/>
              <w:bottom w:val="nil"/>
            </w:tcBorders>
          </w:tcPr>
          <w:p w14:paraId="4D1FDB4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(2)公司之總、分公司受理客戶跨點臨櫃或電話委託下單 時，應經總公司檢核該客戶之委託未超過原受理開戶總、分公司所評核之單日受託買買額度，始得接受客戶下單。</w:t>
            </w:r>
          </w:p>
        </w:tc>
        <w:tc>
          <w:tcPr>
            <w:tcW w:w="5387" w:type="dxa"/>
            <w:tcBorders>
              <w:top w:val="nil"/>
              <w:bottom w:val="nil"/>
            </w:tcBorders>
          </w:tcPr>
          <w:p w14:paraId="5A2B1D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(2)公司之總、分公司受理客戶跨點臨櫃或電話委託下單 時，應經總公司檢核該客戶之委託未超過原受理開戶總、分公司所評核之單日受託買買額度，始得接受客戶下單。</w:t>
            </w:r>
          </w:p>
        </w:tc>
        <w:tc>
          <w:tcPr>
            <w:tcW w:w="2023" w:type="dxa"/>
            <w:vMerge/>
            <w:tcBorders>
              <w:right w:val="single" w:sz="12" w:space="0" w:color="auto"/>
            </w:tcBorders>
          </w:tcPr>
          <w:p w14:paraId="4318F1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0E4B33" w14:textId="77777777">
        <w:tc>
          <w:tcPr>
            <w:tcW w:w="1384" w:type="dxa"/>
            <w:vMerge/>
            <w:tcBorders>
              <w:left w:val="single" w:sz="12" w:space="0" w:color="auto"/>
            </w:tcBorders>
          </w:tcPr>
          <w:p w14:paraId="683253BC" w14:textId="77777777" w:rsidR="003B3105" w:rsidRDefault="003B3105" w:rsidP="001E533B">
            <w:pPr>
              <w:rPr>
                <w:rFonts w:ascii="新細明體" w:eastAsia="新細明體" w:hAnsi="新細明體"/>
              </w:rPr>
            </w:pPr>
          </w:p>
        </w:tc>
        <w:tc>
          <w:tcPr>
            <w:tcW w:w="1276" w:type="dxa"/>
            <w:vMerge/>
          </w:tcPr>
          <w:p w14:paraId="6DC3427D" w14:textId="77777777" w:rsidR="003B3105" w:rsidRDefault="003B3105" w:rsidP="001E533B">
            <w:pPr>
              <w:rPr>
                <w:rFonts w:ascii="新細明體" w:eastAsia="新細明體" w:hAnsi="新細明體"/>
              </w:rPr>
            </w:pPr>
          </w:p>
        </w:tc>
        <w:tc>
          <w:tcPr>
            <w:tcW w:w="5386" w:type="dxa"/>
            <w:tcBorders>
              <w:top w:val="nil"/>
              <w:bottom w:val="nil"/>
            </w:tcBorders>
          </w:tcPr>
          <w:p w14:paraId="76DAA4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如已建置客戶基本資料之共同開戶平台，訂定相關開戶作業程序、分層授權機制及內部控制制度，並保存變更紀錄軌跡等，可受理客戶於開戶完成後，依客戶需求於公司所有總、分公司申辦後續有關開立信用戶、信用戶續約、開立財富管理帳戶、有價證券借貸交易帳戶、借貸款項帳戶等所有涉及證券業務之交易帳戶、基本資料變更及銷戶等服務。</w:t>
            </w:r>
          </w:p>
        </w:tc>
        <w:tc>
          <w:tcPr>
            <w:tcW w:w="5387" w:type="dxa"/>
            <w:tcBorders>
              <w:top w:val="nil"/>
              <w:bottom w:val="nil"/>
            </w:tcBorders>
          </w:tcPr>
          <w:p w14:paraId="3CE6B74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公司如已建置客戶基本資料之共同開戶平台，訂定相關開戶作業程序、分層授權機制及內部控制制度，並保存變更紀錄軌跡等，可受理客戶於開戶完成後，依客戶需求於公司所有總、分公司申辦後續有關開立信用戶、信用戶續約、開立財富管理帳戶、有價證券借貸交易帳戶、借貸款項帳戶等所有涉及證券業務之交易帳戶、基本資料變更及銷戶等服務。</w:t>
            </w:r>
          </w:p>
        </w:tc>
        <w:tc>
          <w:tcPr>
            <w:tcW w:w="2023" w:type="dxa"/>
            <w:vMerge/>
            <w:tcBorders>
              <w:right w:val="single" w:sz="12" w:space="0" w:color="auto"/>
            </w:tcBorders>
          </w:tcPr>
          <w:p w14:paraId="7A119F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5296B3" w14:textId="77777777">
        <w:tc>
          <w:tcPr>
            <w:tcW w:w="1384" w:type="dxa"/>
            <w:vMerge/>
            <w:tcBorders>
              <w:left w:val="single" w:sz="12" w:space="0" w:color="auto"/>
            </w:tcBorders>
          </w:tcPr>
          <w:p w14:paraId="6C67A8FC" w14:textId="77777777" w:rsidR="003B3105" w:rsidRDefault="003B3105" w:rsidP="001E533B">
            <w:pPr>
              <w:rPr>
                <w:rFonts w:ascii="新細明體" w:eastAsia="新細明體" w:hAnsi="新細明體"/>
              </w:rPr>
            </w:pPr>
          </w:p>
        </w:tc>
        <w:tc>
          <w:tcPr>
            <w:tcW w:w="1276" w:type="dxa"/>
            <w:vMerge/>
          </w:tcPr>
          <w:p w14:paraId="5FCAB3FF" w14:textId="77777777" w:rsidR="003B3105" w:rsidRDefault="003B3105" w:rsidP="001E533B">
            <w:pPr>
              <w:rPr>
                <w:rFonts w:ascii="新細明體" w:eastAsia="新細明體" w:hAnsi="新細明體"/>
              </w:rPr>
            </w:pPr>
          </w:p>
        </w:tc>
        <w:tc>
          <w:tcPr>
            <w:tcW w:w="5386" w:type="dxa"/>
            <w:tcBorders>
              <w:top w:val="nil"/>
              <w:bottom w:val="nil"/>
            </w:tcBorders>
          </w:tcPr>
          <w:p w14:paraId="7E681F91"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16.公司受託辦理定期定額買賣有價證券，應依「證券商受託辦理定期定額買賣有價證券作業辦法」規定辦理。</w:t>
            </w:r>
          </w:p>
        </w:tc>
        <w:tc>
          <w:tcPr>
            <w:tcW w:w="5387" w:type="dxa"/>
            <w:tcBorders>
              <w:top w:val="nil"/>
              <w:bottom w:val="nil"/>
            </w:tcBorders>
          </w:tcPr>
          <w:p w14:paraId="7B8FE70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16.公司受託辦理定期定額買賣有價證券，應依「證券商受託辦理定期定額買賣有價證券作業辦法」規定辦理。</w:t>
            </w:r>
          </w:p>
        </w:tc>
        <w:tc>
          <w:tcPr>
            <w:tcW w:w="2023" w:type="dxa"/>
            <w:vMerge/>
            <w:tcBorders>
              <w:right w:val="single" w:sz="12" w:space="0" w:color="auto"/>
            </w:tcBorders>
          </w:tcPr>
          <w:p w14:paraId="5A9EBA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DAE8CC" w14:textId="77777777">
        <w:tc>
          <w:tcPr>
            <w:tcW w:w="1384" w:type="dxa"/>
            <w:vMerge/>
            <w:tcBorders>
              <w:left w:val="single" w:sz="12" w:space="0" w:color="auto"/>
            </w:tcBorders>
          </w:tcPr>
          <w:p w14:paraId="796C1ECD" w14:textId="77777777" w:rsidR="003B3105" w:rsidRDefault="003B3105" w:rsidP="001E533B">
            <w:pPr>
              <w:rPr>
                <w:rFonts w:ascii="新細明體" w:eastAsia="新細明體" w:hAnsi="新細明體"/>
              </w:rPr>
            </w:pPr>
          </w:p>
        </w:tc>
        <w:tc>
          <w:tcPr>
            <w:tcW w:w="1276" w:type="dxa"/>
            <w:vMerge/>
          </w:tcPr>
          <w:p w14:paraId="43E68D24" w14:textId="77777777" w:rsidR="003B3105" w:rsidRDefault="003B3105" w:rsidP="001E533B">
            <w:pPr>
              <w:rPr>
                <w:rFonts w:ascii="新細明體" w:eastAsia="新細明體" w:hAnsi="新細明體"/>
              </w:rPr>
            </w:pPr>
          </w:p>
        </w:tc>
        <w:tc>
          <w:tcPr>
            <w:tcW w:w="5386" w:type="dxa"/>
            <w:tcBorders>
              <w:top w:val="nil"/>
              <w:bottom w:val="nil"/>
            </w:tcBorders>
          </w:tcPr>
          <w:p w14:paraId="7EC182D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5387" w:type="dxa"/>
            <w:tcBorders>
              <w:top w:val="nil"/>
              <w:bottom w:val="nil"/>
            </w:tcBorders>
          </w:tcPr>
          <w:p w14:paraId="60C5F12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17.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2023" w:type="dxa"/>
            <w:vMerge/>
            <w:tcBorders>
              <w:right w:val="single" w:sz="12" w:space="0" w:color="auto"/>
            </w:tcBorders>
          </w:tcPr>
          <w:p w14:paraId="24C197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7D134C" w14:textId="77777777">
        <w:tc>
          <w:tcPr>
            <w:tcW w:w="1384" w:type="dxa"/>
            <w:vMerge/>
            <w:tcBorders>
              <w:left w:val="single" w:sz="12" w:space="0" w:color="auto"/>
            </w:tcBorders>
          </w:tcPr>
          <w:p w14:paraId="3621966D" w14:textId="77777777" w:rsidR="003B3105" w:rsidRDefault="003B3105" w:rsidP="001E533B">
            <w:pPr>
              <w:rPr>
                <w:rFonts w:ascii="新細明體" w:eastAsia="新細明體" w:hAnsi="新細明體"/>
              </w:rPr>
            </w:pPr>
          </w:p>
        </w:tc>
        <w:tc>
          <w:tcPr>
            <w:tcW w:w="1276" w:type="dxa"/>
            <w:vMerge/>
          </w:tcPr>
          <w:p w14:paraId="4194B5E7" w14:textId="77777777" w:rsidR="003B3105" w:rsidRDefault="003B3105" w:rsidP="001E533B">
            <w:pPr>
              <w:rPr>
                <w:rFonts w:ascii="新細明體" w:eastAsia="新細明體" w:hAnsi="新細明體"/>
              </w:rPr>
            </w:pPr>
          </w:p>
        </w:tc>
        <w:tc>
          <w:tcPr>
            <w:tcW w:w="5386" w:type="dxa"/>
            <w:tcBorders>
              <w:top w:val="nil"/>
              <w:bottom w:val="nil"/>
            </w:tcBorders>
          </w:tcPr>
          <w:p w14:paraId="011344C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(二)成交後核對與結帳作業：</w:t>
            </w:r>
          </w:p>
        </w:tc>
        <w:tc>
          <w:tcPr>
            <w:tcW w:w="5387" w:type="dxa"/>
            <w:tcBorders>
              <w:top w:val="nil"/>
              <w:bottom w:val="nil"/>
            </w:tcBorders>
          </w:tcPr>
          <w:p w14:paraId="5B41277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(二)成交後核對與結帳作業：</w:t>
            </w:r>
          </w:p>
        </w:tc>
        <w:tc>
          <w:tcPr>
            <w:tcW w:w="2023" w:type="dxa"/>
            <w:vMerge/>
            <w:tcBorders>
              <w:right w:val="single" w:sz="12" w:space="0" w:color="auto"/>
            </w:tcBorders>
          </w:tcPr>
          <w:p w14:paraId="6D9385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7D8BE7" w14:textId="77777777">
        <w:tc>
          <w:tcPr>
            <w:tcW w:w="1384" w:type="dxa"/>
            <w:vMerge/>
            <w:tcBorders>
              <w:left w:val="single" w:sz="12" w:space="0" w:color="auto"/>
            </w:tcBorders>
          </w:tcPr>
          <w:p w14:paraId="0C5A1A69" w14:textId="77777777" w:rsidR="003B3105" w:rsidRDefault="003B3105" w:rsidP="001E533B">
            <w:pPr>
              <w:rPr>
                <w:rFonts w:ascii="新細明體" w:eastAsia="新細明體" w:hAnsi="新細明體"/>
              </w:rPr>
            </w:pPr>
          </w:p>
        </w:tc>
        <w:tc>
          <w:tcPr>
            <w:tcW w:w="1276" w:type="dxa"/>
            <w:vMerge/>
          </w:tcPr>
          <w:p w14:paraId="77B3F2C7" w14:textId="77777777" w:rsidR="003B3105" w:rsidRDefault="003B3105" w:rsidP="001E533B">
            <w:pPr>
              <w:rPr>
                <w:rFonts w:ascii="新細明體" w:eastAsia="新細明體" w:hAnsi="新細明體"/>
              </w:rPr>
            </w:pPr>
          </w:p>
        </w:tc>
        <w:tc>
          <w:tcPr>
            <w:tcW w:w="5386" w:type="dxa"/>
            <w:tcBorders>
              <w:top w:val="nil"/>
              <w:bottom w:val="nil"/>
            </w:tcBorders>
          </w:tcPr>
          <w:p w14:paraId="4D75A4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1.終端機操作員按時收取已成交之委託</w:t>
            </w:r>
            <w:r>
              <w:rPr>
                <w:rFonts w:ascii="新細明體" w:eastAsia="新細明體" w:hAnsi="新細明體" w:cs="新細明體" w:hint="eastAsia"/>
              </w:rPr>
              <w:lastRenderedPageBreak/>
              <w:t>書，將其流水編號、營業員代號等資料輸入電腦（俗稱補單），以便與證券買賣成交紀錄逐一核對其證券種類、數量、單價是否相符。惟公司若透過委任證券商與證交所或櫃檯買賣中心進行電腦主機連線則可省略上項補單手續而藉由電腦應用系統設計之自動檢核來取代。</w:t>
            </w:r>
          </w:p>
        </w:tc>
        <w:tc>
          <w:tcPr>
            <w:tcW w:w="5387" w:type="dxa"/>
            <w:tcBorders>
              <w:top w:val="nil"/>
              <w:bottom w:val="nil"/>
            </w:tcBorders>
          </w:tcPr>
          <w:p w14:paraId="3540CE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1.終端機操作員按時收取已成交之委託</w:t>
            </w:r>
            <w:r>
              <w:rPr>
                <w:rFonts w:ascii="新細明體" w:eastAsia="新細明體" w:hAnsi="新細明體" w:cs="新細明體" w:hint="eastAsia"/>
              </w:rPr>
              <w:lastRenderedPageBreak/>
              <w:t>書，將其流水編號、營業員代號等資料輸入電腦（俗稱補單），以便與證券買賣成交紀錄逐一核對其證券種類、數量、單價是否相符。惟公司若透過委任證券商與證交所或櫃檯買賣中心進行電腦主機連線則可省略上項補單手續而藉由電腦應用系統設計之自動檢核來取代。</w:t>
            </w:r>
          </w:p>
        </w:tc>
        <w:tc>
          <w:tcPr>
            <w:tcW w:w="2023" w:type="dxa"/>
            <w:vMerge/>
            <w:tcBorders>
              <w:right w:val="single" w:sz="12" w:space="0" w:color="auto"/>
            </w:tcBorders>
          </w:tcPr>
          <w:p w14:paraId="12487A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E4355A" w14:textId="77777777">
        <w:tc>
          <w:tcPr>
            <w:tcW w:w="1384" w:type="dxa"/>
            <w:vMerge/>
            <w:tcBorders>
              <w:left w:val="single" w:sz="12" w:space="0" w:color="auto"/>
            </w:tcBorders>
          </w:tcPr>
          <w:p w14:paraId="486CC2FB" w14:textId="77777777" w:rsidR="003B3105" w:rsidRDefault="003B3105" w:rsidP="001E533B">
            <w:pPr>
              <w:rPr>
                <w:rFonts w:ascii="新細明體" w:eastAsia="新細明體" w:hAnsi="新細明體"/>
              </w:rPr>
            </w:pPr>
          </w:p>
        </w:tc>
        <w:tc>
          <w:tcPr>
            <w:tcW w:w="1276" w:type="dxa"/>
            <w:vMerge/>
          </w:tcPr>
          <w:p w14:paraId="0F80FB84" w14:textId="77777777" w:rsidR="003B3105" w:rsidRDefault="003B3105" w:rsidP="001E533B">
            <w:pPr>
              <w:rPr>
                <w:rFonts w:ascii="新細明體" w:eastAsia="新細明體" w:hAnsi="新細明體"/>
              </w:rPr>
            </w:pPr>
          </w:p>
        </w:tc>
        <w:tc>
          <w:tcPr>
            <w:tcW w:w="5386" w:type="dxa"/>
            <w:tcBorders>
              <w:top w:val="nil"/>
              <w:bottom w:val="nil"/>
            </w:tcBorders>
          </w:tcPr>
          <w:p w14:paraId="623DBE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每日收盤後，經上開核對無誤，營業員即依其個別成交資料明細表核對其交易內容檢視是否須更改交易類別(俗稱改帳)。如須更改，公司應通知委任證券商依證交所或櫃檯買賣中心「證券商辦理更改交易類別作業處理要點」規定辦理。</w:t>
            </w:r>
          </w:p>
        </w:tc>
        <w:tc>
          <w:tcPr>
            <w:tcW w:w="5387" w:type="dxa"/>
            <w:tcBorders>
              <w:top w:val="nil"/>
              <w:bottom w:val="nil"/>
            </w:tcBorders>
          </w:tcPr>
          <w:p w14:paraId="75B6ED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每日收盤後，經上開核對無誤，營業員即依其個別成交資料明細表核對其交易內容檢視是否須更改交易類別(俗稱改帳)。如須更改，公司應通知委任證券商依證交所或櫃檯買賣中心「證券商辦理更改交易類別作業處理要點」規定辦理。</w:t>
            </w:r>
          </w:p>
        </w:tc>
        <w:tc>
          <w:tcPr>
            <w:tcW w:w="2023" w:type="dxa"/>
            <w:vMerge/>
            <w:tcBorders>
              <w:right w:val="single" w:sz="12" w:space="0" w:color="auto"/>
            </w:tcBorders>
          </w:tcPr>
          <w:p w14:paraId="05C1C66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F264D6" w14:textId="77777777">
        <w:tc>
          <w:tcPr>
            <w:tcW w:w="1384" w:type="dxa"/>
            <w:vMerge/>
            <w:tcBorders>
              <w:left w:val="single" w:sz="12" w:space="0" w:color="auto"/>
            </w:tcBorders>
          </w:tcPr>
          <w:p w14:paraId="4EDFADCA" w14:textId="77777777" w:rsidR="003B3105" w:rsidRDefault="003B3105" w:rsidP="001E533B">
            <w:pPr>
              <w:rPr>
                <w:rFonts w:ascii="新細明體" w:eastAsia="新細明體" w:hAnsi="新細明體"/>
              </w:rPr>
            </w:pPr>
          </w:p>
        </w:tc>
        <w:tc>
          <w:tcPr>
            <w:tcW w:w="1276" w:type="dxa"/>
            <w:vMerge/>
          </w:tcPr>
          <w:p w14:paraId="761AEE07" w14:textId="77777777" w:rsidR="003B3105" w:rsidRDefault="003B3105" w:rsidP="001E533B">
            <w:pPr>
              <w:rPr>
                <w:rFonts w:ascii="新細明體" w:eastAsia="新細明體" w:hAnsi="新細明體"/>
              </w:rPr>
            </w:pPr>
          </w:p>
        </w:tc>
        <w:tc>
          <w:tcPr>
            <w:tcW w:w="5386" w:type="dxa"/>
            <w:tcBorders>
              <w:top w:val="nil"/>
              <w:bottom w:val="nil"/>
            </w:tcBorders>
          </w:tcPr>
          <w:p w14:paraId="022A85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無異常，依交易有關報表憑證分別與證交所、櫃檯買賣中心及集保公司電腦所產生之當日交易資料，先核對金額再核對數量，必須完全正確，倘有不符部分，即通知委任證券商依規定向證交所或櫃檯買賣中心申報錯帳或更正帳號。</w:t>
            </w:r>
          </w:p>
        </w:tc>
        <w:tc>
          <w:tcPr>
            <w:tcW w:w="5387" w:type="dxa"/>
            <w:tcBorders>
              <w:top w:val="nil"/>
              <w:bottom w:val="nil"/>
            </w:tcBorders>
          </w:tcPr>
          <w:p w14:paraId="346245A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若無異常，依交易有關報表憑證分別與證交所、櫃檯買賣中心及集保公司電腦所產生之當日交易資料，先核對金額再核對數量，必須完全正確，倘有不符部分，即通知委任證券商依規定向證交所或櫃檯買賣中心申報錯帳或更正帳號。</w:t>
            </w:r>
          </w:p>
        </w:tc>
        <w:tc>
          <w:tcPr>
            <w:tcW w:w="2023" w:type="dxa"/>
            <w:vMerge/>
            <w:tcBorders>
              <w:right w:val="single" w:sz="12" w:space="0" w:color="auto"/>
            </w:tcBorders>
          </w:tcPr>
          <w:p w14:paraId="3916C0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7E2764" w14:textId="77777777">
        <w:tc>
          <w:tcPr>
            <w:tcW w:w="1384" w:type="dxa"/>
            <w:vMerge/>
            <w:tcBorders>
              <w:left w:val="single" w:sz="12" w:space="0" w:color="auto"/>
            </w:tcBorders>
          </w:tcPr>
          <w:p w14:paraId="46132B33" w14:textId="77777777" w:rsidR="003B3105" w:rsidRDefault="003B3105" w:rsidP="001E533B">
            <w:pPr>
              <w:rPr>
                <w:rFonts w:ascii="新細明體" w:eastAsia="新細明體" w:hAnsi="新細明體"/>
              </w:rPr>
            </w:pPr>
          </w:p>
        </w:tc>
        <w:tc>
          <w:tcPr>
            <w:tcW w:w="1276" w:type="dxa"/>
            <w:vMerge/>
          </w:tcPr>
          <w:p w14:paraId="686D2BFA" w14:textId="77777777" w:rsidR="003B3105" w:rsidRDefault="003B3105" w:rsidP="001E533B">
            <w:pPr>
              <w:rPr>
                <w:rFonts w:ascii="新細明體" w:eastAsia="新細明體" w:hAnsi="新細明體"/>
              </w:rPr>
            </w:pPr>
          </w:p>
        </w:tc>
        <w:tc>
          <w:tcPr>
            <w:tcW w:w="5386" w:type="dxa"/>
            <w:tcBorders>
              <w:top w:val="nil"/>
              <w:bottom w:val="nil"/>
            </w:tcBorders>
          </w:tcPr>
          <w:p w14:paraId="3F3CF79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(三)受託買賣變更交易方法及處置證券：</w:t>
            </w:r>
          </w:p>
        </w:tc>
        <w:tc>
          <w:tcPr>
            <w:tcW w:w="5387" w:type="dxa"/>
            <w:tcBorders>
              <w:top w:val="nil"/>
              <w:bottom w:val="nil"/>
            </w:tcBorders>
          </w:tcPr>
          <w:p w14:paraId="20F3AA5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(三)受託買賣變更交易方法及處置證券：</w:t>
            </w:r>
          </w:p>
        </w:tc>
        <w:tc>
          <w:tcPr>
            <w:tcW w:w="2023" w:type="dxa"/>
            <w:vMerge/>
            <w:tcBorders>
              <w:right w:val="single" w:sz="12" w:space="0" w:color="auto"/>
            </w:tcBorders>
          </w:tcPr>
          <w:p w14:paraId="3EDB55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D23F6C" w14:textId="77777777">
        <w:tc>
          <w:tcPr>
            <w:tcW w:w="1384" w:type="dxa"/>
            <w:vMerge/>
            <w:tcBorders>
              <w:left w:val="single" w:sz="12" w:space="0" w:color="auto"/>
            </w:tcBorders>
          </w:tcPr>
          <w:p w14:paraId="25BA23C9" w14:textId="77777777" w:rsidR="003B3105" w:rsidRDefault="003B3105" w:rsidP="001E533B">
            <w:pPr>
              <w:rPr>
                <w:rFonts w:ascii="新細明體" w:eastAsia="新細明體" w:hAnsi="新細明體"/>
              </w:rPr>
            </w:pPr>
          </w:p>
        </w:tc>
        <w:tc>
          <w:tcPr>
            <w:tcW w:w="1276" w:type="dxa"/>
            <w:vMerge/>
          </w:tcPr>
          <w:p w14:paraId="70FBA49E" w14:textId="77777777" w:rsidR="003B3105" w:rsidRDefault="003B3105" w:rsidP="001E533B">
            <w:pPr>
              <w:rPr>
                <w:rFonts w:ascii="新細明體" w:eastAsia="新細明體" w:hAnsi="新細明體"/>
              </w:rPr>
            </w:pPr>
          </w:p>
        </w:tc>
        <w:tc>
          <w:tcPr>
            <w:tcW w:w="5386" w:type="dxa"/>
            <w:tcBorders>
              <w:top w:val="nil"/>
              <w:bottom w:val="nil"/>
            </w:tcBorders>
          </w:tcPr>
          <w:p w14:paraId="00E72FFF"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變更交易方法有價證券或依證交所及櫃檯買賣中心其他規定應預收款券之有價證券，於接受委託買賣時，應先預收足額或一定成數之款券（但公司以違約專戶買賣變更交易方法及處置有價證券者，或有保管機構代理之機構投資人或政府基金，申報賣出單一變更交易方法之有價證券，當日累計金額</w:t>
            </w:r>
            <w:r>
              <w:rPr>
                <w:rFonts w:ascii="新細明體" w:eastAsia="新細明體" w:hAnsi="新細明體" w:cs="新細明體" w:hint="eastAsia"/>
              </w:rPr>
              <w:lastRenderedPageBreak/>
              <w:t>未達新臺幣伍仟萬元以上者，不在此限），公司接受客戶買進變更交易方法或受處置有價證券，得於受託當日或前一營業日收取或圈存經客戶同意留存於證券商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r>
              <w:rPr>
                <w:rFonts w:ascii="新細明體" w:eastAsia="新細明體" w:hAnsi="新細明體" w:cs="新細明體" w:hint="eastAsia"/>
                <w:b/>
                <w:color w:val="FF0000"/>
                <w:u w:val="single"/>
              </w:rPr>
              <w:t>另公司依證交所受益憑證買賣辦法第十四條第六項或櫃檯買賣中心指數股票型基金及主動式交易所交易基金受益憑證買賣辦法第十三條第五項規定，受託賣出受益憑證申購部位，須經證交所或櫃檯買賣中心相關作業系統確認客戶已取得證券投資信託事業或期貨信託事業之申購部位確認，始得受理賣出。</w:t>
            </w:r>
          </w:p>
        </w:tc>
        <w:tc>
          <w:tcPr>
            <w:tcW w:w="5387" w:type="dxa"/>
            <w:tcBorders>
              <w:top w:val="nil"/>
              <w:bottom w:val="nil"/>
            </w:tcBorders>
          </w:tcPr>
          <w:p w14:paraId="40290102"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變更交易方法有價證券或依證交所及櫃檯買賣中心其他規定應預收款券之有價證券，於接受委託買賣時，應先預收足額或一定成數之款券（但公司以違約專戶買賣變更交易方法及處置有價證券者，或有保管機構代理之機構投資人或政府基金，申報賣出單一變更交易方法之有價證券，當日累計金額</w:t>
            </w:r>
            <w:r>
              <w:rPr>
                <w:rFonts w:ascii="新細明體" w:eastAsia="新細明體" w:hAnsi="新細明體" w:cs="新細明體" w:hint="eastAsia"/>
              </w:rPr>
              <w:lastRenderedPageBreak/>
              <w:t>未達新臺幣伍仟萬元以上者，不在此限），公司接受客戶買進變更交易方法或受處置有價證券，得於受託當日或前一營業日收取或圈存經客戶同意留存於證券商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p>
        </w:tc>
        <w:tc>
          <w:tcPr>
            <w:tcW w:w="2023" w:type="dxa"/>
            <w:vMerge/>
            <w:tcBorders>
              <w:right w:val="single" w:sz="12" w:space="0" w:color="auto"/>
            </w:tcBorders>
          </w:tcPr>
          <w:p w14:paraId="00188C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160DF1" w14:textId="77777777">
        <w:tc>
          <w:tcPr>
            <w:tcW w:w="1384" w:type="dxa"/>
            <w:vMerge/>
            <w:tcBorders>
              <w:left w:val="single" w:sz="12" w:space="0" w:color="auto"/>
            </w:tcBorders>
          </w:tcPr>
          <w:p w14:paraId="44D7EBED" w14:textId="77777777" w:rsidR="003B3105" w:rsidRDefault="003B3105" w:rsidP="001E533B">
            <w:pPr>
              <w:rPr>
                <w:rFonts w:ascii="新細明體" w:eastAsia="新細明體" w:hAnsi="新細明體"/>
              </w:rPr>
            </w:pPr>
          </w:p>
        </w:tc>
        <w:tc>
          <w:tcPr>
            <w:tcW w:w="1276" w:type="dxa"/>
            <w:vMerge/>
          </w:tcPr>
          <w:p w14:paraId="2A82B479" w14:textId="77777777" w:rsidR="003B3105" w:rsidRDefault="003B3105" w:rsidP="001E533B">
            <w:pPr>
              <w:rPr>
                <w:rFonts w:ascii="新細明體" w:eastAsia="新細明體" w:hAnsi="新細明體"/>
              </w:rPr>
            </w:pPr>
          </w:p>
        </w:tc>
        <w:tc>
          <w:tcPr>
            <w:tcW w:w="5386" w:type="dxa"/>
            <w:tcBorders>
              <w:top w:val="nil"/>
              <w:bottom w:val="nil"/>
            </w:tcBorders>
          </w:tcPr>
          <w:p w14:paraId="7352437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(四)零股交易：</w:t>
            </w:r>
          </w:p>
        </w:tc>
        <w:tc>
          <w:tcPr>
            <w:tcW w:w="5387" w:type="dxa"/>
            <w:tcBorders>
              <w:top w:val="nil"/>
              <w:bottom w:val="nil"/>
            </w:tcBorders>
          </w:tcPr>
          <w:p w14:paraId="35F357A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(四)零股交易：</w:t>
            </w:r>
          </w:p>
        </w:tc>
        <w:tc>
          <w:tcPr>
            <w:tcW w:w="2023" w:type="dxa"/>
            <w:vMerge/>
            <w:tcBorders>
              <w:right w:val="single" w:sz="12" w:space="0" w:color="auto"/>
            </w:tcBorders>
          </w:tcPr>
          <w:p w14:paraId="5377056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760F65" w14:textId="77777777">
        <w:tc>
          <w:tcPr>
            <w:tcW w:w="1384" w:type="dxa"/>
            <w:vMerge/>
            <w:tcBorders>
              <w:left w:val="single" w:sz="12" w:space="0" w:color="auto"/>
            </w:tcBorders>
          </w:tcPr>
          <w:p w14:paraId="212196C4" w14:textId="77777777" w:rsidR="003B3105" w:rsidRDefault="003B3105" w:rsidP="001E533B">
            <w:pPr>
              <w:rPr>
                <w:rFonts w:ascii="新細明體" w:eastAsia="新細明體" w:hAnsi="新細明體"/>
              </w:rPr>
            </w:pPr>
          </w:p>
        </w:tc>
        <w:tc>
          <w:tcPr>
            <w:tcW w:w="1276" w:type="dxa"/>
            <w:vMerge/>
          </w:tcPr>
          <w:p w14:paraId="20A1AA3B" w14:textId="77777777" w:rsidR="003B3105" w:rsidRDefault="003B3105" w:rsidP="001E533B">
            <w:pPr>
              <w:rPr>
                <w:rFonts w:ascii="新細明體" w:eastAsia="新細明體" w:hAnsi="新細明體"/>
              </w:rPr>
            </w:pPr>
          </w:p>
        </w:tc>
        <w:tc>
          <w:tcPr>
            <w:tcW w:w="5386" w:type="dxa"/>
            <w:tcBorders>
              <w:top w:val="nil"/>
              <w:bottom w:val="nil"/>
            </w:tcBorders>
          </w:tcPr>
          <w:p w14:paraId="750C68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1.客戶應開立集中保管劃撥帳戶，始得接受其委託零股買賣。</w:t>
            </w:r>
          </w:p>
        </w:tc>
        <w:tc>
          <w:tcPr>
            <w:tcW w:w="5387" w:type="dxa"/>
            <w:tcBorders>
              <w:top w:val="nil"/>
              <w:bottom w:val="nil"/>
            </w:tcBorders>
          </w:tcPr>
          <w:p w14:paraId="781CA8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1.客戶應開立集中保管劃撥帳戶，始得接受其委託零股買賣。</w:t>
            </w:r>
          </w:p>
        </w:tc>
        <w:tc>
          <w:tcPr>
            <w:tcW w:w="2023" w:type="dxa"/>
            <w:vMerge/>
            <w:tcBorders>
              <w:right w:val="single" w:sz="12" w:space="0" w:color="auto"/>
            </w:tcBorders>
          </w:tcPr>
          <w:p w14:paraId="7E6DD44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8CB834" w14:textId="77777777">
        <w:tc>
          <w:tcPr>
            <w:tcW w:w="1384" w:type="dxa"/>
            <w:vMerge/>
            <w:tcBorders>
              <w:left w:val="single" w:sz="12" w:space="0" w:color="auto"/>
            </w:tcBorders>
          </w:tcPr>
          <w:p w14:paraId="0A3980EB" w14:textId="77777777" w:rsidR="003B3105" w:rsidRDefault="003B3105" w:rsidP="001E533B">
            <w:pPr>
              <w:rPr>
                <w:rFonts w:ascii="新細明體" w:eastAsia="新細明體" w:hAnsi="新細明體"/>
              </w:rPr>
            </w:pPr>
          </w:p>
        </w:tc>
        <w:tc>
          <w:tcPr>
            <w:tcW w:w="1276" w:type="dxa"/>
            <w:vMerge/>
          </w:tcPr>
          <w:p w14:paraId="5B136813" w14:textId="77777777" w:rsidR="003B3105" w:rsidRDefault="003B3105" w:rsidP="001E533B">
            <w:pPr>
              <w:rPr>
                <w:rFonts w:ascii="新細明體" w:eastAsia="新細明體" w:hAnsi="新細明體"/>
              </w:rPr>
            </w:pPr>
          </w:p>
        </w:tc>
        <w:tc>
          <w:tcPr>
            <w:tcW w:w="5386" w:type="dxa"/>
            <w:tcBorders>
              <w:top w:val="nil"/>
              <w:bottom w:val="nil"/>
            </w:tcBorders>
          </w:tcPr>
          <w:p w14:paraId="128C7D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32AF584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0BDB42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131323" w14:textId="77777777">
        <w:tc>
          <w:tcPr>
            <w:tcW w:w="1384" w:type="dxa"/>
            <w:vMerge/>
            <w:tcBorders>
              <w:left w:val="single" w:sz="12" w:space="0" w:color="auto"/>
            </w:tcBorders>
          </w:tcPr>
          <w:p w14:paraId="3283905D" w14:textId="77777777" w:rsidR="003B3105" w:rsidRDefault="003B3105" w:rsidP="001E533B">
            <w:pPr>
              <w:rPr>
                <w:rFonts w:ascii="新細明體" w:eastAsia="新細明體" w:hAnsi="新細明體"/>
              </w:rPr>
            </w:pPr>
          </w:p>
        </w:tc>
        <w:tc>
          <w:tcPr>
            <w:tcW w:w="1276" w:type="dxa"/>
            <w:vMerge/>
          </w:tcPr>
          <w:p w14:paraId="7C4601CB" w14:textId="77777777" w:rsidR="003B3105" w:rsidRDefault="003B3105" w:rsidP="001E533B">
            <w:pPr>
              <w:rPr>
                <w:rFonts w:ascii="新細明體" w:eastAsia="新細明體" w:hAnsi="新細明體"/>
              </w:rPr>
            </w:pPr>
          </w:p>
        </w:tc>
        <w:tc>
          <w:tcPr>
            <w:tcW w:w="5386" w:type="dxa"/>
            <w:tcBorders>
              <w:top w:val="nil"/>
              <w:bottom w:val="nil"/>
            </w:tcBorders>
          </w:tcPr>
          <w:p w14:paraId="24BFC9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3.盤後零股交易買賣申報時間應為每日下午一時四十分起至二時三十分止；公司若選擇參與盤中零股交易，盤中零股交</w:t>
            </w:r>
            <w:r>
              <w:rPr>
                <w:rFonts w:ascii="新細明體" w:eastAsia="新細明體" w:hAnsi="新細明體" w:cs="新細明體" w:hint="eastAsia"/>
              </w:rPr>
              <w:lastRenderedPageBreak/>
              <w:t>易之買賣申報時間應為每日上午九時至下午一時三十分(自109年10月26日起實施)。</w:t>
            </w:r>
          </w:p>
        </w:tc>
        <w:tc>
          <w:tcPr>
            <w:tcW w:w="5387" w:type="dxa"/>
            <w:tcBorders>
              <w:top w:val="nil"/>
              <w:bottom w:val="nil"/>
            </w:tcBorders>
          </w:tcPr>
          <w:p w14:paraId="6CB2424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3.盤後零股交易買賣申報時間應為每日下午一時四十分起至二時三十分止；公司若選擇參與盤中零股交易，盤中零股交</w:t>
            </w:r>
            <w:r>
              <w:rPr>
                <w:rFonts w:ascii="新細明體" w:eastAsia="新細明體" w:hAnsi="新細明體" w:cs="新細明體" w:hint="eastAsia"/>
              </w:rPr>
              <w:lastRenderedPageBreak/>
              <w:t>易之買賣申報時間應為每日上午九時至下午一時三十分(自109年10月26日起實施)。</w:t>
            </w:r>
          </w:p>
        </w:tc>
        <w:tc>
          <w:tcPr>
            <w:tcW w:w="2023" w:type="dxa"/>
            <w:vMerge/>
            <w:tcBorders>
              <w:right w:val="single" w:sz="12" w:space="0" w:color="auto"/>
            </w:tcBorders>
          </w:tcPr>
          <w:p w14:paraId="0DA51B4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518BF8" w14:textId="77777777">
        <w:tc>
          <w:tcPr>
            <w:tcW w:w="1384" w:type="dxa"/>
            <w:vMerge/>
            <w:tcBorders>
              <w:left w:val="single" w:sz="12" w:space="0" w:color="auto"/>
            </w:tcBorders>
          </w:tcPr>
          <w:p w14:paraId="00D1D1A1" w14:textId="77777777" w:rsidR="003B3105" w:rsidRDefault="003B3105" w:rsidP="001E533B">
            <w:pPr>
              <w:rPr>
                <w:rFonts w:ascii="新細明體" w:eastAsia="新細明體" w:hAnsi="新細明體"/>
              </w:rPr>
            </w:pPr>
          </w:p>
        </w:tc>
        <w:tc>
          <w:tcPr>
            <w:tcW w:w="1276" w:type="dxa"/>
            <w:vMerge/>
          </w:tcPr>
          <w:p w14:paraId="0C63AB8A" w14:textId="77777777" w:rsidR="003B3105" w:rsidRDefault="003B3105" w:rsidP="001E533B">
            <w:pPr>
              <w:rPr>
                <w:rFonts w:ascii="新細明體" w:eastAsia="新細明體" w:hAnsi="新細明體"/>
              </w:rPr>
            </w:pPr>
          </w:p>
        </w:tc>
        <w:tc>
          <w:tcPr>
            <w:tcW w:w="5386" w:type="dxa"/>
            <w:tcBorders>
              <w:top w:val="nil"/>
              <w:bottom w:val="nil"/>
            </w:tcBorders>
          </w:tcPr>
          <w:p w14:paraId="66B87A6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4.零股交易每日升降幅度，適用證交所「營業細則」第六十三條或櫃檯買賣中心「證券商營業處所買賣有價證券業務規則」第五十五條規定。</w:t>
            </w:r>
          </w:p>
        </w:tc>
        <w:tc>
          <w:tcPr>
            <w:tcW w:w="5387" w:type="dxa"/>
            <w:tcBorders>
              <w:top w:val="nil"/>
              <w:bottom w:val="nil"/>
            </w:tcBorders>
          </w:tcPr>
          <w:p w14:paraId="4E3C28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4.零股交易每日升降幅度，適用證交所「營業細則」第六十三條或櫃檯買賣中心「證券商營業處所買賣有價證券業務規則」第五十五條規定。</w:t>
            </w:r>
          </w:p>
        </w:tc>
        <w:tc>
          <w:tcPr>
            <w:tcW w:w="2023" w:type="dxa"/>
            <w:vMerge/>
            <w:tcBorders>
              <w:right w:val="single" w:sz="12" w:space="0" w:color="auto"/>
            </w:tcBorders>
          </w:tcPr>
          <w:p w14:paraId="74ED9A9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A458B9" w14:textId="77777777">
        <w:tc>
          <w:tcPr>
            <w:tcW w:w="1384" w:type="dxa"/>
            <w:vMerge/>
            <w:tcBorders>
              <w:left w:val="single" w:sz="12" w:space="0" w:color="auto"/>
            </w:tcBorders>
          </w:tcPr>
          <w:p w14:paraId="05738A94" w14:textId="77777777" w:rsidR="003B3105" w:rsidRDefault="003B3105" w:rsidP="001E533B">
            <w:pPr>
              <w:rPr>
                <w:rFonts w:ascii="新細明體" w:eastAsia="新細明體" w:hAnsi="新細明體"/>
              </w:rPr>
            </w:pPr>
          </w:p>
        </w:tc>
        <w:tc>
          <w:tcPr>
            <w:tcW w:w="1276" w:type="dxa"/>
            <w:vMerge/>
          </w:tcPr>
          <w:p w14:paraId="3C980F4E" w14:textId="77777777" w:rsidR="003B3105" w:rsidRDefault="003B3105" w:rsidP="001E533B">
            <w:pPr>
              <w:rPr>
                <w:rFonts w:ascii="新細明體" w:eastAsia="新細明體" w:hAnsi="新細明體"/>
              </w:rPr>
            </w:pPr>
          </w:p>
        </w:tc>
        <w:tc>
          <w:tcPr>
            <w:tcW w:w="5386" w:type="dxa"/>
            <w:tcBorders>
              <w:top w:val="nil"/>
              <w:bottom w:val="nil"/>
            </w:tcBorders>
          </w:tcPr>
          <w:p w14:paraId="308FFE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凡客戶一次買賣上市櫃證券有證交所營業細則第七十一條或櫃檯買賣中心「證券商營業處所買賣有價證券業務規則」第三十五條之四情形之一者，委託書上須註明鉅額交易，其申報價格及時間依證交所「上市證券鉅額買賣辦法」或櫃檯買賣中心「上櫃證券鉅額買賣辦法」之相關規定辦理。</w:t>
            </w:r>
          </w:p>
        </w:tc>
        <w:tc>
          <w:tcPr>
            <w:tcW w:w="5387" w:type="dxa"/>
            <w:tcBorders>
              <w:top w:val="nil"/>
              <w:bottom w:val="nil"/>
            </w:tcBorders>
          </w:tcPr>
          <w:p w14:paraId="1F1E76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凡客戶一次買賣上市櫃證券有證交所營業細則第七十一條或櫃檯買賣中心「證券商營業處所買賣有價證券業務規則」第三十五條之四情形之一者，委託書上須註明鉅額交易，其申報價格及時間依證交所「上市證券鉅額買賣辦法」或櫃檯買賣中心「上櫃證券鉅額買賣辦法」之相關規定辦理。</w:t>
            </w:r>
          </w:p>
        </w:tc>
        <w:tc>
          <w:tcPr>
            <w:tcW w:w="2023" w:type="dxa"/>
            <w:vMerge/>
            <w:tcBorders>
              <w:right w:val="single" w:sz="12" w:space="0" w:color="auto"/>
            </w:tcBorders>
          </w:tcPr>
          <w:p w14:paraId="6EC62C7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2B7341" w14:textId="77777777">
        <w:tc>
          <w:tcPr>
            <w:tcW w:w="1384" w:type="dxa"/>
            <w:vMerge/>
            <w:tcBorders>
              <w:left w:val="single" w:sz="12" w:space="0" w:color="auto"/>
            </w:tcBorders>
          </w:tcPr>
          <w:p w14:paraId="12EC9158" w14:textId="77777777" w:rsidR="003B3105" w:rsidRDefault="003B3105" w:rsidP="001E533B">
            <w:pPr>
              <w:rPr>
                <w:rFonts w:ascii="新細明體" w:eastAsia="新細明體" w:hAnsi="新細明體"/>
              </w:rPr>
            </w:pPr>
          </w:p>
        </w:tc>
        <w:tc>
          <w:tcPr>
            <w:tcW w:w="1276" w:type="dxa"/>
            <w:vMerge/>
          </w:tcPr>
          <w:p w14:paraId="1890922C" w14:textId="77777777" w:rsidR="003B3105" w:rsidRDefault="003B3105" w:rsidP="001E533B">
            <w:pPr>
              <w:rPr>
                <w:rFonts w:ascii="新細明體" w:eastAsia="新細明體" w:hAnsi="新細明體"/>
              </w:rPr>
            </w:pPr>
          </w:p>
        </w:tc>
        <w:tc>
          <w:tcPr>
            <w:tcW w:w="5386" w:type="dxa"/>
            <w:tcBorders>
              <w:top w:val="nil"/>
              <w:bottom w:val="nil"/>
            </w:tcBorders>
          </w:tcPr>
          <w:p w14:paraId="7D44541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Note,ETN)等，依證交所或櫃檯買賣中心各該買賣辦法及相關規定辦理。對於客戶為取得首次買賣槓桿反向指數股票型證券投資信託基金受益憑證、槓桿反向指數股票型期貨信託基金受益憑證、槓桿反</w:t>
            </w:r>
            <w:r>
              <w:rPr>
                <w:rFonts w:ascii="新細明體" w:eastAsia="新細明體" w:hAnsi="新細明體" w:cs="新細明體" w:hint="eastAsia"/>
              </w:rPr>
              <w:lastRenderedPageBreak/>
              <w:t>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5387" w:type="dxa"/>
            <w:tcBorders>
              <w:top w:val="nil"/>
              <w:bottom w:val="nil"/>
            </w:tcBorders>
          </w:tcPr>
          <w:p w14:paraId="415BA3D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六)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Note,ETN)等，依證交所或櫃檯買賣中心各該買賣辦法及相關規定辦理。對於客戶為取得首次買賣槓桿反向指數股票型證券投資信託基金受益憑證、槓桿反向指數股票型期貨信託基金受益憑證、槓桿反</w:t>
            </w:r>
            <w:r>
              <w:rPr>
                <w:rFonts w:ascii="新細明體" w:eastAsia="新細明體" w:hAnsi="新細明體" w:cs="新細明體" w:hint="eastAsia"/>
              </w:rPr>
              <w:lastRenderedPageBreak/>
              <w:t>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2023" w:type="dxa"/>
            <w:vMerge/>
            <w:tcBorders>
              <w:right w:val="single" w:sz="12" w:space="0" w:color="auto"/>
            </w:tcBorders>
          </w:tcPr>
          <w:p w14:paraId="73AA52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6AAE70" w14:textId="77777777">
        <w:tc>
          <w:tcPr>
            <w:tcW w:w="1384" w:type="dxa"/>
            <w:vMerge/>
            <w:tcBorders>
              <w:left w:val="single" w:sz="12" w:space="0" w:color="auto"/>
            </w:tcBorders>
          </w:tcPr>
          <w:p w14:paraId="65F1698A" w14:textId="77777777" w:rsidR="003B3105" w:rsidRDefault="003B3105" w:rsidP="001E533B">
            <w:pPr>
              <w:rPr>
                <w:rFonts w:ascii="新細明體" w:eastAsia="新細明體" w:hAnsi="新細明體"/>
              </w:rPr>
            </w:pPr>
          </w:p>
        </w:tc>
        <w:tc>
          <w:tcPr>
            <w:tcW w:w="1276" w:type="dxa"/>
            <w:vMerge/>
          </w:tcPr>
          <w:p w14:paraId="796AC6AB" w14:textId="77777777" w:rsidR="003B3105" w:rsidRDefault="003B3105" w:rsidP="001E533B">
            <w:pPr>
              <w:rPr>
                <w:rFonts w:ascii="新細明體" w:eastAsia="新細明體" w:hAnsi="新細明體"/>
              </w:rPr>
            </w:pPr>
          </w:p>
        </w:tc>
        <w:tc>
          <w:tcPr>
            <w:tcW w:w="5386" w:type="dxa"/>
            <w:tcBorders>
              <w:top w:val="nil"/>
              <w:bottom w:val="nil"/>
            </w:tcBorders>
          </w:tcPr>
          <w:p w14:paraId="105491C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(七)受託買賣認購(售)權證應依證交所「認購(售)權證買賣辦法」或櫃檯買賣中心「認購(售)權證買賣辦法」及相關規定辦理。</w:t>
            </w:r>
          </w:p>
        </w:tc>
        <w:tc>
          <w:tcPr>
            <w:tcW w:w="5387" w:type="dxa"/>
            <w:tcBorders>
              <w:top w:val="nil"/>
              <w:bottom w:val="nil"/>
            </w:tcBorders>
          </w:tcPr>
          <w:p w14:paraId="176911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(七)受託買賣認購(售)權證應依證交所「認購(售)權證買賣辦法」或櫃檯買賣中心「認購(售)權證買賣辦法」及相關規定辦理。</w:t>
            </w:r>
          </w:p>
        </w:tc>
        <w:tc>
          <w:tcPr>
            <w:tcW w:w="2023" w:type="dxa"/>
            <w:vMerge/>
            <w:tcBorders>
              <w:right w:val="single" w:sz="12" w:space="0" w:color="auto"/>
            </w:tcBorders>
          </w:tcPr>
          <w:p w14:paraId="34E279E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6672143" w14:textId="77777777">
        <w:tc>
          <w:tcPr>
            <w:tcW w:w="1384" w:type="dxa"/>
            <w:vMerge/>
            <w:tcBorders>
              <w:left w:val="single" w:sz="12" w:space="0" w:color="auto"/>
            </w:tcBorders>
          </w:tcPr>
          <w:p w14:paraId="6AB2E8A2" w14:textId="77777777" w:rsidR="003B3105" w:rsidRDefault="003B3105" w:rsidP="001E533B">
            <w:pPr>
              <w:rPr>
                <w:rFonts w:ascii="新細明體" w:eastAsia="新細明體" w:hAnsi="新細明體"/>
              </w:rPr>
            </w:pPr>
          </w:p>
        </w:tc>
        <w:tc>
          <w:tcPr>
            <w:tcW w:w="1276" w:type="dxa"/>
            <w:vMerge/>
          </w:tcPr>
          <w:p w14:paraId="6C93890F" w14:textId="77777777" w:rsidR="003B3105" w:rsidRDefault="003B3105" w:rsidP="001E533B">
            <w:pPr>
              <w:rPr>
                <w:rFonts w:ascii="新細明體" w:eastAsia="新細明體" w:hAnsi="新細明體"/>
              </w:rPr>
            </w:pPr>
          </w:p>
        </w:tc>
        <w:tc>
          <w:tcPr>
            <w:tcW w:w="5386" w:type="dxa"/>
            <w:tcBorders>
              <w:top w:val="nil"/>
              <w:bottom w:val="nil"/>
            </w:tcBorders>
          </w:tcPr>
          <w:p w14:paraId="72FDE8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(八)接受客戶委託拍賣、標購上市證券者，應依證交所「受託辦理上市證券拍賣辦法」、「辦理上市證券標購辦法」及櫃檯買賣中心「辦理上櫃證券標購辦法」辦理。</w:t>
            </w:r>
          </w:p>
        </w:tc>
        <w:tc>
          <w:tcPr>
            <w:tcW w:w="5387" w:type="dxa"/>
            <w:tcBorders>
              <w:top w:val="nil"/>
              <w:bottom w:val="nil"/>
            </w:tcBorders>
          </w:tcPr>
          <w:p w14:paraId="11BE1DC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(八)接受客戶委託拍賣、標購上市證券者，應依證交所「受託辦理上市證券拍賣辦法」、「辦理上市證券標購辦法」及櫃檯買賣中心「辦理上櫃證券標購辦法」辦理。</w:t>
            </w:r>
          </w:p>
        </w:tc>
        <w:tc>
          <w:tcPr>
            <w:tcW w:w="2023" w:type="dxa"/>
            <w:vMerge/>
            <w:tcBorders>
              <w:right w:val="single" w:sz="12" w:space="0" w:color="auto"/>
            </w:tcBorders>
          </w:tcPr>
          <w:p w14:paraId="4588A6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00E99C" w14:textId="77777777">
        <w:tc>
          <w:tcPr>
            <w:tcW w:w="1384" w:type="dxa"/>
            <w:vMerge/>
            <w:tcBorders>
              <w:left w:val="single" w:sz="12" w:space="0" w:color="auto"/>
            </w:tcBorders>
          </w:tcPr>
          <w:p w14:paraId="5D73CEBF" w14:textId="77777777" w:rsidR="003B3105" w:rsidRDefault="003B3105" w:rsidP="001E533B">
            <w:pPr>
              <w:rPr>
                <w:rFonts w:ascii="新細明體" w:eastAsia="新細明體" w:hAnsi="新細明體"/>
              </w:rPr>
            </w:pPr>
          </w:p>
        </w:tc>
        <w:tc>
          <w:tcPr>
            <w:tcW w:w="1276" w:type="dxa"/>
            <w:vMerge/>
          </w:tcPr>
          <w:p w14:paraId="3ECF5333" w14:textId="77777777" w:rsidR="003B3105" w:rsidRDefault="003B3105" w:rsidP="001E533B">
            <w:pPr>
              <w:rPr>
                <w:rFonts w:ascii="新細明體" w:eastAsia="新細明體" w:hAnsi="新細明體"/>
              </w:rPr>
            </w:pPr>
          </w:p>
        </w:tc>
        <w:tc>
          <w:tcPr>
            <w:tcW w:w="5386" w:type="dxa"/>
            <w:tcBorders>
              <w:top w:val="nil"/>
              <w:bottom w:val="nil"/>
            </w:tcBorders>
          </w:tcPr>
          <w:p w14:paraId="32B78EE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營業時間內僅董事長、總經理、營業部門經理、分公司經理、登記合格之辦理受託買賣有價證券及申報(電腦操作)業務之人員、內部稽核人員、法令遵循人員及營業櫃檯事務員方得進入營業櫃檯、交易室，公司並應落實下列控管配套措施：</w:t>
            </w:r>
          </w:p>
        </w:tc>
        <w:tc>
          <w:tcPr>
            <w:tcW w:w="5387" w:type="dxa"/>
            <w:tcBorders>
              <w:top w:val="nil"/>
              <w:bottom w:val="nil"/>
            </w:tcBorders>
          </w:tcPr>
          <w:p w14:paraId="46F17F9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營業時間內僅董事長、總經理、營業部門經理、分公司經理、登記合格之辦理受託買賣有價證券及申報(電腦操作)業務之人員、內部稽核人員、法令遵循人員及營業櫃檯事務員方得進入營業櫃檯、交易室，公司並應落實下列控管配套措施：</w:t>
            </w:r>
          </w:p>
        </w:tc>
        <w:tc>
          <w:tcPr>
            <w:tcW w:w="2023" w:type="dxa"/>
            <w:vMerge/>
            <w:tcBorders>
              <w:right w:val="single" w:sz="12" w:space="0" w:color="auto"/>
            </w:tcBorders>
          </w:tcPr>
          <w:p w14:paraId="39B9B27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F04508" w14:textId="77777777">
        <w:tc>
          <w:tcPr>
            <w:tcW w:w="1384" w:type="dxa"/>
            <w:vMerge/>
            <w:tcBorders>
              <w:left w:val="single" w:sz="12" w:space="0" w:color="auto"/>
            </w:tcBorders>
          </w:tcPr>
          <w:p w14:paraId="520EBFBE" w14:textId="77777777" w:rsidR="003B3105" w:rsidRDefault="003B3105" w:rsidP="001E533B">
            <w:pPr>
              <w:rPr>
                <w:rFonts w:ascii="新細明體" w:eastAsia="新細明體" w:hAnsi="新細明體"/>
              </w:rPr>
            </w:pPr>
          </w:p>
        </w:tc>
        <w:tc>
          <w:tcPr>
            <w:tcW w:w="1276" w:type="dxa"/>
            <w:vMerge/>
          </w:tcPr>
          <w:p w14:paraId="1ADEAD19" w14:textId="77777777" w:rsidR="003B3105" w:rsidRDefault="003B3105" w:rsidP="001E533B">
            <w:pPr>
              <w:rPr>
                <w:rFonts w:ascii="新細明體" w:eastAsia="新細明體" w:hAnsi="新細明體"/>
              </w:rPr>
            </w:pPr>
          </w:p>
        </w:tc>
        <w:tc>
          <w:tcPr>
            <w:tcW w:w="5386" w:type="dxa"/>
            <w:tcBorders>
              <w:top w:val="nil"/>
              <w:bottom w:val="nil"/>
            </w:tcBorders>
          </w:tcPr>
          <w:p w14:paraId="6BA3601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1.內部稽核人員及法令遵循人員進入營業櫃檯、交易室，應簽署避免利益衝突聲明書並提出進入申請且經權責主管核可後方得進入，相關紀錄至少保存五年。</w:t>
            </w:r>
          </w:p>
        </w:tc>
        <w:tc>
          <w:tcPr>
            <w:tcW w:w="5387" w:type="dxa"/>
            <w:tcBorders>
              <w:top w:val="nil"/>
              <w:bottom w:val="nil"/>
            </w:tcBorders>
          </w:tcPr>
          <w:p w14:paraId="75AA1B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1.內部稽核人員及法令遵循人員進入營業櫃檯、交易室，應簽署避免利益衝突聲明書並提出進入申請且經權責主管核可後方得進入，相關紀錄至少保存五年。</w:t>
            </w:r>
          </w:p>
        </w:tc>
        <w:tc>
          <w:tcPr>
            <w:tcW w:w="2023" w:type="dxa"/>
            <w:vMerge/>
            <w:tcBorders>
              <w:right w:val="single" w:sz="12" w:space="0" w:color="auto"/>
            </w:tcBorders>
          </w:tcPr>
          <w:p w14:paraId="19E1C9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BE0C1E" w14:textId="77777777">
        <w:tc>
          <w:tcPr>
            <w:tcW w:w="1384" w:type="dxa"/>
            <w:vMerge/>
            <w:tcBorders>
              <w:left w:val="single" w:sz="12" w:space="0" w:color="auto"/>
            </w:tcBorders>
          </w:tcPr>
          <w:p w14:paraId="6D94EA6B" w14:textId="77777777" w:rsidR="003B3105" w:rsidRDefault="003B3105" w:rsidP="001E533B">
            <w:pPr>
              <w:rPr>
                <w:rFonts w:ascii="新細明體" w:eastAsia="新細明體" w:hAnsi="新細明體"/>
              </w:rPr>
            </w:pPr>
          </w:p>
        </w:tc>
        <w:tc>
          <w:tcPr>
            <w:tcW w:w="1276" w:type="dxa"/>
            <w:vMerge/>
          </w:tcPr>
          <w:p w14:paraId="04F1F2A7" w14:textId="77777777" w:rsidR="003B3105" w:rsidRDefault="003B3105" w:rsidP="001E533B">
            <w:pPr>
              <w:rPr>
                <w:rFonts w:ascii="新細明體" w:eastAsia="新細明體" w:hAnsi="新細明體"/>
              </w:rPr>
            </w:pPr>
          </w:p>
        </w:tc>
        <w:tc>
          <w:tcPr>
            <w:tcW w:w="5386" w:type="dxa"/>
            <w:tcBorders>
              <w:top w:val="nil"/>
              <w:bottom w:val="nil"/>
            </w:tcBorders>
          </w:tcPr>
          <w:p w14:paraId="50F693C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2.董事長、總經理及分公司經理因業務需要，方得進入營業櫃檯、交易室，進入時應登記及載明進入事由，進出紀錄至少保存五年。</w:t>
            </w:r>
          </w:p>
        </w:tc>
        <w:tc>
          <w:tcPr>
            <w:tcW w:w="5387" w:type="dxa"/>
            <w:tcBorders>
              <w:top w:val="nil"/>
              <w:bottom w:val="nil"/>
            </w:tcBorders>
          </w:tcPr>
          <w:p w14:paraId="1E914D4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2.董事長、總經理及分公司經理因業務需要，方得進入營業櫃檯、交易室，進入時應登記及載明進入事由，進出紀錄至少保存五年。</w:t>
            </w:r>
          </w:p>
        </w:tc>
        <w:tc>
          <w:tcPr>
            <w:tcW w:w="2023" w:type="dxa"/>
            <w:vMerge/>
            <w:tcBorders>
              <w:right w:val="single" w:sz="12" w:space="0" w:color="auto"/>
            </w:tcBorders>
          </w:tcPr>
          <w:p w14:paraId="474F92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3312D9" w14:textId="77777777">
        <w:tc>
          <w:tcPr>
            <w:tcW w:w="1384" w:type="dxa"/>
            <w:vMerge/>
            <w:tcBorders>
              <w:left w:val="single" w:sz="12" w:space="0" w:color="auto"/>
            </w:tcBorders>
          </w:tcPr>
          <w:p w14:paraId="5FE3CD76" w14:textId="77777777" w:rsidR="003B3105" w:rsidRDefault="003B3105" w:rsidP="001E533B">
            <w:pPr>
              <w:rPr>
                <w:rFonts w:ascii="新細明體" w:eastAsia="新細明體" w:hAnsi="新細明體"/>
              </w:rPr>
            </w:pPr>
          </w:p>
        </w:tc>
        <w:tc>
          <w:tcPr>
            <w:tcW w:w="1276" w:type="dxa"/>
            <w:vMerge/>
          </w:tcPr>
          <w:p w14:paraId="414E1DA8" w14:textId="77777777" w:rsidR="003B3105" w:rsidRDefault="003B3105" w:rsidP="001E533B">
            <w:pPr>
              <w:rPr>
                <w:rFonts w:ascii="新細明體" w:eastAsia="新細明體" w:hAnsi="新細明體"/>
              </w:rPr>
            </w:pPr>
          </w:p>
        </w:tc>
        <w:tc>
          <w:tcPr>
            <w:tcW w:w="5386" w:type="dxa"/>
            <w:tcBorders>
              <w:top w:val="nil"/>
              <w:bottom w:val="nil"/>
            </w:tcBorders>
          </w:tcPr>
          <w:p w14:paraId="6CD47E2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5387" w:type="dxa"/>
            <w:tcBorders>
              <w:top w:val="nil"/>
              <w:bottom w:val="nil"/>
            </w:tcBorders>
          </w:tcPr>
          <w:p w14:paraId="2EF9CE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2023" w:type="dxa"/>
            <w:vMerge/>
            <w:tcBorders>
              <w:right w:val="single" w:sz="12" w:space="0" w:color="auto"/>
            </w:tcBorders>
          </w:tcPr>
          <w:p w14:paraId="406887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BA8D636" w14:textId="77777777">
        <w:tc>
          <w:tcPr>
            <w:tcW w:w="1384" w:type="dxa"/>
            <w:vMerge/>
            <w:tcBorders>
              <w:left w:val="single" w:sz="12" w:space="0" w:color="auto"/>
            </w:tcBorders>
          </w:tcPr>
          <w:p w14:paraId="1366C575" w14:textId="77777777" w:rsidR="003B3105" w:rsidRDefault="003B3105" w:rsidP="001E533B">
            <w:pPr>
              <w:rPr>
                <w:rFonts w:ascii="新細明體" w:eastAsia="新細明體" w:hAnsi="新細明體"/>
              </w:rPr>
            </w:pPr>
          </w:p>
        </w:tc>
        <w:tc>
          <w:tcPr>
            <w:tcW w:w="1276" w:type="dxa"/>
            <w:vMerge/>
          </w:tcPr>
          <w:p w14:paraId="68B1DCF0" w14:textId="77777777" w:rsidR="003B3105" w:rsidRDefault="003B3105" w:rsidP="001E533B">
            <w:pPr>
              <w:rPr>
                <w:rFonts w:ascii="新細明體" w:eastAsia="新細明體" w:hAnsi="新細明體"/>
              </w:rPr>
            </w:pPr>
          </w:p>
        </w:tc>
        <w:tc>
          <w:tcPr>
            <w:tcW w:w="5386" w:type="dxa"/>
            <w:tcBorders>
              <w:top w:val="nil"/>
              <w:bottom w:val="nil"/>
            </w:tcBorders>
          </w:tcPr>
          <w:p w14:paraId="0A75CF5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1.提供新臺幣五千萬元以上之財力證明。</w:t>
            </w:r>
          </w:p>
        </w:tc>
        <w:tc>
          <w:tcPr>
            <w:tcW w:w="5387" w:type="dxa"/>
            <w:tcBorders>
              <w:top w:val="nil"/>
              <w:bottom w:val="nil"/>
            </w:tcBorders>
          </w:tcPr>
          <w:p w14:paraId="649EE7A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1.提供新臺幣五千萬元以上之財力證明。</w:t>
            </w:r>
          </w:p>
        </w:tc>
        <w:tc>
          <w:tcPr>
            <w:tcW w:w="2023" w:type="dxa"/>
            <w:vMerge/>
            <w:tcBorders>
              <w:right w:val="single" w:sz="12" w:space="0" w:color="auto"/>
            </w:tcBorders>
          </w:tcPr>
          <w:p w14:paraId="3F2A0FB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E3AD18" w14:textId="77777777">
        <w:tc>
          <w:tcPr>
            <w:tcW w:w="1384" w:type="dxa"/>
            <w:vMerge/>
            <w:tcBorders>
              <w:left w:val="single" w:sz="12" w:space="0" w:color="auto"/>
            </w:tcBorders>
          </w:tcPr>
          <w:p w14:paraId="272EB873" w14:textId="77777777" w:rsidR="003B3105" w:rsidRDefault="003B3105" w:rsidP="001E533B">
            <w:pPr>
              <w:rPr>
                <w:rFonts w:ascii="新細明體" w:eastAsia="新細明體" w:hAnsi="新細明體"/>
              </w:rPr>
            </w:pPr>
          </w:p>
        </w:tc>
        <w:tc>
          <w:tcPr>
            <w:tcW w:w="1276" w:type="dxa"/>
            <w:vMerge/>
          </w:tcPr>
          <w:p w14:paraId="4666DDA8" w14:textId="77777777" w:rsidR="003B3105" w:rsidRDefault="003B3105" w:rsidP="001E533B">
            <w:pPr>
              <w:rPr>
                <w:rFonts w:ascii="新細明體" w:eastAsia="新細明體" w:hAnsi="新細明體"/>
              </w:rPr>
            </w:pPr>
          </w:p>
        </w:tc>
        <w:tc>
          <w:tcPr>
            <w:tcW w:w="5386" w:type="dxa"/>
            <w:tcBorders>
              <w:top w:val="nil"/>
              <w:bottom w:val="nil"/>
            </w:tcBorders>
          </w:tcPr>
          <w:p w14:paraId="7352539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具備充分之金融商品專業知識或交易經驗（係指符合下列條件之一者：一、曾任職於證券、期貨、金融或保險機構，或有其他學經歷足資證明具備證券專業知識者。二、同時符合下列條件者：（一）開戶滿六個月。（二）提出最近一年於證券市場交易滿二十筆之證明；開戶未滿一年者，亦同。（三）未有證券交易違約紀錄。）。</w:t>
            </w:r>
          </w:p>
        </w:tc>
        <w:tc>
          <w:tcPr>
            <w:tcW w:w="5387" w:type="dxa"/>
            <w:tcBorders>
              <w:top w:val="nil"/>
              <w:bottom w:val="nil"/>
            </w:tcBorders>
          </w:tcPr>
          <w:p w14:paraId="385EA9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具備充分之金融商品專業知識或交易經驗（係指符合下列條件之一者：一、曾任職於證券、期貨、金融或保險機構，或有其他學經歷足資證明具備證券專業知識者。二、同時符合下列條件者：（一）開戶滿六個月。（二）提出最近一年於證券市場交易滿二十筆之證明；開戶未滿一年者，亦同。（三）未有證券交易違約紀錄。）。</w:t>
            </w:r>
          </w:p>
        </w:tc>
        <w:tc>
          <w:tcPr>
            <w:tcW w:w="2023" w:type="dxa"/>
            <w:vMerge/>
            <w:tcBorders>
              <w:right w:val="single" w:sz="12" w:space="0" w:color="auto"/>
            </w:tcBorders>
          </w:tcPr>
          <w:p w14:paraId="228E94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7EAC55" w14:textId="77777777">
        <w:tc>
          <w:tcPr>
            <w:tcW w:w="1384" w:type="dxa"/>
            <w:vMerge/>
            <w:tcBorders>
              <w:left w:val="single" w:sz="12" w:space="0" w:color="auto"/>
            </w:tcBorders>
          </w:tcPr>
          <w:p w14:paraId="03744D36" w14:textId="77777777" w:rsidR="003B3105" w:rsidRDefault="003B3105" w:rsidP="001E533B">
            <w:pPr>
              <w:rPr>
                <w:rFonts w:ascii="新細明體" w:eastAsia="新細明體" w:hAnsi="新細明體"/>
              </w:rPr>
            </w:pPr>
          </w:p>
        </w:tc>
        <w:tc>
          <w:tcPr>
            <w:tcW w:w="1276" w:type="dxa"/>
            <w:vMerge/>
          </w:tcPr>
          <w:p w14:paraId="1FC2BBC7" w14:textId="77777777" w:rsidR="003B3105" w:rsidRDefault="003B3105" w:rsidP="001E533B">
            <w:pPr>
              <w:rPr>
                <w:rFonts w:ascii="新細明體" w:eastAsia="新細明體" w:hAnsi="新細明體"/>
              </w:rPr>
            </w:pPr>
          </w:p>
        </w:tc>
        <w:tc>
          <w:tcPr>
            <w:tcW w:w="5386" w:type="dxa"/>
            <w:tcBorders>
              <w:top w:val="nil"/>
              <w:bottom w:val="nil"/>
            </w:tcBorders>
          </w:tcPr>
          <w:p w14:paraId="0CAA8C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3.出具載明由證券商登記合格之業務員向其詳盡說明授權委託相關權利義務關係</w:t>
            </w:r>
            <w:r>
              <w:rPr>
                <w:rFonts w:ascii="新細明體" w:eastAsia="新細明體" w:hAnsi="新細明體" w:cs="新細明體" w:hint="eastAsia"/>
              </w:rPr>
              <w:lastRenderedPageBreak/>
              <w:t>及風險注意事項，並確認已受充分告知及暸解且同意簽署為特定自然人之聲明書。</w:t>
            </w:r>
          </w:p>
        </w:tc>
        <w:tc>
          <w:tcPr>
            <w:tcW w:w="5387" w:type="dxa"/>
            <w:tcBorders>
              <w:top w:val="nil"/>
              <w:bottom w:val="nil"/>
            </w:tcBorders>
          </w:tcPr>
          <w:p w14:paraId="05E651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3.出具載明由證券商登記合格之業務員向其詳盡說明授權委託相關權利義務關係</w:t>
            </w:r>
            <w:r>
              <w:rPr>
                <w:rFonts w:ascii="新細明體" w:eastAsia="新細明體" w:hAnsi="新細明體" w:cs="新細明體" w:hint="eastAsia"/>
              </w:rPr>
              <w:lastRenderedPageBreak/>
              <w:t>及風險注意事項，並確認已受充分告知及暸解且同意簽署為特定自然人之聲明書。</w:t>
            </w:r>
          </w:p>
        </w:tc>
        <w:tc>
          <w:tcPr>
            <w:tcW w:w="2023" w:type="dxa"/>
            <w:vMerge/>
            <w:tcBorders>
              <w:right w:val="single" w:sz="12" w:space="0" w:color="auto"/>
            </w:tcBorders>
          </w:tcPr>
          <w:p w14:paraId="6FDF09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A4E8FF" w14:textId="77777777">
        <w:tc>
          <w:tcPr>
            <w:tcW w:w="1384" w:type="dxa"/>
            <w:vMerge/>
            <w:tcBorders>
              <w:left w:val="single" w:sz="12" w:space="0" w:color="auto"/>
            </w:tcBorders>
          </w:tcPr>
          <w:p w14:paraId="48A61C9C" w14:textId="77777777" w:rsidR="003B3105" w:rsidRDefault="003B3105" w:rsidP="001E533B">
            <w:pPr>
              <w:rPr>
                <w:rFonts w:ascii="新細明體" w:eastAsia="新細明體" w:hAnsi="新細明體"/>
              </w:rPr>
            </w:pPr>
          </w:p>
        </w:tc>
        <w:tc>
          <w:tcPr>
            <w:tcW w:w="1276" w:type="dxa"/>
            <w:vMerge/>
          </w:tcPr>
          <w:p w14:paraId="27A45D72" w14:textId="77777777" w:rsidR="003B3105" w:rsidRDefault="003B3105" w:rsidP="001E533B">
            <w:pPr>
              <w:rPr>
                <w:rFonts w:ascii="新細明體" w:eastAsia="新細明體" w:hAnsi="新細明體"/>
              </w:rPr>
            </w:pPr>
          </w:p>
        </w:tc>
        <w:tc>
          <w:tcPr>
            <w:tcW w:w="5386" w:type="dxa"/>
            <w:tcBorders>
              <w:top w:val="nil"/>
              <w:bottom w:val="nil"/>
            </w:tcBorders>
          </w:tcPr>
          <w:p w14:paraId="67A1B0E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5387" w:type="dxa"/>
            <w:tcBorders>
              <w:top w:val="nil"/>
              <w:bottom w:val="nil"/>
            </w:tcBorders>
          </w:tcPr>
          <w:p w14:paraId="410CB3F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2023" w:type="dxa"/>
            <w:vMerge/>
            <w:tcBorders>
              <w:right w:val="single" w:sz="12" w:space="0" w:color="auto"/>
            </w:tcBorders>
          </w:tcPr>
          <w:p w14:paraId="1F60ABA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E29DD3" w14:textId="77777777">
        <w:tc>
          <w:tcPr>
            <w:tcW w:w="1384" w:type="dxa"/>
            <w:vMerge/>
            <w:tcBorders>
              <w:left w:val="single" w:sz="12" w:space="0" w:color="auto"/>
            </w:tcBorders>
          </w:tcPr>
          <w:p w14:paraId="038B709B" w14:textId="77777777" w:rsidR="003B3105" w:rsidRDefault="003B3105" w:rsidP="001E533B">
            <w:pPr>
              <w:rPr>
                <w:rFonts w:ascii="新細明體" w:eastAsia="新細明體" w:hAnsi="新細明體"/>
              </w:rPr>
            </w:pPr>
          </w:p>
        </w:tc>
        <w:tc>
          <w:tcPr>
            <w:tcW w:w="1276" w:type="dxa"/>
            <w:vMerge/>
          </w:tcPr>
          <w:p w14:paraId="176BA85A" w14:textId="77777777" w:rsidR="003B3105" w:rsidRDefault="003B3105" w:rsidP="001E533B">
            <w:pPr>
              <w:rPr>
                <w:rFonts w:ascii="新細明體" w:eastAsia="新細明體" w:hAnsi="新細明體"/>
              </w:rPr>
            </w:pPr>
          </w:p>
        </w:tc>
        <w:tc>
          <w:tcPr>
            <w:tcW w:w="5386" w:type="dxa"/>
            <w:tcBorders>
              <w:top w:val="nil"/>
              <w:bottom w:val="nil"/>
            </w:tcBorders>
          </w:tcPr>
          <w:p w14:paraId="1826477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接受前開特定自然人授權委託，應符合下列各項之內部管控措施：一、應對客戶屬性或適當性作充分之評估及瞭解。二、應告知客戶授權委託相關風險事項。三、接受客戶授權委託之時間區間、頻率及執行價格範圍等方式之限制。</w:t>
            </w:r>
          </w:p>
        </w:tc>
        <w:tc>
          <w:tcPr>
            <w:tcW w:w="5387" w:type="dxa"/>
            <w:tcBorders>
              <w:top w:val="nil"/>
              <w:bottom w:val="nil"/>
            </w:tcBorders>
          </w:tcPr>
          <w:p w14:paraId="0F902747"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公司接受前開特定自然人授權委託，應符合下列各項之內部管控措施：一、應對客戶屬性或適當性作充分之評估及瞭解。二、應告知客戶授權委託相關風險事項。三、接受客戶授權委託之時間區間、頻率及執行價格範圍等方式之限制。</w:t>
            </w:r>
          </w:p>
        </w:tc>
        <w:tc>
          <w:tcPr>
            <w:tcW w:w="2023" w:type="dxa"/>
            <w:vMerge/>
            <w:tcBorders>
              <w:right w:val="single" w:sz="12" w:space="0" w:color="auto"/>
            </w:tcBorders>
          </w:tcPr>
          <w:p w14:paraId="283F85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2CD326" w14:textId="77777777">
        <w:tc>
          <w:tcPr>
            <w:tcW w:w="1384" w:type="dxa"/>
            <w:vMerge/>
            <w:tcBorders>
              <w:left w:val="single" w:sz="12" w:space="0" w:color="auto"/>
            </w:tcBorders>
          </w:tcPr>
          <w:p w14:paraId="3BCD7DE5" w14:textId="77777777" w:rsidR="003B3105" w:rsidRDefault="003B3105" w:rsidP="001E533B">
            <w:pPr>
              <w:rPr>
                <w:rFonts w:ascii="新細明體" w:eastAsia="新細明體" w:hAnsi="新細明體"/>
              </w:rPr>
            </w:pPr>
          </w:p>
        </w:tc>
        <w:tc>
          <w:tcPr>
            <w:tcW w:w="1276" w:type="dxa"/>
            <w:vMerge/>
          </w:tcPr>
          <w:p w14:paraId="556396A7" w14:textId="77777777" w:rsidR="003B3105" w:rsidRDefault="003B3105" w:rsidP="001E533B">
            <w:pPr>
              <w:rPr>
                <w:rFonts w:ascii="新細明體" w:eastAsia="新細明體" w:hAnsi="新細明體"/>
              </w:rPr>
            </w:pPr>
          </w:p>
        </w:tc>
        <w:tc>
          <w:tcPr>
            <w:tcW w:w="5386" w:type="dxa"/>
            <w:tcBorders>
              <w:top w:val="nil"/>
              <w:bottom w:val="nil"/>
            </w:tcBorders>
          </w:tcPr>
          <w:p w14:paraId="6897640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(十一)公司受託買進創新板有價證券，委託人除專業機構投資人外，於其初次買進創新板上市有價證券前，應已簽署創新板上市有價證券風險預告書並經專人解說，公司始得接受其委託；如採電子簽</w:t>
            </w:r>
            <w:r>
              <w:rPr>
                <w:rFonts w:ascii="新細明體" w:eastAsia="新細明體" w:hAnsi="新細明體" w:cs="新細明體" w:hint="eastAsia"/>
              </w:rPr>
              <w:lastRenderedPageBreak/>
              <w:t>章簽署方式，適用證交所104年8月27日臺證輔字第1040016021號函規定，應強化簽署程序。</w:t>
            </w:r>
          </w:p>
        </w:tc>
        <w:tc>
          <w:tcPr>
            <w:tcW w:w="5387" w:type="dxa"/>
            <w:tcBorders>
              <w:top w:val="nil"/>
              <w:bottom w:val="nil"/>
            </w:tcBorders>
          </w:tcPr>
          <w:p w14:paraId="12E6295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(十一)公司受託買進創新板有價證券，委託人除專業機構投資人外，於其初次買進創新板上市有價證券前，應已簽署創新板上市有價證券風險預告書並經專人解說，公司始得接受其委託；如採電子簽</w:t>
            </w:r>
            <w:r>
              <w:rPr>
                <w:rFonts w:ascii="新細明體" w:eastAsia="新細明體" w:hAnsi="新細明體" w:cs="新細明體" w:hint="eastAsia"/>
              </w:rPr>
              <w:lastRenderedPageBreak/>
              <w:t>章簽署方式，適用證交所104年8月27日臺證輔字第1040016021號函規定，應強化簽署程序。</w:t>
            </w:r>
          </w:p>
        </w:tc>
        <w:tc>
          <w:tcPr>
            <w:tcW w:w="2023" w:type="dxa"/>
            <w:vMerge/>
            <w:tcBorders>
              <w:right w:val="single" w:sz="12" w:space="0" w:color="auto"/>
            </w:tcBorders>
          </w:tcPr>
          <w:p w14:paraId="22CC56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C3C555" w14:textId="77777777">
        <w:tc>
          <w:tcPr>
            <w:tcW w:w="1384" w:type="dxa"/>
            <w:vMerge/>
            <w:tcBorders>
              <w:left w:val="single" w:sz="12" w:space="0" w:color="auto"/>
            </w:tcBorders>
          </w:tcPr>
          <w:p w14:paraId="16AD0624" w14:textId="77777777" w:rsidR="003B3105" w:rsidRDefault="003B3105" w:rsidP="001E533B">
            <w:pPr>
              <w:rPr>
                <w:rFonts w:ascii="新細明體" w:eastAsia="新細明體" w:hAnsi="新細明體"/>
              </w:rPr>
            </w:pPr>
          </w:p>
        </w:tc>
        <w:tc>
          <w:tcPr>
            <w:tcW w:w="1276" w:type="dxa"/>
            <w:vMerge/>
          </w:tcPr>
          <w:p w14:paraId="06D14270" w14:textId="77777777" w:rsidR="003B3105" w:rsidRDefault="003B3105" w:rsidP="001E533B">
            <w:pPr>
              <w:rPr>
                <w:rFonts w:ascii="新細明體" w:eastAsia="新細明體" w:hAnsi="新細明體"/>
              </w:rPr>
            </w:pPr>
          </w:p>
        </w:tc>
        <w:tc>
          <w:tcPr>
            <w:tcW w:w="5386" w:type="dxa"/>
            <w:tcBorders>
              <w:top w:val="nil"/>
              <w:bottom w:val="nil"/>
            </w:tcBorders>
          </w:tcPr>
          <w:p w14:paraId="24EE6E5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櫃檯買賣中心）。</w:t>
            </w:r>
          </w:p>
        </w:tc>
        <w:tc>
          <w:tcPr>
            <w:tcW w:w="5387" w:type="dxa"/>
            <w:tcBorders>
              <w:top w:val="nil"/>
              <w:bottom w:val="nil"/>
            </w:tcBorders>
          </w:tcPr>
          <w:p w14:paraId="6A0D086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櫃檯買賣中心）。</w:t>
            </w:r>
          </w:p>
        </w:tc>
        <w:tc>
          <w:tcPr>
            <w:tcW w:w="2023" w:type="dxa"/>
            <w:vMerge/>
            <w:tcBorders>
              <w:right w:val="single" w:sz="12" w:space="0" w:color="auto"/>
            </w:tcBorders>
          </w:tcPr>
          <w:p w14:paraId="1107513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B9E5BE" w14:textId="77777777">
        <w:tc>
          <w:tcPr>
            <w:tcW w:w="1384" w:type="dxa"/>
            <w:vMerge/>
            <w:tcBorders>
              <w:left w:val="single" w:sz="12" w:space="0" w:color="auto"/>
            </w:tcBorders>
          </w:tcPr>
          <w:p w14:paraId="51762E9C" w14:textId="77777777" w:rsidR="003B3105" w:rsidRDefault="003B3105" w:rsidP="001E533B">
            <w:pPr>
              <w:rPr>
                <w:rFonts w:ascii="新細明體" w:eastAsia="新細明體" w:hAnsi="新細明體"/>
              </w:rPr>
            </w:pPr>
          </w:p>
        </w:tc>
        <w:tc>
          <w:tcPr>
            <w:tcW w:w="1276" w:type="dxa"/>
            <w:vMerge/>
          </w:tcPr>
          <w:p w14:paraId="3DE7039E" w14:textId="77777777" w:rsidR="003B3105" w:rsidRDefault="003B3105" w:rsidP="001E533B">
            <w:pPr>
              <w:rPr>
                <w:rFonts w:ascii="新細明體" w:eastAsia="新細明體" w:hAnsi="新細明體"/>
              </w:rPr>
            </w:pPr>
          </w:p>
        </w:tc>
        <w:tc>
          <w:tcPr>
            <w:tcW w:w="5386" w:type="dxa"/>
            <w:tcBorders>
              <w:top w:val="nil"/>
              <w:bottom w:val="nil"/>
            </w:tcBorders>
          </w:tcPr>
          <w:p w14:paraId="6282A24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(十三)公司與客戶間之有價證券買賣委託及回報方式應依下列規定辦理：</w:t>
            </w:r>
          </w:p>
        </w:tc>
        <w:tc>
          <w:tcPr>
            <w:tcW w:w="5387" w:type="dxa"/>
            <w:tcBorders>
              <w:top w:val="nil"/>
              <w:bottom w:val="nil"/>
            </w:tcBorders>
          </w:tcPr>
          <w:p w14:paraId="489894D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(十三)公司與客戶間之有價證券買賣委託及回報方式應依下列規定辦理：</w:t>
            </w:r>
          </w:p>
        </w:tc>
        <w:tc>
          <w:tcPr>
            <w:tcW w:w="2023" w:type="dxa"/>
            <w:vMerge/>
            <w:tcBorders>
              <w:right w:val="single" w:sz="12" w:space="0" w:color="auto"/>
            </w:tcBorders>
          </w:tcPr>
          <w:p w14:paraId="209329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95F235" w14:textId="77777777">
        <w:tc>
          <w:tcPr>
            <w:tcW w:w="1384" w:type="dxa"/>
            <w:vMerge/>
            <w:tcBorders>
              <w:left w:val="single" w:sz="12" w:space="0" w:color="auto"/>
            </w:tcBorders>
          </w:tcPr>
          <w:p w14:paraId="1EAF776D" w14:textId="77777777" w:rsidR="003B3105" w:rsidRDefault="003B3105" w:rsidP="001E533B">
            <w:pPr>
              <w:rPr>
                <w:rFonts w:ascii="新細明體" w:eastAsia="新細明體" w:hAnsi="新細明體"/>
              </w:rPr>
            </w:pPr>
          </w:p>
        </w:tc>
        <w:tc>
          <w:tcPr>
            <w:tcW w:w="1276" w:type="dxa"/>
            <w:vMerge/>
          </w:tcPr>
          <w:p w14:paraId="4C855C6D" w14:textId="77777777" w:rsidR="003B3105" w:rsidRDefault="003B3105" w:rsidP="001E533B">
            <w:pPr>
              <w:rPr>
                <w:rFonts w:ascii="新細明體" w:eastAsia="新細明體" w:hAnsi="新細明體"/>
              </w:rPr>
            </w:pPr>
          </w:p>
        </w:tc>
        <w:tc>
          <w:tcPr>
            <w:tcW w:w="5386" w:type="dxa"/>
            <w:tcBorders>
              <w:top w:val="nil"/>
              <w:bottom w:val="nil"/>
            </w:tcBorders>
          </w:tcPr>
          <w:p w14:paraId="333794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5387" w:type="dxa"/>
            <w:tcBorders>
              <w:top w:val="nil"/>
              <w:bottom w:val="nil"/>
            </w:tcBorders>
          </w:tcPr>
          <w:p w14:paraId="764A754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2023" w:type="dxa"/>
            <w:vMerge/>
            <w:tcBorders>
              <w:right w:val="single" w:sz="12" w:space="0" w:color="auto"/>
            </w:tcBorders>
          </w:tcPr>
          <w:p w14:paraId="218139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76FEC7" w14:textId="77777777">
        <w:tc>
          <w:tcPr>
            <w:tcW w:w="1384" w:type="dxa"/>
            <w:vMerge/>
            <w:tcBorders>
              <w:left w:val="single" w:sz="12" w:space="0" w:color="auto"/>
            </w:tcBorders>
          </w:tcPr>
          <w:p w14:paraId="1479BF10" w14:textId="77777777" w:rsidR="003B3105" w:rsidRDefault="003B3105" w:rsidP="001E533B">
            <w:pPr>
              <w:rPr>
                <w:rFonts w:ascii="新細明體" w:eastAsia="新細明體" w:hAnsi="新細明體"/>
              </w:rPr>
            </w:pPr>
          </w:p>
        </w:tc>
        <w:tc>
          <w:tcPr>
            <w:tcW w:w="1276" w:type="dxa"/>
            <w:vMerge/>
          </w:tcPr>
          <w:p w14:paraId="1DA37A31" w14:textId="77777777" w:rsidR="003B3105" w:rsidRDefault="003B3105" w:rsidP="001E533B">
            <w:pPr>
              <w:rPr>
                <w:rFonts w:ascii="新細明體" w:eastAsia="新細明體" w:hAnsi="新細明體"/>
              </w:rPr>
            </w:pPr>
          </w:p>
        </w:tc>
        <w:tc>
          <w:tcPr>
            <w:tcW w:w="5386" w:type="dxa"/>
            <w:tcBorders>
              <w:top w:val="nil"/>
              <w:bottom w:val="nil"/>
            </w:tcBorders>
          </w:tcPr>
          <w:p w14:paraId="2393782E"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5387" w:type="dxa"/>
            <w:tcBorders>
              <w:top w:val="nil"/>
              <w:bottom w:val="nil"/>
            </w:tcBorders>
          </w:tcPr>
          <w:p w14:paraId="6B763009"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2023" w:type="dxa"/>
            <w:vMerge/>
            <w:tcBorders>
              <w:right w:val="single" w:sz="12" w:space="0" w:color="auto"/>
            </w:tcBorders>
          </w:tcPr>
          <w:p w14:paraId="301DB35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5CC498A" w14:textId="77777777">
        <w:tc>
          <w:tcPr>
            <w:tcW w:w="1384" w:type="dxa"/>
            <w:vMerge/>
            <w:tcBorders>
              <w:left w:val="single" w:sz="12" w:space="0" w:color="auto"/>
            </w:tcBorders>
          </w:tcPr>
          <w:p w14:paraId="36190C22" w14:textId="77777777" w:rsidR="003B3105" w:rsidRDefault="003B3105" w:rsidP="001E533B">
            <w:pPr>
              <w:rPr>
                <w:rFonts w:ascii="新細明體" w:eastAsia="新細明體" w:hAnsi="新細明體"/>
              </w:rPr>
            </w:pPr>
          </w:p>
        </w:tc>
        <w:tc>
          <w:tcPr>
            <w:tcW w:w="1276" w:type="dxa"/>
            <w:vMerge/>
          </w:tcPr>
          <w:p w14:paraId="79F3474B" w14:textId="77777777" w:rsidR="003B3105" w:rsidRDefault="003B3105" w:rsidP="001E533B">
            <w:pPr>
              <w:rPr>
                <w:rFonts w:ascii="新細明體" w:eastAsia="新細明體" w:hAnsi="新細明體"/>
              </w:rPr>
            </w:pPr>
          </w:p>
        </w:tc>
        <w:tc>
          <w:tcPr>
            <w:tcW w:w="5386" w:type="dxa"/>
            <w:tcBorders>
              <w:top w:val="nil"/>
              <w:bottom w:val="nil"/>
            </w:tcBorders>
          </w:tcPr>
          <w:p w14:paraId="05030B6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5387" w:type="dxa"/>
            <w:tcBorders>
              <w:top w:val="nil"/>
              <w:bottom w:val="nil"/>
            </w:tcBorders>
          </w:tcPr>
          <w:p w14:paraId="60D810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2023" w:type="dxa"/>
            <w:vMerge/>
            <w:tcBorders>
              <w:right w:val="single" w:sz="12" w:space="0" w:color="auto"/>
            </w:tcBorders>
          </w:tcPr>
          <w:p w14:paraId="5BFFF7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078ED5" w14:textId="77777777">
        <w:tc>
          <w:tcPr>
            <w:tcW w:w="1384" w:type="dxa"/>
            <w:vMerge/>
            <w:tcBorders>
              <w:left w:val="single" w:sz="12" w:space="0" w:color="auto"/>
            </w:tcBorders>
          </w:tcPr>
          <w:p w14:paraId="092DE962" w14:textId="77777777" w:rsidR="003B3105" w:rsidRDefault="003B3105" w:rsidP="001E533B">
            <w:pPr>
              <w:rPr>
                <w:rFonts w:ascii="新細明體" w:eastAsia="新細明體" w:hAnsi="新細明體"/>
              </w:rPr>
            </w:pPr>
          </w:p>
        </w:tc>
        <w:tc>
          <w:tcPr>
            <w:tcW w:w="1276" w:type="dxa"/>
            <w:vMerge/>
          </w:tcPr>
          <w:p w14:paraId="415F1B8F" w14:textId="77777777" w:rsidR="003B3105" w:rsidRDefault="003B3105" w:rsidP="001E533B">
            <w:pPr>
              <w:rPr>
                <w:rFonts w:ascii="新細明體" w:eastAsia="新細明體" w:hAnsi="新細明體"/>
              </w:rPr>
            </w:pPr>
          </w:p>
        </w:tc>
        <w:tc>
          <w:tcPr>
            <w:tcW w:w="5386" w:type="dxa"/>
            <w:tcBorders>
              <w:top w:val="nil"/>
              <w:bottom w:val="nil"/>
            </w:tcBorders>
          </w:tcPr>
          <w:p w14:paraId="78B1174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除語音委託外，其買賣委託、委託回報及成交回報等電子文件之傳輸，應使用憑證機構所簽發之電子簽章簽署，憑以辨識及確認，但有下列情形者不在此限：</w:t>
            </w:r>
          </w:p>
        </w:tc>
        <w:tc>
          <w:tcPr>
            <w:tcW w:w="5387" w:type="dxa"/>
            <w:tcBorders>
              <w:top w:val="nil"/>
              <w:bottom w:val="nil"/>
            </w:tcBorders>
          </w:tcPr>
          <w:p w14:paraId="3CD8342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除語音委託外，其買賣委託、委託回報及成交回報等電子文件之傳輸，應使用憑證機構所簽發之電子簽章簽署，憑以辨識及確認，但有下列情形者不在此限：</w:t>
            </w:r>
          </w:p>
        </w:tc>
        <w:tc>
          <w:tcPr>
            <w:tcW w:w="2023" w:type="dxa"/>
            <w:vMerge/>
            <w:tcBorders>
              <w:right w:val="single" w:sz="12" w:space="0" w:color="auto"/>
            </w:tcBorders>
          </w:tcPr>
          <w:p w14:paraId="4D5578C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2A51374" w14:textId="77777777">
        <w:tc>
          <w:tcPr>
            <w:tcW w:w="1384" w:type="dxa"/>
            <w:vMerge/>
            <w:tcBorders>
              <w:left w:val="single" w:sz="12" w:space="0" w:color="auto"/>
            </w:tcBorders>
          </w:tcPr>
          <w:p w14:paraId="33FF7D16" w14:textId="77777777" w:rsidR="003B3105" w:rsidRDefault="003B3105" w:rsidP="001E533B">
            <w:pPr>
              <w:rPr>
                <w:rFonts w:ascii="新細明體" w:eastAsia="新細明體" w:hAnsi="新細明體"/>
              </w:rPr>
            </w:pPr>
          </w:p>
        </w:tc>
        <w:tc>
          <w:tcPr>
            <w:tcW w:w="1276" w:type="dxa"/>
            <w:vMerge/>
          </w:tcPr>
          <w:p w14:paraId="6B6E8A8F" w14:textId="77777777" w:rsidR="003B3105" w:rsidRDefault="003B3105" w:rsidP="001E533B">
            <w:pPr>
              <w:rPr>
                <w:rFonts w:ascii="新細明體" w:eastAsia="新細明體" w:hAnsi="新細明體"/>
              </w:rPr>
            </w:pPr>
          </w:p>
        </w:tc>
        <w:tc>
          <w:tcPr>
            <w:tcW w:w="5386" w:type="dxa"/>
            <w:tcBorders>
              <w:top w:val="nil"/>
              <w:bottom w:val="nil"/>
            </w:tcBorders>
          </w:tcPr>
          <w:p w14:paraId="0AC67A6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5387" w:type="dxa"/>
            <w:tcBorders>
              <w:top w:val="nil"/>
              <w:bottom w:val="nil"/>
            </w:tcBorders>
          </w:tcPr>
          <w:p w14:paraId="7B535F6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(1)委託回報及成交回報採電話、傳真、簡訊、語音或網頁程式者。</w:t>
            </w:r>
          </w:p>
        </w:tc>
        <w:tc>
          <w:tcPr>
            <w:tcW w:w="2023" w:type="dxa"/>
            <w:vMerge/>
            <w:tcBorders>
              <w:right w:val="single" w:sz="12" w:space="0" w:color="auto"/>
            </w:tcBorders>
          </w:tcPr>
          <w:p w14:paraId="4880721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7A51E6" w14:textId="77777777">
        <w:tc>
          <w:tcPr>
            <w:tcW w:w="1384" w:type="dxa"/>
            <w:vMerge/>
            <w:tcBorders>
              <w:left w:val="single" w:sz="12" w:space="0" w:color="auto"/>
            </w:tcBorders>
          </w:tcPr>
          <w:p w14:paraId="11E806BC" w14:textId="77777777" w:rsidR="003B3105" w:rsidRDefault="003B3105" w:rsidP="001E533B">
            <w:pPr>
              <w:rPr>
                <w:rFonts w:ascii="新細明體" w:eastAsia="新細明體" w:hAnsi="新細明體"/>
              </w:rPr>
            </w:pPr>
          </w:p>
        </w:tc>
        <w:tc>
          <w:tcPr>
            <w:tcW w:w="1276" w:type="dxa"/>
            <w:vMerge/>
          </w:tcPr>
          <w:p w14:paraId="0D57199E" w14:textId="77777777" w:rsidR="003B3105" w:rsidRDefault="003B3105" w:rsidP="001E533B">
            <w:pPr>
              <w:rPr>
                <w:rFonts w:ascii="新細明體" w:eastAsia="新細明體" w:hAnsi="新細明體"/>
              </w:rPr>
            </w:pPr>
          </w:p>
        </w:tc>
        <w:tc>
          <w:tcPr>
            <w:tcW w:w="5386" w:type="dxa"/>
            <w:tcBorders>
              <w:top w:val="nil"/>
              <w:bottom w:val="nil"/>
            </w:tcBorders>
          </w:tcPr>
          <w:p w14:paraId="617E792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(2)符合證交所或櫃檯買賣中心「證券經紀商辦理電子式專屬線路下單（DIRECT MARKET ACCESS ）作業要點」豁免</w:t>
            </w:r>
            <w:r>
              <w:rPr>
                <w:rFonts w:ascii="新細明體" w:eastAsia="新細明體" w:hAnsi="新細明體" w:cs="新細明體" w:hint="eastAsia"/>
              </w:rPr>
              <w:lastRenderedPageBreak/>
              <w:t>條件者。</w:t>
            </w:r>
          </w:p>
        </w:tc>
        <w:tc>
          <w:tcPr>
            <w:tcW w:w="5387" w:type="dxa"/>
            <w:tcBorders>
              <w:top w:val="nil"/>
              <w:bottom w:val="nil"/>
            </w:tcBorders>
          </w:tcPr>
          <w:p w14:paraId="4BFB5E5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(2)符合證交所或櫃檯買賣中心「證券經紀商辦理電子式專屬線路下單（DIRECT MARKET ACCESS ）作業要點」豁免</w:t>
            </w:r>
            <w:r>
              <w:rPr>
                <w:rFonts w:ascii="新細明體" w:eastAsia="新細明體" w:hAnsi="新細明體" w:cs="新細明體" w:hint="eastAsia"/>
              </w:rPr>
              <w:lastRenderedPageBreak/>
              <w:t>條件者。</w:t>
            </w:r>
          </w:p>
        </w:tc>
        <w:tc>
          <w:tcPr>
            <w:tcW w:w="2023" w:type="dxa"/>
            <w:vMerge/>
            <w:tcBorders>
              <w:right w:val="single" w:sz="12" w:space="0" w:color="auto"/>
            </w:tcBorders>
          </w:tcPr>
          <w:p w14:paraId="055FAC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8871DC" w14:textId="77777777">
        <w:tc>
          <w:tcPr>
            <w:tcW w:w="1384" w:type="dxa"/>
            <w:vMerge/>
            <w:tcBorders>
              <w:left w:val="single" w:sz="12" w:space="0" w:color="auto"/>
            </w:tcBorders>
          </w:tcPr>
          <w:p w14:paraId="69A4AECE" w14:textId="77777777" w:rsidR="003B3105" w:rsidRDefault="003B3105" w:rsidP="001E533B">
            <w:pPr>
              <w:rPr>
                <w:rFonts w:ascii="新細明體" w:eastAsia="新細明體" w:hAnsi="新細明體"/>
              </w:rPr>
            </w:pPr>
          </w:p>
        </w:tc>
        <w:tc>
          <w:tcPr>
            <w:tcW w:w="1276" w:type="dxa"/>
            <w:vMerge/>
          </w:tcPr>
          <w:p w14:paraId="6DD31543" w14:textId="77777777" w:rsidR="003B3105" w:rsidRDefault="003B3105" w:rsidP="001E533B">
            <w:pPr>
              <w:rPr>
                <w:rFonts w:ascii="新細明體" w:eastAsia="新細明體" w:hAnsi="新細明體"/>
              </w:rPr>
            </w:pPr>
          </w:p>
        </w:tc>
        <w:tc>
          <w:tcPr>
            <w:tcW w:w="5386" w:type="dxa"/>
            <w:tcBorders>
              <w:top w:val="nil"/>
              <w:bottom w:val="nil"/>
            </w:tcBorders>
          </w:tcPr>
          <w:p w14:paraId="55E391EA"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採網際網路等電子式交易型態交易所使用之交易主機，其受託買賣有價證券檢查點控制項目，應涵蓋證券管理法令之買賣限制或禁止規定，並至少包含下列各項︰</w:t>
            </w:r>
          </w:p>
        </w:tc>
        <w:tc>
          <w:tcPr>
            <w:tcW w:w="5387" w:type="dxa"/>
            <w:tcBorders>
              <w:top w:val="nil"/>
              <w:bottom w:val="nil"/>
            </w:tcBorders>
          </w:tcPr>
          <w:p w14:paraId="1661B17A" w14:textId="77777777" w:rsidR="003B3105" w:rsidRPr="00F6439B" w:rsidRDefault="0027008E" w:rsidP="003B3105">
            <w:pPr>
              <w:spacing w:line="360" w:lineRule="exact"/>
              <w:ind w:leftChars="460" w:left="1196"/>
              <w:rPr>
                <w:rFonts w:ascii="新細明體" w:eastAsia="新細明體" w:hAnsi="新細明體" w:cs="新細明體"/>
              </w:rPr>
            </w:pPr>
            <w:r>
              <w:rPr>
                <w:rFonts w:ascii="新細明體" w:eastAsia="新細明體" w:hAnsi="新細明體" w:cs="新細明體" w:hint="eastAsia"/>
              </w:rPr>
              <w:t>採網際網路等電子式交易型態交易所使用之交易主機，其受託買賣有價證券檢查點控制項目，應涵蓋證券管理法令之買賣限制或禁止規定，並至少包含下列各項︰</w:t>
            </w:r>
          </w:p>
        </w:tc>
        <w:tc>
          <w:tcPr>
            <w:tcW w:w="2023" w:type="dxa"/>
            <w:vMerge/>
            <w:tcBorders>
              <w:right w:val="single" w:sz="12" w:space="0" w:color="auto"/>
            </w:tcBorders>
          </w:tcPr>
          <w:p w14:paraId="3CE245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165AC0" w14:textId="77777777">
        <w:tc>
          <w:tcPr>
            <w:tcW w:w="1384" w:type="dxa"/>
            <w:vMerge/>
            <w:tcBorders>
              <w:left w:val="single" w:sz="12" w:space="0" w:color="auto"/>
            </w:tcBorders>
          </w:tcPr>
          <w:p w14:paraId="4084E02F" w14:textId="77777777" w:rsidR="003B3105" w:rsidRDefault="003B3105" w:rsidP="001E533B">
            <w:pPr>
              <w:rPr>
                <w:rFonts w:ascii="新細明體" w:eastAsia="新細明體" w:hAnsi="新細明體"/>
              </w:rPr>
            </w:pPr>
          </w:p>
        </w:tc>
        <w:tc>
          <w:tcPr>
            <w:tcW w:w="1276" w:type="dxa"/>
            <w:vMerge/>
          </w:tcPr>
          <w:p w14:paraId="44994E0E" w14:textId="77777777" w:rsidR="003B3105" w:rsidRDefault="003B3105" w:rsidP="001E533B">
            <w:pPr>
              <w:rPr>
                <w:rFonts w:ascii="新細明體" w:eastAsia="新細明體" w:hAnsi="新細明體"/>
              </w:rPr>
            </w:pPr>
          </w:p>
        </w:tc>
        <w:tc>
          <w:tcPr>
            <w:tcW w:w="5386" w:type="dxa"/>
            <w:tcBorders>
              <w:top w:val="nil"/>
              <w:bottom w:val="nil"/>
            </w:tcBorders>
          </w:tcPr>
          <w:p w14:paraId="485446E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3.委託買賣證券標的的正確性及其漲跌幅限制之控管。</w:t>
            </w:r>
          </w:p>
        </w:tc>
        <w:tc>
          <w:tcPr>
            <w:tcW w:w="5387" w:type="dxa"/>
            <w:tcBorders>
              <w:top w:val="nil"/>
              <w:bottom w:val="nil"/>
            </w:tcBorders>
          </w:tcPr>
          <w:p w14:paraId="6430E14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3.委託買賣證券標的的正確性及其漲跌幅限制之控管。</w:t>
            </w:r>
          </w:p>
        </w:tc>
        <w:tc>
          <w:tcPr>
            <w:tcW w:w="2023" w:type="dxa"/>
            <w:vMerge/>
            <w:tcBorders>
              <w:right w:val="single" w:sz="12" w:space="0" w:color="auto"/>
            </w:tcBorders>
          </w:tcPr>
          <w:p w14:paraId="423E9CE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55F76F" w14:textId="77777777">
        <w:tc>
          <w:tcPr>
            <w:tcW w:w="1384" w:type="dxa"/>
            <w:vMerge/>
            <w:tcBorders>
              <w:left w:val="single" w:sz="12" w:space="0" w:color="auto"/>
            </w:tcBorders>
          </w:tcPr>
          <w:p w14:paraId="2FA47C39" w14:textId="77777777" w:rsidR="003B3105" w:rsidRDefault="003B3105" w:rsidP="001E533B">
            <w:pPr>
              <w:rPr>
                <w:rFonts w:ascii="新細明體" w:eastAsia="新細明體" w:hAnsi="新細明體"/>
              </w:rPr>
            </w:pPr>
          </w:p>
        </w:tc>
        <w:tc>
          <w:tcPr>
            <w:tcW w:w="1276" w:type="dxa"/>
            <w:vMerge/>
          </w:tcPr>
          <w:p w14:paraId="543E75F1" w14:textId="77777777" w:rsidR="003B3105" w:rsidRDefault="003B3105" w:rsidP="001E533B">
            <w:pPr>
              <w:rPr>
                <w:rFonts w:ascii="新細明體" w:eastAsia="新細明體" w:hAnsi="新細明體"/>
              </w:rPr>
            </w:pPr>
          </w:p>
        </w:tc>
        <w:tc>
          <w:tcPr>
            <w:tcW w:w="5386" w:type="dxa"/>
            <w:tcBorders>
              <w:top w:val="nil"/>
              <w:bottom w:val="nil"/>
            </w:tcBorders>
          </w:tcPr>
          <w:p w14:paraId="7B3F733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4.客戶單日買賣最高額度及信用交易額度之控管，同一證券商（含總分公司）同一客戶之單日買賣最高額度及信用交易額度應予歸戶計算。</w:t>
            </w:r>
          </w:p>
        </w:tc>
        <w:tc>
          <w:tcPr>
            <w:tcW w:w="5387" w:type="dxa"/>
            <w:tcBorders>
              <w:top w:val="nil"/>
              <w:bottom w:val="nil"/>
            </w:tcBorders>
          </w:tcPr>
          <w:p w14:paraId="4C340E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4.客戶單日買賣最高額度及信用交易額度之控管，同一證券商（含總分公司）同一客戶之單日買賣最高額度及信用交易額度應予歸戶計算。</w:t>
            </w:r>
          </w:p>
        </w:tc>
        <w:tc>
          <w:tcPr>
            <w:tcW w:w="2023" w:type="dxa"/>
            <w:vMerge/>
            <w:tcBorders>
              <w:right w:val="single" w:sz="12" w:space="0" w:color="auto"/>
            </w:tcBorders>
          </w:tcPr>
          <w:p w14:paraId="042D5D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B50D9F" w14:textId="77777777">
        <w:tc>
          <w:tcPr>
            <w:tcW w:w="1384" w:type="dxa"/>
            <w:vMerge/>
            <w:tcBorders>
              <w:left w:val="single" w:sz="12" w:space="0" w:color="auto"/>
            </w:tcBorders>
          </w:tcPr>
          <w:p w14:paraId="0C0231C6" w14:textId="77777777" w:rsidR="003B3105" w:rsidRDefault="003B3105" w:rsidP="001E533B">
            <w:pPr>
              <w:rPr>
                <w:rFonts w:ascii="新細明體" w:eastAsia="新細明體" w:hAnsi="新細明體"/>
              </w:rPr>
            </w:pPr>
          </w:p>
        </w:tc>
        <w:tc>
          <w:tcPr>
            <w:tcW w:w="1276" w:type="dxa"/>
            <w:vMerge/>
          </w:tcPr>
          <w:p w14:paraId="4B3C213E" w14:textId="77777777" w:rsidR="003B3105" w:rsidRDefault="003B3105" w:rsidP="001E533B">
            <w:pPr>
              <w:rPr>
                <w:rFonts w:ascii="新細明體" w:eastAsia="新細明體" w:hAnsi="新細明體"/>
              </w:rPr>
            </w:pPr>
          </w:p>
        </w:tc>
        <w:tc>
          <w:tcPr>
            <w:tcW w:w="5386" w:type="dxa"/>
            <w:tcBorders>
              <w:top w:val="nil"/>
              <w:bottom w:val="nil"/>
            </w:tcBorders>
          </w:tcPr>
          <w:p w14:paraId="5CD416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5387" w:type="dxa"/>
            <w:tcBorders>
              <w:top w:val="nil"/>
              <w:bottom w:val="nil"/>
            </w:tcBorders>
          </w:tcPr>
          <w:p w14:paraId="4F7890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2023" w:type="dxa"/>
            <w:vMerge/>
            <w:tcBorders>
              <w:right w:val="single" w:sz="12" w:space="0" w:color="auto"/>
            </w:tcBorders>
          </w:tcPr>
          <w:p w14:paraId="5F58AB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56B94" w14:textId="77777777">
        <w:tc>
          <w:tcPr>
            <w:tcW w:w="1384" w:type="dxa"/>
            <w:vMerge/>
            <w:tcBorders>
              <w:left w:val="single" w:sz="12" w:space="0" w:color="auto"/>
            </w:tcBorders>
          </w:tcPr>
          <w:p w14:paraId="27D8803A" w14:textId="77777777" w:rsidR="003B3105" w:rsidRDefault="003B3105" w:rsidP="001E533B">
            <w:pPr>
              <w:rPr>
                <w:rFonts w:ascii="新細明體" w:eastAsia="新細明體" w:hAnsi="新細明體"/>
              </w:rPr>
            </w:pPr>
          </w:p>
        </w:tc>
        <w:tc>
          <w:tcPr>
            <w:tcW w:w="1276" w:type="dxa"/>
            <w:vMerge/>
          </w:tcPr>
          <w:p w14:paraId="37BC0763" w14:textId="77777777" w:rsidR="003B3105" w:rsidRDefault="003B3105" w:rsidP="001E533B">
            <w:pPr>
              <w:rPr>
                <w:rFonts w:ascii="新細明體" w:eastAsia="新細明體" w:hAnsi="新細明體"/>
              </w:rPr>
            </w:pPr>
          </w:p>
        </w:tc>
        <w:tc>
          <w:tcPr>
            <w:tcW w:w="5386" w:type="dxa"/>
            <w:tcBorders>
              <w:top w:val="nil"/>
              <w:bottom w:val="nil"/>
            </w:tcBorders>
          </w:tcPr>
          <w:p w14:paraId="437444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5387" w:type="dxa"/>
            <w:tcBorders>
              <w:top w:val="nil"/>
              <w:bottom w:val="nil"/>
            </w:tcBorders>
          </w:tcPr>
          <w:p w14:paraId="5E70B1F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2023" w:type="dxa"/>
            <w:vMerge/>
            <w:tcBorders>
              <w:right w:val="single" w:sz="12" w:space="0" w:color="auto"/>
            </w:tcBorders>
          </w:tcPr>
          <w:p w14:paraId="2467C0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E09981E" w14:textId="77777777">
        <w:tc>
          <w:tcPr>
            <w:tcW w:w="1384" w:type="dxa"/>
            <w:vMerge/>
            <w:tcBorders>
              <w:left w:val="single" w:sz="12" w:space="0" w:color="auto"/>
            </w:tcBorders>
          </w:tcPr>
          <w:p w14:paraId="570CE21C" w14:textId="77777777" w:rsidR="003B3105" w:rsidRDefault="003B3105" w:rsidP="001E533B">
            <w:pPr>
              <w:rPr>
                <w:rFonts w:ascii="新細明體" w:eastAsia="新細明體" w:hAnsi="新細明體"/>
              </w:rPr>
            </w:pPr>
          </w:p>
        </w:tc>
        <w:tc>
          <w:tcPr>
            <w:tcW w:w="1276" w:type="dxa"/>
            <w:vMerge/>
          </w:tcPr>
          <w:p w14:paraId="244B21BE" w14:textId="77777777" w:rsidR="003B3105" w:rsidRDefault="003B3105" w:rsidP="001E533B">
            <w:pPr>
              <w:rPr>
                <w:rFonts w:ascii="新細明體" w:eastAsia="新細明體" w:hAnsi="新細明體"/>
              </w:rPr>
            </w:pPr>
          </w:p>
        </w:tc>
        <w:tc>
          <w:tcPr>
            <w:tcW w:w="5386" w:type="dxa"/>
            <w:tcBorders>
              <w:top w:val="nil"/>
              <w:bottom w:val="nil"/>
            </w:tcBorders>
          </w:tcPr>
          <w:p w14:paraId="715A3A2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7.特殊身分客戶交易限制之控管，如華僑、外國人等。</w:t>
            </w:r>
          </w:p>
        </w:tc>
        <w:tc>
          <w:tcPr>
            <w:tcW w:w="5387" w:type="dxa"/>
            <w:tcBorders>
              <w:top w:val="nil"/>
              <w:bottom w:val="nil"/>
            </w:tcBorders>
          </w:tcPr>
          <w:p w14:paraId="2D75087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7.特殊身分客戶交易限制之控管，如華僑、外國人等。</w:t>
            </w:r>
          </w:p>
        </w:tc>
        <w:tc>
          <w:tcPr>
            <w:tcW w:w="2023" w:type="dxa"/>
            <w:vMerge/>
            <w:tcBorders>
              <w:right w:val="single" w:sz="12" w:space="0" w:color="auto"/>
            </w:tcBorders>
          </w:tcPr>
          <w:p w14:paraId="7DD2761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22E7D4" w14:textId="77777777">
        <w:tc>
          <w:tcPr>
            <w:tcW w:w="1384" w:type="dxa"/>
            <w:vMerge/>
            <w:tcBorders>
              <w:left w:val="single" w:sz="12" w:space="0" w:color="auto"/>
            </w:tcBorders>
          </w:tcPr>
          <w:p w14:paraId="211D7444" w14:textId="77777777" w:rsidR="003B3105" w:rsidRDefault="003B3105" w:rsidP="001E533B">
            <w:pPr>
              <w:rPr>
                <w:rFonts w:ascii="新細明體" w:eastAsia="新細明體" w:hAnsi="新細明體"/>
              </w:rPr>
            </w:pPr>
          </w:p>
        </w:tc>
        <w:tc>
          <w:tcPr>
            <w:tcW w:w="1276" w:type="dxa"/>
            <w:vMerge/>
          </w:tcPr>
          <w:p w14:paraId="0202257B" w14:textId="77777777" w:rsidR="003B3105" w:rsidRDefault="003B3105" w:rsidP="001E533B">
            <w:pPr>
              <w:rPr>
                <w:rFonts w:ascii="新細明體" w:eastAsia="新細明體" w:hAnsi="新細明體"/>
              </w:rPr>
            </w:pPr>
          </w:p>
        </w:tc>
        <w:tc>
          <w:tcPr>
            <w:tcW w:w="5386" w:type="dxa"/>
            <w:tcBorders>
              <w:top w:val="nil"/>
              <w:bottom w:val="nil"/>
            </w:tcBorders>
          </w:tcPr>
          <w:p w14:paraId="27648BD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5387" w:type="dxa"/>
            <w:tcBorders>
              <w:top w:val="nil"/>
              <w:bottom w:val="nil"/>
            </w:tcBorders>
          </w:tcPr>
          <w:p w14:paraId="5754AA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2023" w:type="dxa"/>
            <w:vMerge/>
            <w:tcBorders>
              <w:right w:val="single" w:sz="12" w:space="0" w:color="auto"/>
            </w:tcBorders>
          </w:tcPr>
          <w:p w14:paraId="6613EAC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C5A080" w14:textId="77777777">
        <w:tc>
          <w:tcPr>
            <w:tcW w:w="1384" w:type="dxa"/>
            <w:vMerge/>
            <w:tcBorders>
              <w:left w:val="single" w:sz="12" w:space="0" w:color="auto"/>
            </w:tcBorders>
          </w:tcPr>
          <w:p w14:paraId="47247C71" w14:textId="77777777" w:rsidR="003B3105" w:rsidRDefault="003B3105" w:rsidP="001E533B">
            <w:pPr>
              <w:rPr>
                <w:rFonts w:ascii="新細明體" w:eastAsia="新細明體" w:hAnsi="新細明體"/>
              </w:rPr>
            </w:pPr>
          </w:p>
        </w:tc>
        <w:tc>
          <w:tcPr>
            <w:tcW w:w="1276" w:type="dxa"/>
            <w:vMerge/>
          </w:tcPr>
          <w:p w14:paraId="5DC6DF61" w14:textId="77777777" w:rsidR="003B3105" w:rsidRDefault="003B3105" w:rsidP="001E533B">
            <w:pPr>
              <w:rPr>
                <w:rFonts w:ascii="新細明體" w:eastAsia="新細明體" w:hAnsi="新細明體"/>
              </w:rPr>
            </w:pPr>
          </w:p>
        </w:tc>
        <w:tc>
          <w:tcPr>
            <w:tcW w:w="5386" w:type="dxa"/>
            <w:tcBorders>
              <w:top w:val="nil"/>
              <w:bottom w:val="nil"/>
            </w:tcBorders>
          </w:tcPr>
          <w:p w14:paraId="31746E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5387" w:type="dxa"/>
            <w:tcBorders>
              <w:top w:val="nil"/>
              <w:bottom w:val="nil"/>
            </w:tcBorders>
          </w:tcPr>
          <w:p w14:paraId="5ABBF0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2023" w:type="dxa"/>
            <w:vMerge/>
            <w:tcBorders>
              <w:right w:val="single" w:sz="12" w:space="0" w:color="auto"/>
            </w:tcBorders>
          </w:tcPr>
          <w:p w14:paraId="770960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666203" w14:textId="77777777">
        <w:tc>
          <w:tcPr>
            <w:tcW w:w="1384" w:type="dxa"/>
            <w:vMerge/>
            <w:tcBorders>
              <w:left w:val="single" w:sz="12" w:space="0" w:color="auto"/>
            </w:tcBorders>
          </w:tcPr>
          <w:p w14:paraId="61AB130F" w14:textId="77777777" w:rsidR="003B3105" w:rsidRDefault="003B3105" w:rsidP="001E533B">
            <w:pPr>
              <w:rPr>
                <w:rFonts w:ascii="新細明體" w:eastAsia="新細明體" w:hAnsi="新細明體"/>
              </w:rPr>
            </w:pPr>
          </w:p>
        </w:tc>
        <w:tc>
          <w:tcPr>
            <w:tcW w:w="1276" w:type="dxa"/>
            <w:vMerge/>
          </w:tcPr>
          <w:p w14:paraId="7B070801" w14:textId="77777777" w:rsidR="003B3105" w:rsidRDefault="003B3105" w:rsidP="001E533B">
            <w:pPr>
              <w:rPr>
                <w:rFonts w:ascii="新細明體" w:eastAsia="新細明體" w:hAnsi="新細明體"/>
              </w:rPr>
            </w:pPr>
          </w:p>
        </w:tc>
        <w:tc>
          <w:tcPr>
            <w:tcW w:w="5386" w:type="dxa"/>
            <w:tcBorders>
              <w:top w:val="nil"/>
              <w:bottom w:val="nil"/>
            </w:tcBorders>
          </w:tcPr>
          <w:p w14:paraId="57CAFB3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10.交易帳戶有效性之控管，如開戶手續未完備、違約及解約等帳戶之禁止買賣。</w:t>
            </w:r>
          </w:p>
        </w:tc>
        <w:tc>
          <w:tcPr>
            <w:tcW w:w="5387" w:type="dxa"/>
            <w:tcBorders>
              <w:top w:val="nil"/>
              <w:bottom w:val="nil"/>
            </w:tcBorders>
          </w:tcPr>
          <w:p w14:paraId="211503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10.交易帳戶有效性之控管，如開戶手續未完備、違約及解約等帳戶之禁止買賣。</w:t>
            </w:r>
          </w:p>
        </w:tc>
        <w:tc>
          <w:tcPr>
            <w:tcW w:w="2023" w:type="dxa"/>
            <w:vMerge/>
            <w:tcBorders>
              <w:right w:val="single" w:sz="12" w:space="0" w:color="auto"/>
            </w:tcBorders>
          </w:tcPr>
          <w:p w14:paraId="3E3F31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BE5C9E" w14:textId="77777777">
        <w:tc>
          <w:tcPr>
            <w:tcW w:w="1384" w:type="dxa"/>
            <w:vMerge/>
            <w:tcBorders>
              <w:left w:val="single" w:sz="12" w:space="0" w:color="auto"/>
            </w:tcBorders>
          </w:tcPr>
          <w:p w14:paraId="07CACD15" w14:textId="77777777" w:rsidR="003B3105" w:rsidRDefault="003B3105" w:rsidP="001E533B">
            <w:pPr>
              <w:rPr>
                <w:rFonts w:ascii="新細明體" w:eastAsia="新細明體" w:hAnsi="新細明體"/>
              </w:rPr>
            </w:pPr>
          </w:p>
        </w:tc>
        <w:tc>
          <w:tcPr>
            <w:tcW w:w="1276" w:type="dxa"/>
            <w:vMerge/>
          </w:tcPr>
          <w:p w14:paraId="0A2A56C1" w14:textId="77777777" w:rsidR="003B3105" w:rsidRDefault="003B3105" w:rsidP="001E533B">
            <w:pPr>
              <w:rPr>
                <w:rFonts w:ascii="新細明體" w:eastAsia="新細明體" w:hAnsi="新細明體"/>
              </w:rPr>
            </w:pPr>
          </w:p>
        </w:tc>
        <w:tc>
          <w:tcPr>
            <w:tcW w:w="5386" w:type="dxa"/>
            <w:tcBorders>
              <w:top w:val="nil"/>
              <w:bottom w:val="nil"/>
            </w:tcBorders>
          </w:tcPr>
          <w:p w14:paraId="154EDF7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11.客戶委託賣出證券時集保餘額之檢查；依規定應指定保管銀行（保管機構）之客戶，公司得視風險管控之需要，自行決定是否檢查其集保餘額。</w:t>
            </w:r>
          </w:p>
        </w:tc>
        <w:tc>
          <w:tcPr>
            <w:tcW w:w="5387" w:type="dxa"/>
            <w:tcBorders>
              <w:top w:val="nil"/>
              <w:bottom w:val="nil"/>
            </w:tcBorders>
          </w:tcPr>
          <w:p w14:paraId="0DDF984C"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11.客戶委託賣出證券時集保餘額之檢查；依規定應指定保管銀行（保管機構）之客戶，公司得視風險管控之需要，自行決定是否檢查其集保餘額。</w:t>
            </w:r>
          </w:p>
        </w:tc>
        <w:tc>
          <w:tcPr>
            <w:tcW w:w="2023" w:type="dxa"/>
            <w:vMerge/>
            <w:tcBorders>
              <w:right w:val="single" w:sz="12" w:space="0" w:color="auto"/>
            </w:tcBorders>
          </w:tcPr>
          <w:p w14:paraId="55E25A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66274B" w14:textId="77777777">
        <w:tc>
          <w:tcPr>
            <w:tcW w:w="1384" w:type="dxa"/>
            <w:vMerge/>
            <w:tcBorders>
              <w:left w:val="single" w:sz="12" w:space="0" w:color="auto"/>
            </w:tcBorders>
          </w:tcPr>
          <w:p w14:paraId="0CF40034" w14:textId="77777777" w:rsidR="003B3105" w:rsidRDefault="003B3105" w:rsidP="001E533B">
            <w:pPr>
              <w:rPr>
                <w:rFonts w:ascii="新細明體" w:eastAsia="新細明體" w:hAnsi="新細明體"/>
              </w:rPr>
            </w:pPr>
          </w:p>
        </w:tc>
        <w:tc>
          <w:tcPr>
            <w:tcW w:w="1276" w:type="dxa"/>
            <w:vMerge/>
          </w:tcPr>
          <w:p w14:paraId="07B88676" w14:textId="77777777" w:rsidR="003B3105" w:rsidRDefault="003B3105" w:rsidP="001E533B">
            <w:pPr>
              <w:rPr>
                <w:rFonts w:ascii="新細明體" w:eastAsia="新細明體" w:hAnsi="新細明體"/>
              </w:rPr>
            </w:pPr>
          </w:p>
        </w:tc>
        <w:tc>
          <w:tcPr>
            <w:tcW w:w="5386" w:type="dxa"/>
            <w:tcBorders>
              <w:top w:val="nil"/>
              <w:bottom w:val="nil"/>
            </w:tcBorders>
          </w:tcPr>
          <w:p w14:paraId="4D0B1FD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(十四)公司開辦網際網路等電子式交易型態業務時，與交易有關之業務憑證，包括書面文件或電磁紀錄，其保存年限比照「證券商帳表憑證保存年限表」規定辦理。</w:t>
            </w:r>
          </w:p>
        </w:tc>
        <w:tc>
          <w:tcPr>
            <w:tcW w:w="5387" w:type="dxa"/>
            <w:tcBorders>
              <w:top w:val="nil"/>
              <w:bottom w:val="nil"/>
            </w:tcBorders>
          </w:tcPr>
          <w:p w14:paraId="3ED1D6D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(十四)公司開辦網際網路等電子式交易型態業務時，與交易有關之業務憑證，包括書面文件或電磁紀錄，其保存年限比照「證券商帳表憑證保存年限表」規定辦理。</w:t>
            </w:r>
          </w:p>
        </w:tc>
        <w:tc>
          <w:tcPr>
            <w:tcW w:w="2023" w:type="dxa"/>
            <w:vMerge/>
            <w:tcBorders>
              <w:right w:val="single" w:sz="12" w:space="0" w:color="auto"/>
            </w:tcBorders>
          </w:tcPr>
          <w:p w14:paraId="132CF9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BBE60D" w14:textId="77777777">
        <w:tc>
          <w:tcPr>
            <w:tcW w:w="1384" w:type="dxa"/>
            <w:vMerge/>
            <w:tcBorders>
              <w:left w:val="single" w:sz="12" w:space="0" w:color="auto"/>
            </w:tcBorders>
          </w:tcPr>
          <w:p w14:paraId="4CFE33EC" w14:textId="77777777" w:rsidR="003B3105" w:rsidRDefault="003B3105" w:rsidP="001E533B">
            <w:pPr>
              <w:rPr>
                <w:rFonts w:ascii="新細明體" w:eastAsia="新細明體" w:hAnsi="新細明體"/>
              </w:rPr>
            </w:pPr>
          </w:p>
        </w:tc>
        <w:tc>
          <w:tcPr>
            <w:tcW w:w="1276" w:type="dxa"/>
            <w:vMerge/>
          </w:tcPr>
          <w:p w14:paraId="4F1AD01B" w14:textId="77777777" w:rsidR="003B3105" w:rsidRDefault="003B3105" w:rsidP="001E533B">
            <w:pPr>
              <w:rPr>
                <w:rFonts w:ascii="新細明體" w:eastAsia="新細明體" w:hAnsi="新細明體"/>
              </w:rPr>
            </w:pPr>
          </w:p>
        </w:tc>
        <w:tc>
          <w:tcPr>
            <w:tcW w:w="5386" w:type="dxa"/>
            <w:tcBorders>
              <w:top w:val="nil"/>
              <w:bottom w:val="nil"/>
            </w:tcBorders>
          </w:tcPr>
          <w:p w14:paraId="52AE80D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(十五)對客戶經由網際網路等電子式交易型態所為之交易委託及查詢，其電腦稽核紀錄(log)應至少保留五年，但買賣委託有爭議者，應保留至爭議消除為止。</w:t>
            </w:r>
          </w:p>
        </w:tc>
        <w:tc>
          <w:tcPr>
            <w:tcW w:w="5387" w:type="dxa"/>
            <w:tcBorders>
              <w:top w:val="nil"/>
              <w:bottom w:val="nil"/>
            </w:tcBorders>
          </w:tcPr>
          <w:p w14:paraId="0B907FB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(十五)對客戶經由網際網路等電子式交易型態所為之交易委託及查詢，其電腦稽核紀錄(log)應至少保留五年，但買賣委託有爭議者，應保留至爭議消除為止。</w:t>
            </w:r>
          </w:p>
        </w:tc>
        <w:tc>
          <w:tcPr>
            <w:tcW w:w="2023" w:type="dxa"/>
            <w:vMerge/>
            <w:tcBorders>
              <w:right w:val="single" w:sz="12" w:space="0" w:color="auto"/>
            </w:tcBorders>
          </w:tcPr>
          <w:p w14:paraId="41801BE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B85991" w14:textId="77777777">
        <w:tc>
          <w:tcPr>
            <w:tcW w:w="1384" w:type="dxa"/>
            <w:vMerge/>
            <w:tcBorders>
              <w:left w:val="single" w:sz="12" w:space="0" w:color="auto"/>
            </w:tcBorders>
          </w:tcPr>
          <w:p w14:paraId="45757F34" w14:textId="77777777" w:rsidR="003B3105" w:rsidRDefault="003B3105" w:rsidP="001E533B">
            <w:pPr>
              <w:rPr>
                <w:rFonts w:ascii="新細明體" w:eastAsia="新細明體" w:hAnsi="新細明體"/>
              </w:rPr>
            </w:pPr>
          </w:p>
        </w:tc>
        <w:tc>
          <w:tcPr>
            <w:tcW w:w="1276" w:type="dxa"/>
            <w:vMerge/>
          </w:tcPr>
          <w:p w14:paraId="479DB8BE" w14:textId="77777777" w:rsidR="003B3105" w:rsidRDefault="003B3105" w:rsidP="001E533B">
            <w:pPr>
              <w:rPr>
                <w:rFonts w:ascii="新細明體" w:eastAsia="新細明體" w:hAnsi="新細明體"/>
              </w:rPr>
            </w:pPr>
          </w:p>
        </w:tc>
        <w:tc>
          <w:tcPr>
            <w:tcW w:w="5386" w:type="dxa"/>
            <w:tcBorders>
              <w:top w:val="nil"/>
              <w:bottom w:val="nil"/>
            </w:tcBorders>
          </w:tcPr>
          <w:p w14:paraId="08C53C7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(十六)營業員應於營業櫃檯內接單。</w:t>
            </w:r>
          </w:p>
        </w:tc>
        <w:tc>
          <w:tcPr>
            <w:tcW w:w="5387" w:type="dxa"/>
            <w:tcBorders>
              <w:top w:val="nil"/>
              <w:bottom w:val="nil"/>
            </w:tcBorders>
          </w:tcPr>
          <w:p w14:paraId="11ADB39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(十六)營業員應於營業櫃檯內接單。</w:t>
            </w:r>
          </w:p>
        </w:tc>
        <w:tc>
          <w:tcPr>
            <w:tcW w:w="2023" w:type="dxa"/>
            <w:vMerge/>
            <w:tcBorders>
              <w:right w:val="single" w:sz="12" w:space="0" w:color="auto"/>
            </w:tcBorders>
          </w:tcPr>
          <w:p w14:paraId="4FCE91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DB2E4F" w14:textId="77777777">
        <w:tc>
          <w:tcPr>
            <w:tcW w:w="1384" w:type="dxa"/>
            <w:vMerge/>
            <w:tcBorders>
              <w:left w:val="single" w:sz="12" w:space="0" w:color="auto"/>
            </w:tcBorders>
          </w:tcPr>
          <w:p w14:paraId="3550EBD7" w14:textId="77777777" w:rsidR="003B3105" w:rsidRDefault="003B3105" w:rsidP="001E533B">
            <w:pPr>
              <w:rPr>
                <w:rFonts w:ascii="新細明體" w:eastAsia="新細明體" w:hAnsi="新細明體"/>
              </w:rPr>
            </w:pPr>
          </w:p>
        </w:tc>
        <w:tc>
          <w:tcPr>
            <w:tcW w:w="1276" w:type="dxa"/>
            <w:vMerge/>
          </w:tcPr>
          <w:p w14:paraId="7C745A9D" w14:textId="77777777" w:rsidR="003B3105" w:rsidRDefault="003B3105" w:rsidP="001E533B">
            <w:pPr>
              <w:rPr>
                <w:rFonts w:ascii="新細明體" w:eastAsia="新細明體" w:hAnsi="新細明體"/>
              </w:rPr>
            </w:pPr>
          </w:p>
        </w:tc>
        <w:tc>
          <w:tcPr>
            <w:tcW w:w="5386" w:type="dxa"/>
            <w:tcBorders>
              <w:top w:val="nil"/>
              <w:bottom w:val="nil"/>
            </w:tcBorders>
          </w:tcPr>
          <w:p w14:paraId="16C52C2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號碼者，應每週篩選語音下單未記錄發話端號碼之客戶明細，查明原因及確認是否為本人下單，並作成紀錄備查(同一</w:t>
            </w:r>
            <w:r>
              <w:rPr>
                <w:rFonts w:ascii="新細明體" w:eastAsia="新細明體" w:hAnsi="新細明體" w:cs="新細明體" w:hint="eastAsia"/>
              </w:rPr>
              <w:lastRenderedPageBreak/>
              <w:t>年度已作成紀錄者得不再執行查明作業，惟每年至少應重新向已查明未顯示發話號碼之客戶再進行查明作業)。</w:t>
            </w:r>
          </w:p>
        </w:tc>
        <w:tc>
          <w:tcPr>
            <w:tcW w:w="5387" w:type="dxa"/>
            <w:tcBorders>
              <w:top w:val="nil"/>
              <w:bottom w:val="nil"/>
            </w:tcBorders>
          </w:tcPr>
          <w:p w14:paraId="253AA17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七)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號碼者，應每週篩選語音下單未記錄發話端號碼之客戶明細，查明原因及確認是否為本人下單，並作成紀錄備查(同一</w:t>
            </w:r>
            <w:r>
              <w:rPr>
                <w:rFonts w:ascii="新細明體" w:eastAsia="新細明體" w:hAnsi="新細明體" w:cs="新細明體" w:hint="eastAsia"/>
              </w:rPr>
              <w:lastRenderedPageBreak/>
              <w:t>年度已作成紀錄者得不再執行查明作業，惟每年至少應重新向已查明未顯示發話號碼之客戶再進行查明作業)。</w:t>
            </w:r>
          </w:p>
        </w:tc>
        <w:tc>
          <w:tcPr>
            <w:tcW w:w="2023" w:type="dxa"/>
            <w:vMerge/>
            <w:tcBorders>
              <w:right w:val="single" w:sz="12" w:space="0" w:color="auto"/>
            </w:tcBorders>
          </w:tcPr>
          <w:p w14:paraId="555123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85B843" w14:textId="77777777">
        <w:tc>
          <w:tcPr>
            <w:tcW w:w="1384" w:type="dxa"/>
            <w:vMerge/>
            <w:tcBorders>
              <w:left w:val="single" w:sz="12" w:space="0" w:color="auto"/>
            </w:tcBorders>
          </w:tcPr>
          <w:p w14:paraId="078C5AEE" w14:textId="77777777" w:rsidR="003B3105" w:rsidRDefault="003B3105" w:rsidP="001E533B">
            <w:pPr>
              <w:rPr>
                <w:rFonts w:ascii="新細明體" w:eastAsia="新細明體" w:hAnsi="新細明體"/>
              </w:rPr>
            </w:pPr>
          </w:p>
        </w:tc>
        <w:tc>
          <w:tcPr>
            <w:tcW w:w="1276" w:type="dxa"/>
            <w:vMerge/>
          </w:tcPr>
          <w:p w14:paraId="2E8901DA" w14:textId="77777777" w:rsidR="003B3105" w:rsidRDefault="003B3105" w:rsidP="001E533B">
            <w:pPr>
              <w:rPr>
                <w:rFonts w:ascii="新細明體" w:eastAsia="新細明體" w:hAnsi="新細明體"/>
              </w:rPr>
            </w:pPr>
          </w:p>
        </w:tc>
        <w:tc>
          <w:tcPr>
            <w:tcW w:w="5386" w:type="dxa"/>
            <w:tcBorders>
              <w:top w:val="nil"/>
              <w:bottom w:val="nil"/>
            </w:tcBorders>
          </w:tcPr>
          <w:p w14:paraId="5918D42C"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5387" w:type="dxa"/>
            <w:tcBorders>
              <w:top w:val="nil"/>
              <w:bottom w:val="nil"/>
            </w:tcBorders>
          </w:tcPr>
          <w:p w14:paraId="28907CD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2023" w:type="dxa"/>
            <w:vMerge/>
            <w:tcBorders>
              <w:right w:val="single" w:sz="12" w:space="0" w:color="auto"/>
            </w:tcBorders>
          </w:tcPr>
          <w:p w14:paraId="4A1325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C6471E" w14:textId="77777777">
        <w:tc>
          <w:tcPr>
            <w:tcW w:w="1384" w:type="dxa"/>
            <w:vMerge/>
            <w:tcBorders>
              <w:left w:val="single" w:sz="12" w:space="0" w:color="auto"/>
            </w:tcBorders>
          </w:tcPr>
          <w:p w14:paraId="33FAD3C8" w14:textId="77777777" w:rsidR="003B3105" w:rsidRDefault="003B3105" w:rsidP="001E533B">
            <w:pPr>
              <w:rPr>
                <w:rFonts w:ascii="新細明體" w:eastAsia="新細明體" w:hAnsi="新細明體"/>
              </w:rPr>
            </w:pPr>
          </w:p>
        </w:tc>
        <w:tc>
          <w:tcPr>
            <w:tcW w:w="1276" w:type="dxa"/>
            <w:vMerge/>
          </w:tcPr>
          <w:p w14:paraId="389B79A5" w14:textId="77777777" w:rsidR="003B3105" w:rsidRDefault="003B3105" w:rsidP="001E533B">
            <w:pPr>
              <w:rPr>
                <w:rFonts w:ascii="新細明體" w:eastAsia="新細明體" w:hAnsi="新細明體"/>
              </w:rPr>
            </w:pPr>
          </w:p>
        </w:tc>
        <w:tc>
          <w:tcPr>
            <w:tcW w:w="5386" w:type="dxa"/>
            <w:tcBorders>
              <w:top w:val="nil"/>
              <w:bottom w:val="nil"/>
            </w:tcBorders>
          </w:tcPr>
          <w:p w14:paraId="3F968E8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1.使用無法修改與消除之電子儲存媒體，並於成交當日製作完成。</w:t>
            </w:r>
          </w:p>
        </w:tc>
        <w:tc>
          <w:tcPr>
            <w:tcW w:w="5387" w:type="dxa"/>
            <w:tcBorders>
              <w:top w:val="nil"/>
              <w:bottom w:val="nil"/>
            </w:tcBorders>
          </w:tcPr>
          <w:p w14:paraId="0DE7886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1.使用無法修改與消除之電子儲存媒體，並於成交當日製作完成。</w:t>
            </w:r>
          </w:p>
        </w:tc>
        <w:tc>
          <w:tcPr>
            <w:tcW w:w="2023" w:type="dxa"/>
            <w:vMerge/>
            <w:tcBorders>
              <w:right w:val="single" w:sz="12" w:space="0" w:color="auto"/>
            </w:tcBorders>
          </w:tcPr>
          <w:p w14:paraId="066773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8A5EF0" w14:textId="77777777">
        <w:tc>
          <w:tcPr>
            <w:tcW w:w="1384" w:type="dxa"/>
            <w:vMerge/>
            <w:tcBorders>
              <w:left w:val="single" w:sz="12" w:space="0" w:color="auto"/>
            </w:tcBorders>
          </w:tcPr>
          <w:p w14:paraId="56A33964" w14:textId="77777777" w:rsidR="003B3105" w:rsidRDefault="003B3105" w:rsidP="001E533B">
            <w:pPr>
              <w:rPr>
                <w:rFonts w:ascii="新細明體" w:eastAsia="新細明體" w:hAnsi="新細明體"/>
              </w:rPr>
            </w:pPr>
          </w:p>
        </w:tc>
        <w:tc>
          <w:tcPr>
            <w:tcW w:w="1276" w:type="dxa"/>
            <w:vMerge/>
          </w:tcPr>
          <w:p w14:paraId="4EDD95F5" w14:textId="77777777" w:rsidR="003B3105" w:rsidRDefault="003B3105" w:rsidP="001E533B">
            <w:pPr>
              <w:rPr>
                <w:rFonts w:ascii="新細明體" w:eastAsia="新細明體" w:hAnsi="新細明體"/>
              </w:rPr>
            </w:pPr>
          </w:p>
        </w:tc>
        <w:tc>
          <w:tcPr>
            <w:tcW w:w="5386" w:type="dxa"/>
            <w:tcBorders>
              <w:top w:val="nil"/>
              <w:bottom w:val="nil"/>
            </w:tcBorders>
          </w:tcPr>
          <w:p w14:paraId="25CEAF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2.建立完整目錄及管理程序。</w:t>
            </w:r>
          </w:p>
        </w:tc>
        <w:tc>
          <w:tcPr>
            <w:tcW w:w="5387" w:type="dxa"/>
            <w:tcBorders>
              <w:top w:val="nil"/>
              <w:bottom w:val="nil"/>
            </w:tcBorders>
          </w:tcPr>
          <w:p w14:paraId="053620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2.建立完整目錄及管理程序。</w:t>
            </w:r>
          </w:p>
        </w:tc>
        <w:tc>
          <w:tcPr>
            <w:tcW w:w="2023" w:type="dxa"/>
            <w:vMerge/>
            <w:tcBorders>
              <w:right w:val="single" w:sz="12" w:space="0" w:color="auto"/>
            </w:tcBorders>
          </w:tcPr>
          <w:p w14:paraId="0898A8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05415B" w14:textId="77777777">
        <w:tc>
          <w:tcPr>
            <w:tcW w:w="1384" w:type="dxa"/>
            <w:vMerge/>
            <w:tcBorders>
              <w:left w:val="single" w:sz="12" w:space="0" w:color="auto"/>
            </w:tcBorders>
          </w:tcPr>
          <w:p w14:paraId="4E690257" w14:textId="77777777" w:rsidR="003B3105" w:rsidRDefault="003B3105" w:rsidP="001E533B">
            <w:pPr>
              <w:rPr>
                <w:rFonts w:ascii="新細明體" w:eastAsia="新細明體" w:hAnsi="新細明體"/>
              </w:rPr>
            </w:pPr>
          </w:p>
        </w:tc>
        <w:tc>
          <w:tcPr>
            <w:tcW w:w="1276" w:type="dxa"/>
            <w:vMerge/>
          </w:tcPr>
          <w:p w14:paraId="2D8BA5B0" w14:textId="77777777" w:rsidR="003B3105" w:rsidRDefault="003B3105" w:rsidP="001E533B">
            <w:pPr>
              <w:rPr>
                <w:rFonts w:ascii="新細明體" w:eastAsia="新細明體" w:hAnsi="新細明體"/>
              </w:rPr>
            </w:pPr>
          </w:p>
        </w:tc>
        <w:tc>
          <w:tcPr>
            <w:tcW w:w="5386" w:type="dxa"/>
            <w:tcBorders>
              <w:top w:val="nil"/>
              <w:bottom w:val="nil"/>
            </w:tcBorders>
          </w:tcPr>
          <w:p w14:paraId="616021D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3.專人管理負責，並可隨時將電子媒體資料轉換成書面格式。</w:t>
            </w:r>
          </w:p>
        </w:tc>
        <w:tc>
          <w:tcPr>
            <w:tcW w:w="5387" w:type="dxa"/>
            <w:tcBorders>
              <w:top w:val="nil"/>
              <w:bottom w:val="nil"/>
            </w:tcBorders>
          </w:tcPr>
          <w:p w14:paraId="3FFFD55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3.專人管理負責，並可隨時將電子媒體資料轉換成書面格式。</w:t>
            </w:r>
          </w:p>
        </w:tc>
        <w:tc>
          <w:tcPr>
            <w:tcW w:w="2023" w:type="dxa"/>
            <w:vMerge/>
            <w:tcBorders>
              <w:right w:val="single" w:sz="12" w:space="0" w:color="auto"/>
            </w:tcBorders>
          </w:tcPr>
          <w:p w14:paraId="54A8D5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1A5345" w14:textId="77777777">
        <w:tc>
          <w:tcPr>
            <w:tcW w:w="1384" w:type="dxa"/>
            <w:vMerge/>
            <w:tcBorders>
              <w:left w:val="single" w:sz="12" w:space="0" w:color="auto"/>
            </w:tcBorders>
          </w:tcPr>
          <w:p w14:paraId="20A92F41" w14:textId="77777777" w:rsidR="003B3105" w:rsidRDefault="003B3105" w:rsidP="001E533B">
            <w:pPr>
              <w:rPr>
                <w:rFonts w:ascii="新細明體" w:eastAsia="新細明體" w:hAnsi="新細明體"/>
              </w:rPr>
            </w:pPr>
          </w:p>
        </w:tc>
        <w:tc>
          <w:tcPr>
            <w:tcW w:w="1276" w:type="dxa"/>
            <w:vMerge/>
          </w:tcPr>
          <w:p w14:paraId="1586995F" w14:textId="77777777" w:rsidR="003B3105" w:rsidRDefault="003B3105" w:rsidP="001E533B">
            <w:pPr>
              <w:rPr>
                <w:rFonts w:ascii="新細明體" w:eastAsia="新細明體" w:hAnsi="新細明體"/>
              </w:rPr>
            </w:pPr>
          </w:p>
        </w:tc>
        <w:tc>
          <w:tcPr>
            <w:tcW w:w="5386" w:type="dxa"/>
            <w:tcBorders>
              <w:top w:val="nil"/>
              <w:bottom w:val="nil"/>
            </w:tcBorders>
          </w:tcPr>
          <w:p w14:paraId="67B6934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5387" w:type="dxa"/>
            <w:tcBorders>
              <w:top w:val="nil"/>
              <w:bottom w:val="nil"/>
            </w:tcBorders>
          </w:tcPr>
          <w:p w14:paraId="623DB6E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2023" w:type="dxa"/>
            <w:vMerge/>
            <w:tcBorders>
              <w:right w:val="single" w:sz="12" w:space="0" w:color="auto"/>
            </w:tcBorders>
          </w:tcPr>
          <w:p w14:paraId="749DC1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364DED" w14:textId="77777777">
        <w:tc>
          <w:tcPr>
            <w:tcW w:w="1384" w:type="dxa"/>
            <w:vMerge/>
            <w:tcBorders>
              <w:left w:val="single" w:sz="12" w:space="0" w:color="auto"/>
            </w:tcBorders>
          </w:tcPr>
          <w:p w14:paraId="03F95BCE" w14:textId="77777777" w:rsidR="003B3105" w:rsidRDefault="003B3105" w:rsidP="001E533B">
            <w:pPr>
              <w:rPr>
                <w:rFonts w:ascii="新細明體" w:eastAsia="新細明體" w:hAnsi="新細明體"/>
              </w:rPr>
            </w:pPr>
          </w:p>
        </w:tc>
        <w:tc>
          <w:tcPr>
            <w:tcW w:w="1276" w:type="dxa"/>
            <w:vMerge/>
          </w:tcPr>
          <w:p w14:paraId="1043AA3B" w14:textId="77777777" w:rsidR="003B3105" w:rsidRDefault="003B3105" w:rsidP="001E533B">
            <w:pPr>
              <w:rPr>
                <w:rFonts w:ascii="新細明體" w:eastAsia="新細明體" w:hAnsi="新細明體"/>
              </w:rPr>
            </w:pPr>
          </w:p>
        </w:tc>
        <w:tc>
          <w:tcPr>
            <w:tcW w:w="5386" w:type="dxa"/>
            <w:tcBorders>
              <w:top w:val="nil"/>
              <w:bottom w:val="nil"/>
            </w:tcBorders>
          </w:tcPr>
          <w:p w14:paraId="0EE65C5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(十九)為確保客戶以網際網路等電子式下單時密碼之安全性及客戶委託資訊之保密性，應依公司內部控制制度「電腦資訊管理」所訂定之「個人資料檔案安全維護計畫」確實執行。</w:t>
            </w:r>
          </w:p>
        </w:tc>
        <w:tc>
          <w:tcPr>
            <w:tcW w:w="5387" w:type="dxa"/>
            <w:tcBorders>
              <w:top w:val="nil"/>
              <w:bottom w:val="nil"/>
            </w:tcBorders>
          </w:tcPr>
          <w:p w14:paraId="36717DA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(十九)為確保客戶以網際網路等電子式下單時密碼之安全性及客戶委託資訊之保密性，應依公司內部控制制度「電腦資訊管理」所訂定之「個人資料檔案安全維護計畫」確實執行。</w:t>
            </w:r>
          </w:p>
        </w:tc>
        <w:tc>
          <w:tcPr>
            <w:tcW w:w="2023" w:type="dxa"/>
            <w:vMerge/>
            <w:tcBorders>
              <w:right w:val="single" w:sz="12" w:space="0" w:color="auto"/>
            </w:tcBorders>
          </w:tcPr>
          <w:p w14:paraId="3AEF2A4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242E45" w14:textId="77777777">
        <w:tc>
          <w:tcPr>
            <w:tcW w:w="1384" w:type="dxa"/>
            <w:vMerge/>
            <w:tcBorders>
              <w:left w:val="single" w:sz="12" w:space="0" w:color="auto"/>
            </w:tcBorders>
          </w:tcPr>
          <w:p w14:paraId="325825EF" w14:textId="77777777" w:rsidR="003B3105" w:rsidRDefault="003B3105" w:rsidP="001E533B">
            <w:pPr>
              <w:rPr>
                <w:rFonts w:ascii="新細明體" w:eastAsia="新細明體" w:hAnsi="新細明體"/>
              </w:rPr>
            </w:pPr>
          </w:p>
        </w:tc>
        <w:tc>
          <w:tcPr>
            <w:tcW w:w="1276" w:type="dxa"/>
            <w:vMerge/>
          </w:tcPr>
          <w:p w14:paraId="7AB41B6F" w14:textId="77777777" w:rsidR="003B3105" w:rsidRDefault="003B3105" w:rsidP="001E533B">
            <w:pPr>
              <w:rPr>
                <w:rFonts w:ascii="新細明體" w:eastAsia="新細明體" w:hAnsi="新細明體"/>
              </w:rPr>
            </w:pPr>
          </w:p>
        </w:tc>
        <w:tc>
          <w:tcPr>
            <w:tcW w:w="5386" w:type="dxa"/>
            <w:tcBorders>
              <w:top w:val="nil"/>
              <w:bottom w:val="nil"/>
            </w:tcBorders>
          </w:tcPr>
          <w:p w14:paraId="6A8D7AD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(二十)同時開辦「網際網路下單」與「電話語音下單」時，應將二種業務之開戶人數、</w:t>
            </w:r>
            <w:r>
              <w:rPr>
                <w:rFonts w:ascii="新細明體" w:eastAsia="新細明體" w:hAnsi="新細明體" w:cs="新細明體" w:hint="eastAsia"/>
              </w:rPr>
              <w:lastRenderedPageBreak/>
              <w:t>委託筆數、委託金額、成交筆數、成交金額、更改帳號筆數、更改帳號金額、錯帳筆數、錯帳金額、違約筆數及違約金額等予以區隔。</w:t>
            </w:r>
          </w:p>
        </w:tc>
        <w:tc>
          <w:tcPr>
            <w:tcW w:w="5387" w:type="dxa"/>
            <w:tcBorders>
              <w:top w:val="nil"/>
              <w:bottom w:val="nil"/>
            </w:tcBorders>
          </w:tcPr>
          <w:p w14:paraId="50AD89C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(二十)同時開辦「網際網路下單」與「電話語音下單」時，應將二種業務之開戶人數、</w:t>
            </w:r>
            <w:r>
              <w:rPr>
                <w:rFonts w:ascii="新細明體" w:eastAsia="新細明體" w:hAnsi="新細明體" w:cs="新細明體" w:hint="eastAsia"/>
              </w:rPr>
              <w:lastRenderedPageBreak/>
              <w:t>委託筆數、委託金額、成交筆數、成交金額、更改帳號筆數、更改帳號金額、錯帳筆數、錯帳金額、違約筆數及違約金額等予以區隔。</w:t>
            </w:r>
          </w:p>
        </w:tc>
        <w:tc>
          <w:tcPr>
            <w:tcW w:w="2023" w:type="dxa"/>
            <w:vMerge/>
            <w:tcBorders>
              <w:right w:val="single" w:sz="12" w:space="0" w:color="auto"/>
            </w:tcBorders>
          </w:tcPr>
          <w:p w14:paraId="2C8A85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7ABC4A" w14:textId="77777777">
        <w:tc>
          <w:tcPr>
            <w:tcW w:w="1384" w:type="dxa"/>
            <w:vMerge/>
            <w:tcBorders>
              <w:left w:val="single" w:sz="12" w:space="0" w:color="auto"/>
            </w:tcBorders>
          </w:tcPr>
          <w:p w14:paraId="5C0FF0DF" w14:textId="77777777" w:rsidR="003B3105" w:rsidRDefault="003B3105" w:rsidP="001E533B">
            <w:pPr>
              <w:rPr>
                <w:rFonts w:ascii="新細明體" w:eastAsia="新細明體" w:hAnsi="新細明體"/>
              </w:rPr>
            </w:pPr>
          </w:p>
        </w:tc>
        <w:tc>
          <w:tcPr>
            <w:tcW w:w="1276" w:type="dxa"/>
            <w:vMerge/>
          </w:tcPr>
          <w:p w14:paraId="6A9872C0" w14:textId="77777777" w:rsidR="003B3105" w:rsidRDefault="003B3105" w:rsidP="001E533B">
            <w:pPr>
              <w:rPr>
                <w:rFonts w:ascii="新細明體" w:eastAsia="新細明體" w:hAnsi="新細明體"/>
              </w:rPr>
            </w:pPr>
          </w:p>
        </w:tc>
        <w:tc>
          <w:tcPr>
            <w:tcW w:w="5386" w:type="dxa"/>
            <w:tcBorders>
              <w:top w:val="nil"/>
              <w:bottom w:val="nil"/>
            </w:tcBorders>
          </w:tcPr>
          <w:p w14:paraId="7577247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(二十一)有價證券除債券(不含可轉換公司債)外之盤後定價交易：</w:t>
            </w:r>
          </w:p>
        </w:tc>
        <w:tc>
          <w:tcPr>
            <w:tcW w:w="5387" w:type="dxa"/>
            <w:tcBorders>
              <w:top w:val="nil"/>
              <w:bottom w:val="nil"/>
            </w:tcBorders>
          </w:tcPr>
          <w:p w14:paraId="76BFA91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(二十一)有價證券除債券(不含可轉換公司債)外之盤後定價交易：</w:t>
            </w:r>
          </w:p>
        </w:tc>
        <w:tc>
          <w:tcPr>
            <w:tcW w:w="2023" w:type="dxa"/>
            <w:vMerge/>
            <w:tcBorders>
              <w:right w:val="single" w:sz="12" w:space="0" w:color="auto"/>
            </w:tcBorders>
          </w:tcPr>
          <w:p w14:paraId="31C70E4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0CD729" w14:textId="77777777">
        <w:tc>
          <w:tcPr>
            <w:tcW w:w="1384" w:type="dxa"/>
            <w:vMerge/>
            <w:tcBorders>
              <w:left w:val="single" w:sz="12" w:space="0" w:color="auto"/>
            </w:tcBorders>
          </w:tcPr>
          <w:p w14:paraId="4B963335" w14:textId="77777777" w:rsidR="003B3105" w:rsidRDefault="003B3105" w:rsidP="001E533B">
            <w:pPr>
              <w:rPr>
                <w:rFonts w:ascii="新細明體" w:eastAsia="新細明體" w:hAnsi="新細明體"/>
              </w:rPr>
            </w:pPr>
          </w:p>
        </w:tc>
        <w:tc>
          <w:tcPr>
            <w:tcW w:w="1276" w:type="dxa"/>
            <w:vMerge/>
          </w:tcPr>
          <w:p w14:paraId="5C37474D" w14:textId="77777777" w:rsidR="003B3105" w:rsidRDefault="003B3105" w:rsidP="001E533B">
            <w:pPr>
              <w:rPr>
                <w:rFonts w:ascii="新細明體" w:eastAsia="新細明體" w:hAnsi="新細明體"/>
              </w:rPr>
            </w:pPr>
          </w:p>
        </w:tc>
        <w:tc>
          <w:tcPr>
            <w:tcW w:w="5386" w:type="dxa"/>
            <w:tcBorders>
              <w:top w:val="nil"/>
              <w:bottom w:val="nil"/>
            </w:tcBorders>
          </w:tcPr>
          <w:p w14:paraId="4FB747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1.接受客戶委託後，於星期一至星期五每日下午二時起至二時三十分止申報，限當市有效。</w:t>
            </w:r>
          </w:p>
        </w:tc>
        <w:tc>
          <w:tcPr>
            <w:tcW w:w="5387" w:type="dxa"/>
            <w:tcBorders>
              <w:top w:val="nil"/>
              <w:bottom w:val="nil"/>
            </w:tcBorders>
          </w:tcPr>
          <w:p w14:paraId="452C297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1.接受客戶委託後，於星期一至星期五每日下午二時起至二時三十分止申報，限當市有效。</w:t>
            </w:r>
          </w:p>
        </w:tc>
        <w:tc>
          <w:tcPr>
            <w:tcW w:w="2023" w:type="dxa"/>
            <w:vMerge/>
            <w:tcBorders>
              <w:right w:val="single" w:sz="12" w:space="0" w:color="auto"/>
            </w:tcBorders>
          </w:tcPr>
          <w:p w14:paraId="4A3F78D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212C46" w14:textId="77777777">
        <w:tc>
          <w:tcPr>
            <w:tcW w:w="1384" w:type="dxa"/>
            <w:vMerge/>
            <w:tcBorders>
              <w:left w:val="single" w:sz="12" w:space="0" w:color="auto"/>
            </w:tcBorders>
          </w:tcPr>
          <w:p w14:paraId="07A6F2B3" w14:textId="77777777" w:rsidR="003B3105" w:rsidRDefault="003B3105" w:rsidP="001E533B">
            <w:pPr>
              <w:rPr>
                <w:rFonts w:ascii="新細明體" w:eastAsia="新細明體" w:hAnsi="新細明體"/>
              </w:rPr>
            </w:pPr>
          </w:p>
        </w:tc>
        <w:tc>
          <w:tcPr>
            <w:tcW w:w="1276" w:type="dxa"/>
            <w:vMerge/>
          </w:tcPr>
          <w:p w14:paraId="2AB9765A" w14:textId="77777777" w:rsidR="003B3105" w:rsidRDefault="003B3105" w:rsidP="001E533B">
            <w:pPr>
              <w:rPr>
                <w:rFonts w:ascii="新細明體" w:eastAsia="新細明體" w:hAnsi="新細明體"/>
              </w:rPr>
            </w:pPr>
          </w:p>
        </w:tc>
        <w:tc>
          <w:tcPr>
            <w:tcW w:w="5386" w:type="dxa"/>
            <w:tcBorders>
              <w:top w:val="nil"/>
              <w:bottom w:val="nil"/>
            </w:tcBorders>
          </w:tcPr>
          <w:p w14:paraId="27FE1A1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2.買賣申報之數量，應為一交易單位或其整倍數；一次買賣同一有價證券之數量，不得超過四百九十九交易單位。</w:t>
            </w:r>
          </w:p>
        </w:tc>
        <w:tc>
          <w:tcPr>
            <w:tcW w:w="5387" w:type="dxa"/>
            <w:tcBorders>
              <w:top w:val="nil"/>
              <w:bottom w:val="nil"/>
            </w:tcBorders>
          </w:tcPr>
          <w:p w14:paraId="5A3C430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2.買賣申報之數量，應為一交易單位或其整倍數；一次買賣同一有價證券之數量，不得超過四百九十九交易單位。</w:t>
            </w:r>
          </w:p>
        </w:tc>
        <w:tc>
          <w:tcPr>
            <w:tcW w:w="2023" w:type="dxa"/>
            <w:vMerge/>
            <w:tcBorders>
              <w:right w:val="single" w:sz="12" w:space="0" w:color="auto"/>
            </w:tcBorders>
          </w:tcPr>
          <w:p w14:paraId="54E4D08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DD196B" w14:textId="77777777">
        <w:tc>
          <w:tcPr>
            <w:tcW w:w="1384" w:type="dxa"/>
            <w:vMerge/>
            <w:tcBorders>
              <w:left w:val="single" w:sz="12" w:space="0" w:color="auto"/>
            </w:tcBorders>
          </w:tcPr>
          <w:p w14:paraId="38AC7A15" w14:textId="77777777" w:rsidR="003B3105" w:rsidRDefault="003B3105" w:rsidP="001E533B">
            <w:pPr>
              <w:rPr>
                <w:rFonts w:ascii="新細明體" w:eastAsia="新細明體" w:hAnsi="新細明體"/>
              </w:rPr>
            </w:pPr>
          </w:p>
        </w:tc>
        <w:tc>
          <w:tcPr>
            <w:tcW w:w="1276" w:type="dxa"/>
            <w:vMerge/>
          </w:tcPr>
          <w:p w14:paraId="4BD44CBF" w14:textId="77777777" w:rsidR="003B3105" w:rsidRDefault="003B3105" w:rsidP="001E533B">
            <w:pPr>
              <w:rPr>
                <w:rFonts w:ascii="新細明體" w:eastAsia="新細明體" w:hAnsi="新細明體"/>
              </w:rPr>
            </w:pPr>
          </w:p>
        </w:tc>
        <w:tc>
          <w:tcPr>
            <w:tcW w:w="5386" w:type="dxa"/>
            <w:tcBorders>
              <w:top w:val="nil"/>
              <w:bottom w:val="nil"/>
            </w:tcBorders>
          </w:tcPr>
          <w:p w14:paraId="2A91226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5387" w:type="dxa"/>
            <w:tcBorders>
              <w:top w:val="nil"/>
              <w:bottom w:val="nil"/>
            </w:tcBorders>
          </w:tcPr>
          <w:p w14:paraId="1CE20CF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2023" w:type="dxa"/>
            <w:vMerge/>
            <w:tcBorders>
              <w:right w:val="single" w:sz="12" w:space="0" w:color="auto"/>
            </w:tcBorders>
          </w:tcPr>
          <w:p w14:paraId="2718D62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BC8979" w14:textId="77777777">
        <w:tc>
          <w:tcPr>
            <w:tcW w:w="1384" w:type="dxa"/>
            <w:vMerge/>
            <w:tcBorders>
              <w:left w:val="single" w:sz="12" w:space="0" w:color="auto"/>
            </w:tcBorders>
          </w:tcPr>
          <w:p w14:paraId="032509FF" w14:textId="77777777" w:rsidR="003B3105" w:rsidRDefault="003B3105" w:rsidP="001E533B">
            <w:pPr>
              <w:rPr>
                <w:rFonts w:ascii="新細明體" w:eastAsia="新細明體" w:hAnsi="新細明體"/>
              </w:rPr>
            </w:pPr>
          </w:p>
        </w:tc>
        <w:tc>
          <w:tcPr>
            <w:tcW w:w="1276" w:type="dxa"/>
            <w:vMerge/>
          </w:tcPr>
          <w:p w14:paraId="3EFD334F" w14:textId="77777777" w:rsidR="003B3105" w:rsidRDefault="003B3105" w:rsidP="001E533B">
            <w:pPr>
              <w:rPr>
                <w:rFonts w:ascii="新細明體" w:eastAsia="新細明體" w:hAnsi="新細明體"/>
              </w:rPr>
            </w:pPr>
          </w:p>
        </w:tc>
        <w:tc>
          <w:tcPr>
            <w:tcW w:w="5386" w:type="dxa"/>
            <w:tcBorders>
              <w:top w:val="nil"/>
              <w:bottom w:val="nil"/>
            </w:tcBorders>
          </w:tcPr>
          <w:p w14:paraId="12A635F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(二十二)受託買賣外國有價證券應依「證券商受託買賣外國有價證券管理規則」及相關規定辦理。</w:t>
            </w:r>
          </w:p>
        </w:tc>
        <w:tc>
          <w:tcPr>
            <w:tcW w:w="5387" w:type="dxa"/>
            <w:tcBorders>
              <w:top w:val="nil"/>
              <w:bottom w:val="nil"/>
            </w:tcBorders>
          </w:tcPr>
          <w:p w14:paraId="0D71348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(二十二)受託買賣外國有價證券應依「證券商受託買賣外國有價證券管理規則」及相關規定辦理。</w:t>
            </w:r>
          </w:p>
        </w:tc>
        <w:tc>
          <w:tcPr>
            <w:tcW w:w="2023" w:type="dxa"/>
            <w:vMerge/>
            <w:tcBorders>
              <w:right w:val="single" w:sz="12" w:space="0" w:color="auto"/>
            </w:tcBorders>
          </w:tcPr>
          <w:p w14:paraId="4AF8D2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559B0C" w14:textId="77777777">
        <w:tc>
          <w:tcPr>
            <w:tcW w:w="1384" w:type="dxa"/>
            <w:vMerge/>
            <w:tcBorders>
              <w:left w:val="single" w:sz="12" w:space="0" w:color="auto"/>
            </w:tcBorders>
          </w:tcPr>
          <w:p w14:paraId="49F2AFDD" w14:textId="77777777" w:rsidR="003B3105" w:rsidRDefault="003B3105" w:rsidP="001E533B">
            <w:pPr>
              <w:rPr>
                <w:rFonts w:ascii="新細明體" w:eastAsia="新細明體" w:hAnsi="新細明體"/>
              </w:rPr>
            </w:pPr>
          </w:p>
        </w:tc>
        <w:tc>
          <w:tcPr>
            <w:tcW w:w="1276" w:type="dxa"/>
            <w:vMerge/>
          </w:tcPr>
          <w:p w14:paraId="7E518101" w14:textId="77777777" w:rsidR="003B3105" w:rsidRDefault="003B3105" w:rsidP="001E533B">
            <w:pPr>
              <w:rPr>
                <w:rFonts w:ascii="新細明體" w:eastAsia="新細明體" w:hAnsi="新細明體"/>
              </w:rPr>
            </w:pPr>
          </w:p>
        </w:tc>
        <w:tc>
          <w:tcPr>
            <w:tcW w:w="5386" w:type="dxa"/>
            <w:tcBorders>
              <w:top w:val="nil"/>
              <w:bottom w:val="nil"/>
            </w:tcBorders>
          </w:tcPr>
          <w:p w14:paraId="17CF0DC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(二十三)受理上市上櫃公司之客戶，依「上市上櫃公司買回本公司股份辦法」執行買回其庫藏股票時，不得於開盤前接受其委託。</w:t>
            </w:r>
          </w:p>
        </w:tc>
        <w:tc>
          <w:tcPr>
            <w:tcW w:w="5387" w:type="dxa"/>
            <w:tcBorders>
              <w:top w:val="nil"/>
              <w:bottom w:val="nil"/>
            </w:tcBorders>
          </w:tcPr>
          <w:p w14:paraId="7D4F91D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(二十三)受理上市上櫃公司之客戶，依「上市上櫃公司買回本公司股份辦法」執行買回其庫藏股票時，不得於開盤前接受其委託。</w:t>
            </w:r>
          </w:p>
        </w:tc>
        <w:tc>
          <w:tcPr>
            <w:tcW w:w="2023" w:type="dxa"/>
            <w:vMerge/>
            <w:tcBorders>
              <w:right w:val="single" w:sz="12" w:space="0" w:color="auto"/>
            </w:tcBorders>
          </w:tcPr>
          <w:p w14:paraId="709A87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9E4B84" w14:textId="77777777">
        <w:tc>
          <w:tcPr>
            <w:tcW w:w="1384" w:type="dxa"/>
            <w:vMerge/>
            <w:tcBorders>
              <w:left w:val="single" w:sz="12" w:space="0" w:color="auto"/>
            </w:tcBorders>
          </w:tcPr>
          <w:p w14:paraId="362A0948" w14:textId="77777777" w:rsidR="003B3105" w:rsidRDefault="003B3105" w:rsidP="001E533B">
            <w:pPr>
              <w:rPr>
                <w:rFonts w:ascii="新細明體" w:eastAsia="新細明體" w:hAnsi="新細明體"/>
              </w:rPr>
            </w:pPr>
          </w:p>
        </w:tc>
        <w:tc>
          <w:tcPr>
            <w:tcW w:w="1276" w:type="dxa"/>
            <w:vMerge/>
          </w:tcPr>
          <w:p w14:paraId="05B2D49E" w14:textId="77777777" w:rsidR="003B3105" w:rsidRDefault="003B3105" w:rsidP="001E533B">
            <w:pPr>
              <w:rPr>
                <w:rFonts w:ascii="新細明體" w:eastAsia="新細明體" w:hAnsi="新細明體"/>
              </w:rPr>
            </w:pPr>
          </w:p>
        </w:tc>
        <w:tc>
          <w:tcPr>
            <w:tcW w:w="5386" w:type="dxa"/>
            <w:tcBorders>
              <w:top w:val="nil"/>
              <w:bottom w:val="nil"/>
            </w:tcBorders>
          </w:tcPr>
          <w:p w14:paraId="3893737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(二十四)代理證券金融公司辦理信用交易相關業務時（自辦融資融券證券商不適用），</w:t>
            </w:r>
            <w:r>
              <w:rPr>
                <w:rFonts w:ascii="新細明體" w:eastAsia="新細明體" w:hAnsi="新細明體" w:cs="新細明體" w:hint="eastAsia"/>
              </w:rPr>
              <w:lastRenderedPageBreak/>
              <w:t>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5387" w:type="dxa"/>
            <w:tcBorders>
              <w:top w:val="nil"/>
              <w:bottom w:val="nil"/>
            </w:tcBorders>
          </w:tcPr>
          <w:p w14:paraId="0BC23DD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(二十四)代理證券金融公司辦理信用交易相關業務時（自辦融資融券證券商不適用），</w:t>
            </w:r>
            <w:r>
              <w:rPr>
                <w:rFonts w:ascii="新細明體" w:eastAsia="新細明體" w:hAnsi="新細明體" w:cs="新細明體" w:hint="eastAsia"/>
              </w:rPr>
              <w:lastRenderedPageBreak/>
              <w:t>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2023" w:type="dxa"/>
            <w:vMerge/>
            <w:tcBorders>
              <w:right w:val="single" w:sz="12" w:space="0" w:color="auto"/>
            </w:tcBorders>
          </w:tcPr>
          <w:p w14:paraId="35CAC9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0856E9" w14:textId="77777777">
        <w:tc>
          <w:tcPr>
            <w:tcW w:w="1384" w:type="dxa"/>
            <w:vMerge/>
            <w:tcBorders>
              <w:left w:val="single" w:sz="12" w:space="0" w:color="auto"/>
            </w:tcBorders>
          </w:tcPr>
          <w:p w14:paraId="36C3D687" w14:textId="77777777" w:rsidR="003B3105" w:rsidRDefault="003B3105" w:rsidP="001E533B">
            <w:pPr>
              <w:rPr>
                <w:rFonts w:ascii="新細明體" w:eastAsia="新細明體" w:hAnsi="新細明體"/>
              </w:rPr>
            </w:pPr>
          </w:p>
        </w:tc>
        <w:tc>
          <w:tcPr>
            <w:tcW w:w="1276" w:type="dxa"/>
            <w:vMerge/>
          </w:tcPr>
          <w:p w14:paraId="1209CF24" w14:textId="77777777" w:rsidR="003B3105" w:rsidRDefault="003B3105" w:rsidP="001E533B">
            <w:pPr>
              <w:rPr>
                <w:rFonts w:ascii="新細明體" w:eastAsia="新細明體" w:hAnsi="新細明體"/>
              </w:rPr>
            </w:pPr>
          </w:p>
        </w:tc>
        <w:tc>
          <w:tcPr>
            <w:tcW w:w="5386" w:type="dxa"/>
            <w:tcBorders>
              <w:top w:val="nil"/>
              <w:bottom w:val="nil"/>
            </w:tcBorders>
          </w:tcPr>
          <w:p w14:paraId="1D5C403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5387" w:type="dxa"/>
            <w:tcBorders>
              <w:top w:val="nil"/>
              <w:bottom w:val="nil"/>
            </w:tcBorders>
          </w:tcPr>
          <w:p w14:paraId="77194B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2023" w:type="dxa"/>
            <w:vMerge/>
            <w:tcBorders>
              <w:right w:val="single" w:sz="12" w:space="0" w:color="auto"/>
            </w:tcBorders>
          </w:tcPr>
          <w:p w14:paraId="207D3F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6A7271" w14:textId="77777777">
        <w:tc>
          <w:tcPr>
            <w:tcW w:w="1384" w:type="dxa"/>
            <w:vMerge/>
            <w:tcBorders>
              <w:left w:val="single" w:sz="12" w:space="0" w:color="auto"/>
            </w:tcBorders>
          </w:tcPr>
          <w:p w14:paraId="5AFAD6A6" w14:textId="77777777" w:rsidR="003B3105" w:rsidRDefault="003B3105" w:rsidP="001E533B">
            <w:pPr>
              <w:rPr>
                <w:rFonts w:ascii="新細明體" w:eastAsia="新細明體" w:hAnsi="新細明體"/>
              </w:rPr>
            </w:pPr>
          </w:p>
        </w:tc>
        <w:tc>
          <w:tcPr>
            <w:tcW w:w="1276" w:type="dxa"/>
            <w:vMerge/>
          </w:tcPr>
          <w:p w14:paraId="64098C60" w14:textId="77777777" w:rsidR="003B3105" w:rsidRDefault="003B3105" w:rsidP="001E533B">
            <w:pPr>
              <w:rPr>
                <w:rFonts w:ascii="新細明體" w:eastAsia="新細明體" w:hAnsi="新細明體"/>
              </w:rPr>
            </w:pPr>
          </w:p>
        </w:tc>
        <w:tc>
          <w:tcPr>
            <w:tcW w:w="5386" w:type="dxa"/>
            <w:tcBorders>
              <w:top w:val="nil"/>
              <w:bottom w:val="nil"/>
            </w:tcBorders>
          </w:tcPr>
          <w:p w14:paraId="5D5B1F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就證金公司傳送給公司當日洽借融券配額之明細資料（含同意時間及成交資料明細），在核對無誤後，應由交割主管在該明細表上蓋章，該明細表應隨同電話錄音帶保存二個月，以供主管機關、證交所及櫃檯買賣中心查核。</w:t>
            </w:r>
          </w:p>
        </w:tc>
        <w:tc>
          <w:tcPr>
            <w:tcW w:w="5387" w:type="dxa"/>
            <w:tcBorders>
              <w:top w:val="nil"/>
              <w:bottom w:val="nil"/>
            </w:tcBorders>
          </w:tcPr>
          <w:p w14:paraId="0BE109D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就證金公司傳送給公司當日洽借融券配額之明細資料（含同意時間及成交資料明細），在核對無誤後，應由交割主管在該明細表上蓋章，該明細表應隨同電話錄音帶保存二個月，以供主管機關、證交所及櫃檯買賣中心查核。</w:t>
            </w:r>
          </w:p>
        </w:tc>
        <w:tc>
          <w:tcPr>
            <w:tcW w:w="2023" w:type="dxa"/>
            <w:vMerge/>
            <w:tcBorders>
              <w:right w:val="single" w:sz="12" w:space="0" w:color="auto"/>
            </w:tcBorders>
          </w:tcPr>
          <w:p w14:paraId="53445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12D161" w14:textId="77777777">
        <w:tc>
          <w:tcPr>
            <w:tcW w:w="1384" w:type="dxa"/>
            <w:vMerge/>
            <w:tcBorders>
              <w:left w:val="single" w:sz="12" w:space="0" w:color="auto"/>
            </w:tcBorders>
          </w:tcPr>
          <w:p w14:paraId="0EB50928" w14:textId="77777777" w:rsidR="003B3105" w:rsidRDefault="003B3105" w:rsidP="001E533B">
            <w:pPr>
              <w:rPr>
                <w:rFonts w:ascii="新細明體" w:eastAsia="新細明體" w:hAnsi="新細明體"/>
              </w:rPr>
            </w:pPr>
          </w:p>
        </w:tc>
        <w:tc>
          <w:tcPr>
            <w:tcW w:w="1276" w:type="dxa"/>
            <w:vMerge/>
          </w:tcPr>
          <w:p w14:paraId="522D0E89" w14:textId="77777777" w:rsidR="003B3105" w:rsidRDefault="003B3105" w:rsidP="001E533B">
            <w:pPr>
              <w:rPr>
                <w:rFonts w:ascii="新細明體" w:eastAsia="新細明體" w:hAnsi="新細明體"/>
              </w:rPr>
            </w:pPr>
          </w:p>
        </w:tc>
        <w:tc>
          <w:tcPr>
            <w:tcW w:w="5386" w:type="dxa"/>
            <w:tcBorders>
              <w:top w:val="nil"/>
              <w:bottom w:val="nil"/>
            </w:tcBorders>
          </w:tcPr>
          <w:p w14:paraId="25937C4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(二十五)未經客戶書面同意或契約授權，公司暨受僱員工不得違法提供客戶名單予證券投資顧問或證券投資信託事業辦理全權委託投資業務之用途。</w:t>
            </w:r>
          </w:p>
        </w:tc>
        <w:tc>
          <w:tcPr>
            <w:tcW w:w="5387" w:type="dxa"/>
            <w:tcBorders>
              <w:top w:val="nil"/>
              <w:bottom w:val="nil"/>
            </w:tcBorders>
          </w:tcPr>
          <w:p w14:paraId="2614153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(二十五)未經客戶書面同意或契約授權，公司暨受僱員工不得違法提供客戶名單予證券投資顧問或證券投資信託事業辦理全權委託投資業務之用途。</w:t>
            </w:r>
          </w:p>
        </w:tc>
        <w:tc>
          <w:tcPr>
            <w:tcW w:w="2023" w:type="dxa"/>
            <w:vMerge/>
            <w:tcBorders>
              <w:right w:val="single" w:sz="12" w:space="0" w:color="auto"/>
            </w:tcBorders>
          </w:tcPr>
          <w:p w14:paraId="6B7F0C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D354AA" w14:textId="77777777">
        <w:tc>
          <w:tcPr>
            <w:tcW w:w="1384" w:type="dxa"/>
            <w:vMerge/>
            <w:tcBorders>
              <w:left w:val="single" w:sz="12" w:space="0" w:color="auto"/>
            </w:tcBorders>
          </w:tcPr>
          <w:p w14:paraId="60F72584" w14:textId="77777777" w:rsidR="003B3105" w:rsidRDefault="003B3105" w:rsidP="001E533B">
            <w:pPr>
              <w:rPr>
                <w:rFonts w:ascii="新細明體" w:eastAsia="新細明體" w:hAnsi="新細明體"/>
              </w:rPr>
            </w:pPr>
          </w:p>
        </w:tc>
        <w:tc>
          <w:tcPr>
            <w:tcW w:w="1276" w:type="dxa"/>
            <w:vMerge/>
          </w:tcPr>
          <w:p w14:paraId="04672A66" w14:textId="77777777" w:rsidR="003B3105" w:rsidRDefault="003B3105" w:rsidP="001E533B">
            <w:pPr>
              <w:rPr>
                <w:rFonts w:ascii="新細明體" w:eastAsia="新細明體" w:hAnsi="新細明體"/>
              </w:rPr>
            </w:pPr>
          </w:p>
        </w:tc>
        <w:tc>
          <w:tcPr>
            <w:tcW w:w="5386" w:type="dxa"/>
            <w:tcBorders>
              <w:top w:val="nil"/>
              <w:bottom w:val="nil"/>
            </w:tcBorders>
          </w:tcPr>
          <w:p w14:paraId="04D23EA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5387" w:type="dxa"/>
            <w:tcBorders>
              <w:top w:val="nil"/>
              <w:bottom w:val="nil"/>
            </w:tcBorders>
          </w:tcPr>
          <w:p w14:paraId="10BB78D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2023" w:type="dxa"/>
            <w:vMerge/>
            <w:tcBorders>
              <w:right w:val="single" w:sz="12" w:space="0" w:color="auto"/>
            </w:tcBorders>
          </w:tcPr>
          <w:p w14:paraId="0316E1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6597C50" w14:textId="77777777">
        <w:tc>
          <w:tcPr>
            <w:tcW w:w="1384" w:type="dxa"/>
            <w:vMerge/>
            <w:tcBorders>
              <w:left w:val="single" w:sz="12" w:space="0" w:color="auto"/>
            </w:tcBorders>
          </w:tcPr>
          <w:p w14:paraId="0963C279" w14:textId="77777777" w:rsidR="003B3105" w:rsidRDefault="003B3105" w:rsidP="001E533B">
            <w:pPr>
              <w:rPr>
                <w:rFonts w:ascii="新細明體" w:eastAsia="新細明體" w:hAnsi="新細明體"/>
              </w:rPr>
            </w:pPr>
          </w:p>
        </w:tc>
        <w:tc>
          <w:tcPr>
            <w:tcW w:w="1276" w:type="dxa"/>
            <w:vMerge/>
          </w:tcPr>
          <w:p w14:paraId="532855BA" w14:textId="77777777" w:rsidR="003B3105" w:rsidRDefault="003B3105" w:rsidP="001E533B">
            <w:pPr>
              <w:rPr>
                <w:rFonts w:ascii="新細明體" w:eastAsia="新細明體" w:hAnsi="新細明體"/>
              </w:rPr>
            </w:pPr>
          </w:p>
        </w:tc>
        <w:tc>
          <w:tcPr>
            <w:tcW w:w="5386" w:type="dxa"/>
            <w:tcBorders>
              <w:top w:val="nil"/>
              <w:bottom w:val="nil"/>
            </w:tcBorders>
          </w:tcPr>
          <w:p w14:paraId="4D6D9C2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(二十七)公司營業處所或所屬網站不得違規從事媒介客戶買賣非屬興櫃之未上市（櫃）股票，亦不得與違法從事仲介未上市（櫃）股票交易之網站連結或策略聯盟，變相為其招攬客戶。</w:t>
            </w:r>
          </w:p>
        </w:tc>
        <w:tc>
          <w:tcPr>
            <w:tcW w:w="5387" w:type="dxa"/>
            <w:tcBorders>
              <w:top w:val="nil"/>
              <w:bottom w:val="nil"/>
            </w:tcBorders>
          </w:tcPr>
          <w:p w14:paraId="010B9CD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(二十七)公司營業處所或所屬網站不得違規從事媒介客戶買賣非屬興櫃之未上市（櫃）股票，亦不得與違法從事仲介未上市（櫃）股票交易之網站連結或策略聯盟，變相為其招攬客戶。</w:t>
            </w:r>
          </w:p>
        </w:tc>
        <w:tc>
          <w:tcPr>
            <w:tcW w:w="2023" w:type="dxa"/>
            <w:vMerge/>
            <w:tcBorders>
              <w:right w:val="single" w:sz="12" w:space="0" w:color="auto"/>
            </w:tcBorders>
          </w:tcPr>
          <w:p w14:paraId="358CD1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1244EF" w14:textId="77777777">
        <w:tc>
          <w:tcPr>
            <w:tcW w:w="1384" w:type="dxa"/>
            <w:vMerge/>
            <w:tcBorders>
              <w:left w:val="single" w:sz="12" w:space="0" w:color="auto"/>
            </w:tcBorders>
          </w:tcPr>
          <w:p w14:paraId="6203025F" w14:textId="77777777" w:rsidR="003B3105" w:rsidRDefault="003B3105" w:rsidP="001E533B">
            <w:pPr>
              <w:rPr>
                <w:rFonts w:ascii="新細明體" w:eastAsia="新細明體" w:hAnsi="新細明體"/>
              </w:rPr>
            </w:pPr>
          </w:p>
        </w:tc>
        <w:tc>
          <w:tcPr>
            <w:tcW w:w="1276" w:type="dxa"/>
            <w:vMerge/>
          </w:tcPr>
          <w:p w14:paraId="287ED35A" w14:textId="77777777" w:rsidR="003B3105" w:rsidRDefault="003B3105" w:rsidP="001E533B">
            <w:pPr>
              <w:rPr>
                <w:rFonts w:ascii="新細明體" w:eastAsia="新細明體" w:hAnsi="新細明體"/>
              </w:rPr>
            </w:pPr>
          </w:p>
        </w:tc>
        <w:tc>
          <w:tcPr>
            <w:tcW w:w="5386" w:type="dxa"/>
            <w:tcBorders>
              <w:top w:val="nil"/>
              <w:bottom w:val="nil"/>
            </w:tcBorders>
          </w:tcPr>
          <w:p w14:paraId="247ED9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電話委託內容應再次複述並經客戶確認無誤後再予遞單，且電話應採錄音存證；對於代理人代理多數客戶委託買賣之行為，顯與代理人委託買賣意旨不</w:t>
            </w:r>
            <w:r>
              <w:rPr>
                <w:rFonts w:ascii="新細明體" w:eastAsia="新細明體" w:hAnsi="新細明體" w:cs="新細明體" w:hint="eastAsia"/>
              </w:rPr>
              <w:lastRenderedPageBreak/>
              <w:t>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5387" w:type="dxa"/>
            <w:tcBorders>
              <w:top w:val="nil"/>
              <w:bottom w:val="nil"/>
            </w:tcBorders>
          </w:tcPr>
          <w:p w14:paraId="315F212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八)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電話委託內容應再次複述並經客戶確認無誤後再予遞單，且電話應採錄音存證；對於代理人代理多數客戶委託買賣之行為，顯與代理人委託買賣意旨不</w:t>
            </w:r>
            <w:r>
              <w:rPr>
                <w:rFonts w:ascii="新細明體" w:eastAsia="新細明體" w:hAnsi="新細明體" w:cs="新細明體" w:hint="eastAsia"/>
              </w:rPr>
              <w:lastRenderedPageBreak/>
              <w:t>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2023" w:type="dxa"/>
            <w:vMerge/>
            <w:tcBorders>
              <w:right w:val="single" w:sz="12" w:space="0" w:color="auto"/>
            </w:tcBorders>
          </w:tcPr>
          <w:p w14:paraId="298825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E21600" w14:textId="77777777">
        <w:tc>
          <w:tcPr>
            <w:tcW w:w="1384" w:type="dxa"/>
            <w:vMerge/>
            <w:tcBorders>
              <w:left w:val="single" w:sz="12" w:space="0" w:color="auto"/>
            </w:tcBorders>
          </w:tcPr>
          <w:p w14:paraId="42EB6495" w14:textId="77777777" w:rsidR="003B3105" w:rsidRDefault="003B3105" w:rsidP="001E533B">
            <w:pPr>
              <w:rPr>
                <w:rFonts w:ascii="新細明體" w:eastAsia="新細明體" w:hAnsi="新細明體"/>
              </w:rPr>
            </w:pPr>
          </w:p>
        </w:tc>
        <w:tc>
          <w:tcPr>
            <w:tcW w:w="1276" w:type="dxa"/>
            <w:vMerge/>
          </w:tcPr>
          <w:p w14:paraId="5B7E8736" w14:textId="77777777" w:rsidR="003B3105" w:rsidRDefault="003B3105" w:rsidP="001E533B">
            <w:pPr>
              <w:rPr>
                <w:rFonts w:ascii="新細明體" w:eastAsia="新細明體" w:hAnsi="新細明體"/>
              </w:rPr>
            </w:pPr>
          </w:p>
        </w:tc>
        <w:tc>
          <w:tcPr>
            <w:tcW w:w="5386" w:type="dxa"/>
            <w:tcBorders>
              <w:top w:val="nil"/>
              <w:bottom w:val="nil"/>
            </w:tcBorders>
          </w:tcPr>
          <w:p w14:paraId="20160FB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(二十九)接受證券承銷商以「承銷商取得有價證券出售專戶」出售依證券交易法第七十一條規定所取得之上市(櫃)有價證券時，應善盡義務，不得接受其違反報價之委託。</w:t>
            </w:r>
          </w:p>
        </w:tc>
        <w:tc>
          <w:tcPr>
            <w:tcW w:w="5387" w:type="dxa"/>
            <w:tcBorders>
              <w:top w:val="nil"/>
              <w:bottom w:val="nil"/>
            </w:tcBorders>
          </w:tcPr>
          <w:p w14:paraId="0965A4F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(二十九)接受證券承銷商以「承銷商取得有價證券出售專戶」出售依證券交易法第七十一條規定所取得之上市(櫃)有價證券時，應善盡義務，不得接受其違反報價之委託。</w:t>
            </w:r>
          </w:p>
        </w:tc>
        <w:tc>
          <w:tcPr>
            <w:tcW w:w="2023" w:type="dxa"/>
            <w:vMerge/>
            <w:tcBorders>
              <w:right w:val="single" w:sz="12" w:space="0" w:color="auto"/>
            </w:tcBorders>
          </w:tcPr>
          <w:p w14:paraId="1B7573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42F57FD" w14:textId="77777777">
        <w:tc>
          <w:tcPr>
            <w:tcW w:w="1384" w:type="dxa"/>
            <w:vMerge/>
            <w:tcBorders>
              <w:left w:val="single" w:sz="12" w:space="0" w:color="auto"/>
            </w:tcBorders>
          </w:tcPr>
          <w:p w14:paraId="1372B30D" w14:textId="77777777" w:rsidR="003B3105" w:rsidRDefault="003B3105" w:rsidP="001E533B">
            <w:pPr>
              <w:rPr>
                <w:rFonts w:ascii="新細明體" w:eastAsia="新細明體" w:hAnsi="新細明體"/>
              </w:rPr>
            </w:pPr>
          </w:p>
        </w:tc>
        <w:tc>
          <w:tcPr>
            <w:tcW w:w="1276" w:type="dxa"/>
            <w:vMerge/>
          </w:tcPr>
          <w:p w14:paraId="324BC447" w14:textId="77777777" w:rsidR="003B3105" w:rsidRDefault="003B3105" w:rsidP="001E533B">
            <w:pPr>
              <w:rPr>
                <w:rFonts w:ascii="新細明體" w:eastAsia="新細明體" w:hAnsi="新細明體"/>
              </w:rPr>
            </w:pPr>
          </w:p>
        </w:tc>
        <w:tc>
          <w:tcPr>
            <w:tcW w:w="5386" w:type="dxa"/>
            <w:tcBorders>
              <w:top w:val="nil"/>
              <w:bottom w:val="nil"/>
            </w:tcBorders>
          </w:tcPr>
          <w:p w14:paraId="1FB5A75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(三十)公司提供電腦程式設定交易條件下單功能者，對於程式及檔案之存取使用，應按權限區分並適當控管，以避免客戶下單資料被不當使用或更改。（網際網路交易適用）</w:t>
            </w:r>
          </w:p>
        </w:tc>
        <w:tc>
          <w:tcPr>
            <w:tcW w:w="5387" w:type="dxa"/>
            <w:tcBorders>
              <w:top w:val="nil"/>
              <w:bottom w:val="nil"/>
            </w:tcBorders>
          </w:tcPr>
          <w:p w14:paraId="16E2973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(三十)公司提供電腦程式設定交易條件下單功能者，對於程式及檔案之存取使用，應按權限區分並適當控管，以避免客戶下單資料被不當使用或更改。（網際網路交易適用）</w:t>
            </w:r>
          </w:p>
        </w:tc>
        <w:tc>
          <w:tcPr>
            <w:tcW w:w="2023" w:type="dxa"/>
            <w:vMerge/>
            <w:tcBorders>
              <w:right w:val="single" w:sz="12" w:space="0" w:color="auto"/>
            </w:tcBorders>
          </w:tcPr>
          <w:p w14:paraId="0DD0F4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23D3A5" w14:textId="77777777">
        <w:tc>
          <w:tcPr>
            <w:tcW w:w="1384" w:type="dxa"/>
            <w:vMerge/>
            <w:tcBorders>
              <w:left w:val="single" w:sz="12" w:space="0" w:color="auto"/>
            </w:tcBorders>
          </w:tcPr>
          <w:p w14:paraId="474F4067" w14:textId="77777777" w:rsidR="003B3105" w:rsidRDefault="003B3105" w:rsidP="001E533B">
            <w:pPr>
              <w:rPr>
                <w:rFonts w:ascii="新細明體" w:eastAsia="新細明體" w:hAnsi="新細明體"/>
              </w:rPr>
            </w:pPr>
          </w:p>
        </w:tc>
        <w:tc>
          <w:tcPr>
            <w:tcW w:w="1276" w:type="dxa"/>
            <w:vMerge/>
          </w:tcPr>
          <w:p w14:paraId="466691CC" w14:textId="77777777" w:rsidR="003B3105" w:rsidRDefault="003B3105" w:rsidP="001E533B">
            <w:pPr>
              <w:rPr>
                <w:rFonts w:ascii="新細明體" w:eastAsia="新細明體" w:hAnsi="新細明體"/>
              </w:rPr>
            </w:pPr>
          </w:p>
        </w:tc>
        <w:tc>
          <w:tcPr>
            <w:tcW w:w="5386" w:type="dxa"/>
            <w:tcBorders>
              <w:top w:val="nil"/>
              <w:bottom w:val="nil"/>
            </w:tcBorders>
          </w:tcPr>
          <w:p w14:paraId="67F42BE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(三十一)使用電腦程式設定交易條件下單功能之客戶應與公司簽訂契約，規範有關因線路傳輸等問題而導致無法順利執行前開條件下單功能之權利義務關係。（網際網路交易適用）</w:t>
            </w:r>
          </w:p>
        </w:tc>
        <w:tc>
          <w:tcPr>
            <w:tcW w:w="5387" w:type="dxa"/>
            <w:tcBorders>
              <w:top w:val="nil"/>
              <w:bottom w:val="nil"/>
            </w:tcBorders>
          </w:tcPr>
          <w:p w14:paraId="1D4533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(三十一)使用電腦程式設定交易條件下單功能之客戶應與公司簽訂契約，規範有關因線路傳輸等問題而導致無法順利執行前開條件下單功能之權利義務關係。（網際網路交易適用）</w:t>
            </w:r>
          </w:p>
        </w:tc>
        <w:tc>
          <w:tcPr>
            <w:tcW w:w="2023" w:type="dxa"/>
            <w:vMerge/>
            <w:tcBorders>
              <w:right w:val="single" w:sz="12" w:space="0" w:color="auto"/>
            </w:tcBorders>
          </w:tcPr>
          <w:p w14:paraId="02CB310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EB25E4" w14:textId="77777777">
        <w:tc>
          <w:tcPr>
            <w:tcW w:w="1384" w:type="dxa"/>
            <w:vMerge/>
            <w:tcBorders>
              <w:left w:val="single" w:sz="12" w:space="0" w:color="auto"/>
            </w:tcBorders>
          </w:tcPr>
          <w:p w14:paraId="217B4A72" w14:textId="77777777" w:rsidR="003B3105" w:rsidRDefault="003B3105" w:rsidP="001E533B">
            <w:pPr>
              <w:rPr>
                <w:rFonts w:ascii="新細明體" w:eastAsia="新細明體" w:hAnsi="新細明體"/>
              </w:rPr>
            </w:pPr>
          </w:p>
        </w:tc>
        <w:tc>
          <w:tcPr>
            <w:tcW w:w="1276" w:type="dxa"/>
            <w:vMerge/>
          </w:tcPr>
          <w:p w14:paraId="11E3B84E" w14:textId="77777777" w:rsidR="003B3105" w:rsidRDefault="003B3105" w:rsidP="001E533B">
            <w:pPr>
              <w:rPr>
                <w:rFonts w:ascii="新細明體" w:eastAsia="新細明體" w:hAnsi="新細明體"/>
              </w:rPr>
            </w:pPr>
          </w:p>
        </w:tc>
        <w:tc>
          <w:tcPr>
            <w:tcW w:w="5386" w:type="dxa"/>
            <w:tcBorders>
              <w:top w:val="nil"/>
              <w:bottom w:val="nil"/>
            </w:tcBorders>
          </w:tcPr>
          <w:p w14:paraId="6822475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(三十二)辦理電子式專屬線路下單業務：</w:t>
            </w:r>
          </w:p>
        </w:tc>
        <w:tc>
          <w:tcPr>
            <w:tcW w:w="5387" w:type="dxa"/>
            <w:tcBorders>
              <w:top w:val="nil"/>
              <w:bottom w:val="nil"/>
            </w:tcBorders>
          </w:tcPr>
          <w:p w14:paraId="0618185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(三十二)辦理電子式專屬線路下單業務：</w:t>
            </w:r>
          </w:p>
        </w:tc>
        <w:tc>
          <w:tcPr>
            <w:tcW w:w="2023" w:type="dxa"/>
            <w:vMerge/>
            <w:tcBorders>
              <w:right w:val="single" w:sz="12" w:space="0" w:color="auto"/>
            </w:tcBorders>
          </w:tcPr>
          <w:p w14:paraId="6569C6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C87458" w14:textId="77777777">
        <w:tc>
          <w:tcPr>
            <w:tcW w:w="1384" w:type="dxa"/>
            <w:vMerge/>
            <w:tcBorders>
              <w:left w:val="single" w:sz="12" w:space="0" w:color="auto"/>
            </w:tcBorders>
          </w:tcPr>
          <w:p w14:paraId="49196256" w14:textId="77777777" w:rsidR="003B3105" w:rsidRDefault="003B3105" w:rsidP="001E533B">
            <w:pPr>
              <w:rPr>
                <w:rFonts w:ascii="新細明體" w:eastAsia="新細明體" w:hAnsi="新細明體"/>
              </w:rPr>
            </w:pPr>
          </w:p>
        </w:tc>
        <w:tc>
          <w:tcPr>
            <w:tcW w:w="1276" w:type="dxa"/>
            <w:vMerge/>
          </w:tcPr>
          <w:p w14:paraId="6DDE5428" w14:textId="77777777" w:rsidR="003B3105" w:rsidRDefault="003B3105" w:rsidP="001E533B">
            <w:pPr>
              <w:rPr>
                <w:rFonts w:ascii="新細明體" w:eastAsia="新細明體" w:hAnsi="新細明體"/>
              </w:rPr>
            </w:pPr>
          </w:p>
        </w:tc>
        <w:tc>
          <w:tcPr>
            <w:tcW w:w="5386" w:type="dxa"/>
            <w:tcBorders>
              <w:top w:val="nil"/>
              <w:bottom w:val="nil"/>
            </w:tcBorders>
          </w:tcPr>
          <w:p w14:paraId="054F77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1.應確實遵循證交所「營業細則」、櫃檯買賣中心「業務規則」、證交所「證券經紀商受託契約準則」、證交所及櫃檯買賣中心「證券經紀商辦理電子式專屬線路下</w:t>
            </w:r>
            <w:r>
              <w:rPr>
                <w:rFonts w:ascii="新細明體" w:eastAsia="新細明體" w:hAnsi="新細明體" w:cs="新細明體" w:hint="eastAsia"/>
              </w:rPr>
              <w:lastRenderedPageBreak/>
              <w:t>單(Direct Market Access)作業要點」等證券市場相關規定，並落實資通安全與風險管控，不得有影響證券集中交易市場及櫃檯買賣市場秩序與效率之行為。</w:t>
            </w:r>
          </w:p>
        </w:tc>
        <w:tc>
          <w:tcPr>
            <w:tcW w:w="5387" w:type="dxa"/>
            <w:tcBorders>
              <w:top w:val="nil"/>
              <w:bottom w:val="nil"/>
            </w:tcBorders>
          </w:tcPr>
          <w:p w14:paraId="54A24BB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1.應確實遵循證交所「營業細則」、櫃檯買賣中心「業務規則」、證交所「證券經紀商受託契約準則」、證交所及櫃檯買賣中心「證券經紀商辦理電子式專屬線路下</w:t>
            </w:r>
            <w:r>
              <w:rPr>
                <w:rFonts w:ascii="新細明體" w:eastAsia="新細明體" w:hAnsi="新細明體" w:cs="新細明體" w:hint="eastAsia"/>
              </w:rPr>
              <w:lastRenderedPageBreak/>
              <w:t>單(Direct Market Access)作業要點」等證券市場相關規定，並落實資通安全與風險管控，不得有影響證券集中交易市場及櫃檯買賣市場秩序與效率之行為。</w:t>
            </w:r>
          </w:p>
        </w:tc>
        <w:tc>
          <w:tcPr>
            <w:tcW w:w="2023" w:type="dxa"/>
            <w:vMerge/>
            <w:tcBorders>
              <w:right w:val="single" w:sz="12" w:space="0" w:color="auto"/>
            </w:tcBorders>
          </w:tcPr>
          <w:p w14:paraId="713EFE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E68AEB" w14:textId="77777777">
        <w:tc>
          <w:tcPr>
            <w:tcW w:w="1384" w:type="dxa"/>
            <w:vMerge/>
            <w:tcBorders>
              <w:left w:val="single" w:sz="12" w:space="0" w:color="auto"/>
            </w:tcBorders>
          </w:tcPr>
          <w:p w14:paraId="5D241E5F" w14:textId="77777777" w:rsidR="003B3105" w:rsidRDefault="003B3105" w:rsidP="001E533B">
            <w:pPr>
              <w:rPr>
                <w:rFonts w:ascii="新細明體" w:eastAsia="新細明體" w:hAnsi="新細明體"/>
              </w:rPr>
            </w:pPr>
          </w:p>
        </w:tc>
        <w:tc>
          <w:tcPr>
            <w:tcW w:w="1276" w:type="dxa"/>
            <w:vMerge/>
          </w:tcPr>
          <w:p w14:paraId="4DAE0A83" w14:textId="77777777" w:rsidR="003B3105" w:rsidRDefault="003B3105" w:rsidP="001E533B">
            <w:pPr>
              <w:rPr>
                <w:rFonts w:ascii="新細明體" w:eastAsia="新細明體" w:hAnsi="新細明體"/>
              </w:rPr>
            </w:pPr>
          </w:p>
        </w:tc>
        <w:tc>
          <w:tcPr>
            <w:tcW w:w="5386" w:type="dxa"/>
            <w:tcBorders>
              <w:top w:val="nil"/>
              <w:bottom w:val="nil"/>
            </w:tcBorders>
          </w:tcPr>
          <w:p w14:paraId="28D621E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5387" w:type="dxa"/>
            <w:tcBorders>
              <w:top w:val="nil"/>
              <w:bottom w:val="nil"/>
            </w:tcBorders>
          </w:tcPr>
          <w:p w14:paraId="39E04EE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2023" w:type="dxa"/>
            <w:vMerge/>
            <w:tcBorders>
              <w:right w:val="single" w:sz="12" w:space="0" w:color="auto"/>
            </w:tcBorders>
          </w:tcPr>
          <w:p w14:paraId="6D3EAF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BE1EFE8" w14:textId="77777777">
        <w:tc>
          <w:tcPr>
            <w:tcW w:w="1384" w:type="dxa"/>
            <w:vMerge/>
            <w:tcBorders>
              <w:left w:val="single" w:sz="12" w:space="0" w:color="auto"/>
            </w:tcBorders>
          </w:tcPr>
          <w:p w14:paraId="5F6C11A4" w14:textId="77777777" w:rsidR="003B3105" w:rsidRDefault="003B3105" w:rsidP="001E533B">
            <w:pPr>
              <w:rPr>
                <w:rFonts w:ascii="新細明體" w:eastAsia="新細明體" w:hAnsi="新細明體"/>
              </w:rPr>
            </w:pPr>
          </w:p>
        </w:tc>
        <w:tc>
          <w:tcPr>
            <w:tcW w:w="1276" w:type="dxa"/>
            <w:vMerge/>
          </w:tcPr>
          <w:p w14:paraId="4FEDAA3A" w14:textId="77777777" w:rsidR="003B3105" w:rsidRDefault="003B3105" w:rsidP="001E533B">
            <w:pPr>
              <w:rPr>
                <w:rFonts w:ascii="新細明體" w:eastAsia="新細明體" w:hAnsi="新細明體"/>
              </w:rPr>
            </w:pPr>
          </w:p>
        </w:tc>
        <w:tc>
          <w:tcPr>
            <w:tcW w:w="5386" w:type="dxa"/>
            <w:tcBorders>
              <w:top w:val="nil"/>
              <w:bottom w:val="nil"/>
            </w:tcBorders>
          </w:tcPr>
          <w:p w14:paraId="6BA8514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及所屬人員不得為獲取投機利益之目的，以職務上所知悉之消息，從事上市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5387" w:type="dxa"/>
            <w:tcBorders>
              <w:top w:val="nil"/>
              <w:bottom w:val="nil"/>
            </w:tcBorders>
          </w:tcPr>
          <w:p w14:paraId="334210D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及所屬人員不得為獲取投機利益之目的，以職務上所知悉之消息，從事上市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2023" w:type="dxa"/>
            <w:vMerge/>
            <w:tcBorders>
              <w:right w:val="single" w:sz="12" w:space="0" w:color="auto"/>
            </w:tcBorders>
          </w:tcPr>
          <w:p w14:paraId="088BF27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294543" w14:textId="77777777">
        <w:tc>
          <w:tcPr>
            <w:tcW w:w="1384" w:type="dxa"/>
            <w:vMerge/>
            <w:tcBorders>
              <w:left w:val="single" w:sz="12" w:space="0" w:color="auto"/>
            </w:tcBorders>
          </w:tcPr>
          <w:p w14:paraId="25BDA353" w14:textId="77777777" w:rsidR="003B3105" w:rsidRDefault="003B3105" w:rsidP="001E533B">
            <w:pPr>
              <w:rPr>
                <w:rFonts w:ascii="新細明體" w:eastAsia="新細明體" w:hAnsi="新細明體"/>
              </w:rPr>
            </w:pPr>
          </w:p>
        </w:tc>
        <w:tc>
          <w:tcPr>
            <w:tcW w:w="1276" w:type="dxa"/>
            <w:vMerge/>
          </w:tcPr>
          <w:p w14:paraId="772F6D5B" w14:textId="77777777" w:rsidR="003B3105" w:rsidRDefault="003B3105" w:rsidP="001E533B">
            <w:pPr>
              <w:rPr>
                <w:rFonts w:ascii="新細明體" w:eastAsia="新細明體" w:hAnsi="新細明體"/>
              </w:rPr>
            </w:pPr>
          </w:p>
        </w:tc>
        <w:tc>
          <w:tcPr>
            <w:tcW w:w="5386" w:type="dxa"/>
            <w:tcBorders>
              <w:top w:val="nil"/>
              <w:bottom w:val="nil"/>
            </w:tcBorders>
          </w:tcPr>
          <w:p w14:paraId="718343D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(三十四)公司內部人員委託買賣有價證券，應依證交所103年2月27日臺證交字第1030201485號函、櫃檯買賣中心103年3月6日證櫃交字第10300043711號函、證</w:t>
            </w:r>
            <w:r>
              <w:rPr>
                <w:rFonts w:ascii="新細明體" w:eastAsia="新細明體" w:hAnsi="新細明體" w:cs="新細明體" w:hint="eastAsia"/>
              </w:rPr>
              <w:lastRenderedPageBreak/>
              <w:t>交所「證券商內部人員在所屬證券商開戶委託買賣有價證券管理辦法」及櫃檯買賣中心「櫃檯買賣證券商內部人員在所屬證券商開戶委託買賣有價證券管理辦法」之規定辦理。受託買賣業務人員接受內部人員委託買賣，如知悉其有利用他人名義為之時，應拒絕接受委託買賣，並通知受託買賣主管處理。受託買賣業務人員除自行以電子式交易外，不得受理自身及依證交所營業細則第七十五條第一項第四款所代理帳戶之委託交易。公司應避免內部人員與客戶因應付當日沖銷券差取借之利益衝突，公司對已確認有意願出借者，依出借費率由低而高取借，內部人員出借費率與客戶相同時，應優先向客戶取借。</w:t>
            </w:r>
          </w:p>
        </w:tc>
        <w:tc>
          <w:tcPr>
            <w:tcW w:w="5387" w:type="dxa"/>
            <w:tcBorders>
              <w:top w:val="nil"/>
              <w:bottom w:val="nil"/>
            </w:tcBorders>
          </w:tcPr>
          <w:p w14:paraId="53CDFAF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(三十四)公司內部人員委託買賣有價證券，應依證交所103年2月27日臺證交字第1030201485號函、櫃檯買賣中心103年3月6日證櫃交字第10300043711號函、證</w:t>
            </w:r>
            <w:r>
              <w:rPr>
                <w:rFonts w:ascii="新細明體" w:eastAsia="新細明體" w:hAnsi="新細明體" w:cs="新細明體" w:hint="eastAsia"/>
              </w:rPr>
              <w:lastRenderedPageBreak/>
              <w:t>交所「證券商內部人員在所屬證券商開戶委託買賣有價證券管理辦法」及櫃檯買賣中心「櫃檯買賣證券商內部人員在所屬證券商開戶委託買賣有價證券管理辦法」之規定辦理。受託買賣業務人員接受內部人員委託買賣，如知悉其有利用他人名義為之時，應拒絕接受委託買賣，並通知受託買賣主管處理。受託買賣業務人員除自行以電子式交易外，不得受理自身及依證交所營業細則第七十五條第一項第四款所代理帳戶之委託交易。公司應避免內部人員與客戶因應付當日沖銷券差取借之利益衝突，公司對已確認有意願出借者，依出借費率由低而高取借，內部人員出借費率與客戶相同時，應優先向客戶取借。</w:t>
            </w:r>
          </w:p>
        </w:tc>
        <w:tc>
          <w:tcPr>
            <w:tcW w:w="2023" w:type="dxa"/>
            <w:vMerge/>
            <w:tcBorders>
              <w:right w:val="single" w:sz="12" w:space="0" w:color="auto"/>
            </w:tcBorders>
          </w:tcPr>
          <w:p w14:paraId="20211B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E2E268" w14:textId="77777777">
        <w:tc>
          <w:tcPr>
            <w:tcW w:w="1384" w:type="dxa"/>
            <w:vMerge/>
            <w:tcBorders>
              <w:left w:val="single" w:sz="12" w:space="0" w:color="auto"/>
            </w:tcBorders>
          </w:tcPr>
          <w:p w14:paraId="1752D88F" w14:textId="77777777" w:rsidR="003B3105" w:rsidRDefault="003B3105" w:rsidP="001E533B">
            <w:pPr>
              <w:rPr>
                <w:rFonts w:ascii="新細明體" w:eastAsia="新細明體" w:hAnsi="新細明體"/>
              </w:rPr>
            </w:pPr>
          </w:p>
        </w:tc>
        <w:tc>
          <w:tcPr>
            <w:tcW w:w="1276" w:type="dxa"/>
            <w:vMerge/>
          </w:tcPr>
          <w:p w14:paraId="604AA8C9" w14:textId="77777777" w:rsidR="003B3105" w:rsidRDefault="003B3105" w:rsidP="001E533B">
            <w:pPr>
              <w:rPr>
                <w:rFonts w:ascii="新細明體" w:eastAsia="新細明體" w:hAnsi="新細明體"/>
              </w:rPr>
            </w:pPr>
          </w:p>
        </w:tc>
        <w:tc>
          <w:tcPr>
            <w:tcW w:w="5386" w:type="dxa"/>
            <w:tcBorders>
              <w:top w:val="nil"/>
              <w:bottom w:val="nil"/>
            </w:tcBorders>
          </w:tcPr>
          <w:p w14:paraId="2B3A01C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(三十五)公司負責人、各級業務人員及其他員工於接受客戶委託買賣有價證券或從事證券業務時，不得違反「證券商負責人與業務人員管理規則」第十八條之規定。</w:t>
            </w:r>
          </w:p>
        </w:tc>
        <w:tc>
          <w:tcPr>
            <w:tcW w:w="5387" w:type="dxa"/>
            <w:tcBorders>
              <w:top w:val="nil"/>
              <w:bottom w:val="nil"/>
            </w:tcBorders>
          </w:tcPr>
          <w:p w14:paraId="6B62480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(三十五)公司負責人、各級業務人員及其他員工於接受客戶委託買賣有價證券或從事證券業務時，不得違反「證券商負責人與業務人員管理規則」第十八條之規定。</w:t>
            </w:r>
          </w:p>
        </w:tc>
        <w:tc>
          <w:tcPr>
            <w:tcW w:w="2023" w:type="dxa"/>
            <w:vMerge/>
            <w:tcBorders>
              <w:right w:val="single" w:sz="12" w:space="0" w:color="auto"/>
            </w:tcBorders>
          </w:tcPr>
          <w:p w14:paraId="34729C4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C9B5F6" w14:textId="77777777">
        <w:tc>
          <w:tcPr>
            <w:tcW w:w="1384" w:type="dxa"/>
            <w:vMerge/>
            <w:tcBorders>
              <w:left w:val="single" w:sz="12" w:space="0" w:color="auto"/>
            </w:tcBorders>
          </w:tcPr>
          <w:p w14:paraId="3A147E9B" w14:textId="77777777" w:rsidR="003B3105" w:rsidRDefault="003B3105" w:rsidP="001E533B">
            <w:pPr>
              <w:rPr>
                <w:rFonts w:ascii="新細明體" w:eastAsia="新細明體" w:hAnsi="新細明體"/>
              </w:rPr>
            </w:pPr>
          </w:p>
        </w:tc>
        <w:tc>
          <w:tcPr>
            <w:tcW w:w="1276" w:type="dxa"/>
            <w:vMerge/>
          </w:tcPr>
          <w:p w14:paraId="3F49DD72" w14:textId="77777777" w:rsidR="003B3105" w:rsidRDefault="003B3105" w:rsidP="001E533B">
            <w:pPr>
              <w:rPr>
                <w:rFonts w:ascii="新細明體" w:eastAsia="新細明體" w:hAnsi="新細明體"/>
              </w:rPr>
            </w:pPr>
          </w:p>
        </w:tc>
        <w:tc>
          <w:tcPr>
            <w:tcW w:w="5386" w:type="dxa"/>
            <w:tcBorders>
              <w:top w:val="nil"/>
              <w:bottom w:val="nil"/>
            </w:tcBorders>
          </w:tcPr>
          <w:p w14:paraId="0FC12FC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(三十六)公司受理客戶使用應用程式介面(API)服務作業應依證交所「證券商受理投資人使用應用程式介面(API)服務作業規範」辦理。如提供加值服務應由客戶自行設定參數與決定買賣之執行。</w:t>
            </w:r>
          </w:p>
        </w:tc>
        <w:tc>
          <w:tcPr>
            <w:tcW w:w="5387" w:type="dxa"/>
            <w:tcBorders>
              <w:top w:val="nil"/>
              <w:bottom w:val="nil"/>
            </w:tcBorders>
          </w:tcPr>
          <w:p w14:paraId="015315E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(三十六)公司受理客戶使用應用程式介面(API)服務作業應依證交所「證券商受理投資人使用應用程式介面(API)服務作業規範」辦理。如提供加值服務應由客戶自行設定參數與決定買賣之執行。</w:t>
            </w:r>
          </w:p>
        </w:tc>
        <w:tc>
          <w:tcPr>
            <w:tcW w:w="2023" w:type="dxa"/>
            <w:vMerge/>
            <w:tcBorders>
              <w:right w:val="single" w:sz="12" w:space="0" w:color="auto"/>
            </w:tcBorders>
          </w:tcPr>
          <w:p w14:paraId="6B7BF74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(三十七)公司提供客戶不同交易型態之「設定交易條件下單」功能時，買賣申報價格</w:t>
            </w:r>
            <w:r>
              <w:rPr>
                <w:rFonts w:ascii="新細明體" w:eastAsia="新細明體" w:hAnsi="新細明體" w:cs="新細明體" w:hint="eastAsia"/>
              </w:rPr>
              <w:lastRenderedPageBreak/>
              <w:t>及有效期別應依證交所營業細則第58條之8、櫃檯買賣中心業務規則第35條之12規定辦理；且其委託書製作及保存，應依證交所營業細則第75條第8及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若「設定交易條件下單」係採當面委託時，應另提供條件式下單書面格式（含所接受之條件），由客戶填寫附於「委託書」後，做為日後稽核及發生爭議時之憑證。</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(三十七)公司提供客戶不同交易型態之「設定交易條件下單」功能時，買賣申報價格</w:t>
            </w:r>
            <w:r>
              <w:rPr>
                <w:rFonts w:ascii="新細明體" w:eastAsia="新細明體" w:hAnsi="新細明體" w:cs="新細明體" w:hint="eastAsia"/>
              </w:rPr>
              <w:lastRenderedPageBreak/>
              <w:t>及有效期別應依證交所營業細則第58條之8、櫃檯買賣中心業務規則第35條之12規定辦理；且其委託書製作及保存，應依證交所營業細則第75條第8及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若「設定交易條件下單」係採當面委託時，應另提供條件式下單書面格式（含所接受之條件），由客戶填寫附於「委託書」後，做為日後稽核及發生爭議時之憑證。</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8E059" w14:textId="77777777" w:rsidR="00EB338D" w:rsidRDefault="00EB338D" w:rsidP="00E87601">
      <w:pPr>
        <w:spacing w:line="240" w:lineRule="auto"/>
      </w:pPr>
      <w:r>
        <w:separator/>
      </w:r>
    </w:p>
  </w:endnote>
  <w:endnote w:type="continuationSeparator" w:id="0">
    <w:p w14:paraId="10A74EDE" w14:textId="77777777" w:rsidR="00EB338D" w:rsidRDefault="00EB338D"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996F4" w14:textId="77777777" w:rsidR="00EB338D" w:rsidRDefault="00EB338D" w:rsidP="00E87601">
      <w:pPr>
        <w:spacing w:line="240" w:lineRule="auto"/>
      </w:pPr>
      <w:r>
        <w:separator/>
      </w:r>
    </w:p>
  </w:footnote>
  <w:footnote w:type="continuationSeparator" w:id="0">
    <w:p w14:paraId="0921EC1D" w14:textId="77777777" w:rsidR="00EB338D" w:rsidRDefault="00EB338D"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D7738"/>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161AB"/>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38D"/>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3291</Words>
  <Characters>18765</Characters>
  <Application>Microsoft Office Word</Application>
  <DocSecurity>0</DocSecurity>
  <Lines>156</Lines>
  <Paragraphs>44</Paragraphs>
  <ScaleCrop>false</ScaleCrop>
  <Company>Hewlett-Packard Company</Company>
  <LinksUpToDate>false</LinksUpToDate>
  <CharactersWithSpaces>22012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14</cp:revision>
  <cp:lastPrinted>2004-03-09T19:20:00Z</cp:lastPrinted>
  <dcterms:created xsi:type="dcterms:W3CDTF">2025-04-18T10:47:00Z</dcterms:created>
  <dcterms:modified xsi:type="dcterms:W3CDTF">2026-05-18T10:26:00Z</dcterms:modified>
</cp:coreProperties>
</file>