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CF7" w:rsidRPr="00456770" w:rsidRDefault="00061CF7" w:rsidP="00061CF7">
      <w:pPr>
        <w:jc w:val="center"/>
        <w:rPr>
          <w:rFonts w:ascii="標楷體" w:eastAsia="標楷體" w:hAnsi="標楷體"/>
          <w:color w:val="000000" w:themeColor="text1"/>
        </w:rPr>
      </w:pPr>
      <w:r w:rsidRPr="00456770">
        <w:rPr>
          <w:rFonts w:ascii="標楷體" w:eastAsia="標楷體" w:hAnsi="標楷體" w:hint="eastAsia"/>
          <w:color w:val="000000" w:themeColor="text1"/>
        </w:rPr>
        <w:t>證券商辦理資通系統資通安全評估作業程序</w:t>
      </w:r>
      <w:bookmarkStart w:id="0" w:name="_GoBack"/>
      <w:bookmarkEnd w:id="0"/>
    </w:p>
    <w:p w:rsidR="00061CF7" w:rsidRPr="00456770" w:rsidRDefault="00061CF7" w:rsidP="00061CF7">
      <w:pPr>
        <w:pStyle w:val="a3"/>
        <w:numPr>
          <w:ilvl w:val="0"/>
          <w:numId w:val="1"/>
        </w:numPr>
        <w:ind w:leftChars="0"/>
        <w:rPr>
          <w:rFonts w:ascii="標楷體" w:eastAsia="標楷體" w:hAnsi="標楷體"/>
          <w:color w:val="000000" w:themeColor="text1"/>
        </w:rPr>
      </w:pPr>
      <w:r w:rsidRPr="00456770">
        <w:rPr>
          <w:rFonts w:ascii="標楷體" w:eastAsia="標楷體" w:hAnsi="標楷體" w:hint="eastAsia"/>
          <w:color w:val="000000" w:themeColor="text1"/>
        </w:rPr>
        <w:t>前言</w:t>
      </w:r>
    </w:p>
    <w:p w:rsidR="00061CF7" w:rsidRPr="00456770" w:rsidRDefault="00061CF7" w:rsidP="00061CF7">
      <w:pPr>
        <w:rPr>
          <w:rFonts w:ascii="標楷體" w:eastAsia="標楷體" w:hAnsi="標楷體"/>
          <w:color w:val="000000" w:themeColor="text1"/>
        </w:rPr>
      </w:pPr>
      <w:r w:rsidRPr="00456770">
        <w:rPr>
          <w:rFonts w:ascii="標楷體" w:eastAsia="標楷體" w:hAnsi="標楷體" w:hint="eastAsia"/>
          <w:color w:val="000000" w:themeColor="text1"/>
        </w:rPr>
        <w:t>為確保證券商提供資通系統具有一致性基本系統</w:t>
      </w:r>
      <w:r w:rsidRPr="00456770">
        <w:rPr>
          <w:rFonts w:ascii="標楷體" w:eastAsia="標楷體" w:hAnsi="標楷體"/>
          <w:color w:val="000000" w:themeColor="text1"/>
          <w:szCs w:val="24"/>
        </w:rPr>
        <w:t>安全防護能力，擬透過各項資通安全評估作業，發現資安威脅與弱點，藉以實施技術面與管理面相關控制措施，以改善並提升網路與資</w:t>
      </w:r>
      <w:r w:rsidRPr="00456770">
        <w:rPr>
          <w:rFonts w:ascii="標楷體" w:eastAsia="標楷體" w:hAnsi="標楷體" w:hint="eastAsia"/>
          <w:color w:val="000000" w:themeColor="text1"/>
          <w:szCs w:val="24"/>
        </w:rPr>
        <w:t>通</w:t>
      </w:r>
      <w:r w:rsidRPr="00456770">
        <w:rPr>
          <w:rFonts w:ascii="標楷體" w:eastAsia="標楷體" w:hAnsi="標楷體"/>
          <w:color w:val="000000" w:themeColor="text1"/>
          <w:szCs w:val="24"/>
        </w:rPr>
        <w:t>系統安全防護能力，訂定本</w:t>
      </w:r>
      <w:r w:rsidRPr="00456770">
        <w:rPr>
          <w:rFonts w:ascii="標楷體" w:eastAsia="標楷體" w:hAnsi="標楷體" w:hint="eastAsia"/>
          <w:color w:val="000000" w:themeColor="text1"/>
          <w:szCs w:val="24"/>
        </w:rPr>
        <w:t>作業程序</w:t>
      </w:r>
      <w:r w:rsidRPr="00456770">
        <w:rPr>
          <w:rFonts w:ascii="標楷體" w:eastAsia="標楷體" w:hAnsi="標楷體"/>
          <w:color w:val="000000" w:themeColor="text1"/>
          <w:szCs w:val="24"/>
        </w:rPr>
        <w:t>。</w:t>
      </w:r>
    </w:p>
    <w:p w:rsidR="00061CF7" w:rsidRPr="00456770" w:rsidRDefault="00061CF7" w:rsidP="00061CF7">
      <w:pPr>
        <w:pStyle w:val="a3"/>
        <w:numPr>
          <w:ilvl w:val="0"/>
          <w:numId w:val="1"/>
        </w:numPr>
        <w:ind w:leftChars="0"/>
        <w:rPr>
          <w:rFonts w:ascii="標楷體" w:eastAsia="標楷體" w:hAnsi="標楷體"/>
          <w:color w:val="000000" w:themeColor="text1"/>
        </w:rPr>
      </w:pPr>
      <w:r w:rsidRPr="00456770">
        <w:rPr>
          <w:rFonts w:ascii="標楷體" w:eastAsia="標楷體" w:hAnsi="標楷體" w:hint="eastAsia"/>
          <w:color w:val="000000" w:themeColor="text1"/>
        </w:rPr>
        <w:t>評估範圍</w:t>
      </w:r>
    </w:p>
    <w:p w:rsidR="00061CF7" w:rsidRPr="00456770" w:rsidRDefault="00061CF7" w:rsidP="00061CF7">
      <w:pPr>
        <w:pStyle w:val="a3"/>
        <w:numPr>
          <w:ilvl w:val="0"/>
          <w:numId w:val="2"/>
        </w:numPr>
        <w:ind w:leftChars="0" w:left="851" w:hanging="567"/>
        <w:rPr>
          <w:rFonts w:ascii="標楷體" w:eastAsia="標楷體" w:hAnsi="標楷體"/>
          <w:color w:val="000000" w:themeColor="text1"/>
        </w:rPr>
      </w:pPr>
      <w:r w:rsidRPr="00456770">
        <w:rPr>
          <w:rFonts w:ascii="標楷體" w:eastAsia="標楷體" w:hAnsi="標楷體" w:hint="eastAsia"/>
          <w:color w:val="000000" w:themeColor="text1"/>
        </w:rPr>
        <w:t>證券商應</w:t>
      </w:r>
      <w:r w:rsidR="00FE1D7C" w:rsidRPr="00456770">
        <w:rPr>
          <w:rFonts w:ascii="標楷體" w:eastAsia="標楷體" w:hAnsi="標楷體" w:hint="eastAsia"/>
          <w:color w:val="000000" w:themeColor="text1"/>
        </w:rPr>
        <w:t>依「建立證券商資通安全檢查機制-分級防護應辦事項附表」</w:t>
      </w:r>
      <w:r w:rsidRPr="00456770">
        <w:rPr>
          <w:rFonts w:ascii="標楷體" w:eastAsia="標楷體" w:hAnsi="標楷體" w:hint="eastAsia"/>
          <w:color w:val="000000" w:themeColor="text1"/>
        </w:rPr>
        <w:t>就整體資通系統</w:t>
      </w:r>
      <w:r w:rsidRPr="00456770">
        <w:rPr>
          <w:rFonts w:ascii="標楷體" w:eastAsia="標楷體" w:hAnsi="標楷體"/>
          <w:color w:val="000000" w:themeColor="text1"/>
        </w:rPr>
        <w:t>(自建與委外)依據本</w:t>
      </w:r>
      <w:r w:rsidRPr="00456770">
        <w:rPr>
          <w:rFonts w:ascii="標楷體" w:eastAsia="標楷體" w:hAnsi="標楷體" w:hint="eastAsia"/>
          <w:color w:val="000000" w:themeColor="text1"/>
        </w:rPr>
        <w:t>作業程序建構一套評估計畫，基於持續營運及保障客戶權益，依資訊資產之重要性</w:t>
      </w:r>
      <w:r w:rsidR="00421992" w:rsidRPr="00456770">
        <w:rPr>
          <w:rFonts w:ascii="標楷體" w:eastAsia="標楷體" w:hAnsi="標楷體" w:hint="eastAsia"/>
          <w:color w:val="000000" w:themeColor="text1"/>
        </w:rPr>
        <w:t>及影響程度進行分類</w:t>
      </w:r>
      <w:r w:rsidRPr="00456770">
        <w:rPr>
          <w:rFonts w:ascii="標楷體" w:eastAsia="標楷體" w:hAnsi="標楷體" w:hint="eastAsia"/>
          <w:color w:val="000000" w:themeColor="text1"/>
        </w:rPr>
        <w:t>，定期並分級辦理資通安全評估作業，並提交「資通系統資通安全評估報告」，辦理矯正預防措施，並定期追蹤檢討。外國證券商如有較佳之資安健診作業則從其規範；若無，則應遵守本國的規範。兼營證券商應依其本業規</w:t>
      </w:r>
      <w:r w:rsidR="009B03CE" w:rsidRPr="00456770">
        <w:rPr>
          <w:rFonts w:ascii="標楷體" w:eastAsia="標楷體" w:hAnsi="標楷體" w:hint="eastAsia"/>
          <w:color w:val="000000" w:themeColor="text1"/>
        </w:rPr>
        <w:t>定</w:t>
      </w:r>
      <w:r w:rsidRPr="00456770">
        <w:rPr>
          <w:rFonts w:ascii="標楷體" w:eastAsia="標楷體" w:hAnsi="標楷體" w:hint="eastAsia"/>
          <w:color w:val="000000" w:themeColor="text1"/>
        </w:rPr>
        <w:t>辦理，若無，則應依本規範辦理。</w:t>
      </w:r>
    </w:p>
    <w:p w:rsidR="00061CF7" w:rsidRPr="00456770" w:rsidRDefault="00061CF7" w:rsidP="00061CF7">
      <w:pPr>
        <w:pStyle w:val="a3"/>
        <w:numPr>
          <w:ilvl w:val="0"/>
          <w:numId w:val="2"/>
        </w:numPr>
        <w:ind w:leftChars="0" w:left="851" w:hanging="567"/>
        <w:rPr>
          <w:rFonts w:ascii="標楷體" w:eastAsia="標楷體" w:hAnsi="標楷體"/>
          <w:color w:val="000000" w:themeColor="text1"/>
        </w:rPr>
      </w:pPr>
      <w:r w:rsidRPr="00456770">
        <w:rPr>
          <w:rFonts w:ascii="標楷體" w:eastAsia="標楷體" w:hAnsi="標楷體" w:hint="eastAsia"/>
          <w:color w:val="000000" w:themeColor="text1"/>
        </w:rPr>
        <w:t>評估計畫及結果應報董事會或經其授權之經理部門核定，惟外國證券商在台分公司得由</w:t>
      </w:r>
      <w:r w:rsidR="00AE09B2" w:rsidRPr="00456770">
        <w:rPr>
          <w:rFonts w:ascii="標楷體" w:eastAsia="標楷體" w:hAnsi="標楷體" w:hint="eastAsia"/>
          <w:color w:val="000000" w:themeColor="text1"/>
        </w:rPr>
        <w:t>分公司</w:t>
      </w:r>
      <w:r w:rsidRPr="00456770">
        <w:rPr>
          <w:rFonts w:ascii="標楷體" w:eastAsia="標楷體" w:hAnsi="標楷體" w:hint="eastAsia"/>
          <w:color w:val="000000" w:themeColor="text1"/>
        </w:rPr>
        <w:t>負責人為之。評估計畫至少每三年重新審視一次。</w:t>
      </w:r>
    </w:p>
    <w:p w:rsidR="00061CF7" w:rsidRPr="00456770" w:rsidRDefault="00061CF7" w:rsidP="00061CF7">
      <w:pPr>
        <w:pStyle w:val="a3"/>
        <w:numPr>
          <w:ilvl w:val="0"/>
          <w:numId w:val="1"/>
        </w:numPr>
        <w:ind w:leftChars="0"/>
        <w:rPr>
          <w:rFonts w:ascii="標楷體" w:eastAsia="標楷體" w:hAnsi="標楷體"/>
          <w:color w:val="000000" w:themeColor="text1"/>
        </w:rPr>
      </w:pPr>
      <w:r w:rsidRPr="00456770">
        <w:rPr>
          <w:rFonts w:ascii="標楷體" w:eastAsia="標楷體" w:hAnsi="標楷體" w:hint="eastAsia"/>
          <w:color w:val="000000" w:themeColor="text1"/>
        </w:rPr>
        <w:t>資通系統分類及評估週期</w:t>
      </w:r>
    </w:p>
    <w:p w:rsidR="00061CF7" w:rsidRPr="00456770" w:rsidRDefault="00061CF7" w:rsidP="00061CF7">
      <w:pPr>
        <w:pStyle w:val="a3"/>
        <w:numPr>
          <w:ilvl w:val="0"/>
          <w:numId w:val="3"/>
        </w:numPr>
        <w:ind w:leftChars="100" w:left="720"/>
        <w:rPr>
          <w:rFonts w:ascii="標楷體" w:eastAsia="標楷體" w:hAnsi="標楷體"/>
          <w:color w:val="000000" w:themeColor="text1"/>
        </w:rPr>
      </w:pPr>
      <w:r w:rsidRPr="00456770">
        <w:rPr>
          <w:rFonts w:ascii="標楷體" w:eastAsia="標楷體" w:hAnsi="標楷體" w:hint="eastAsia"/>
          <w:color w:val="000000" w:themeColor="text1"/>
        </w:rPr>
        <w:t>資通系統依其重要性分為三類：</w:t>
      </w:r>
    </w:p>
    <w:tbl>
      <w:tblPr>
        <w:tblStyle w:val="a4"/>
        <w:tblW w:w="7816" w:type="dxa"/>
        <w:tblInd w:w="720" w:type="dxa"/>
        <w:tblLook w:val="04A0" w:firstRow="1" w:lastRow="0" w:firstColumn="1" w:lastColumn="0" w:noHBand="0" w:noVBand="1"/>
      </w:tblPr>
      <w:tblGrid>
        <w:gridCol w:w="2600"/>
        <w:gridCol w:w="2599"/>
        <w:gridCol w:w="2617"/>
      </w:tblGrid>
      <w:tr w:rsidR="00456770" w:rsidRPr="00456770" w:rsidTr="005C720B">
        <w:tc>
          <w:tcPr>
            <w:tcW w:w="2600" w:type="dxa"/>
          </w:tcPr>
          <w:p w:rsidR="00061CF7" w:rsidRPr="00456770" w:rsidRDefault="00061CF7" w:rsidP="005C720B">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類別</w:t>
            </w:r>
          </w:p>
        </w:tc>
        <w:tc>
          <w:tcPr>
            <w:tcW w:w="2599" w:type="dxa"/>
          </w:tcPr>
          <w:p w:rsidR="00061CF7" w:rsidRPr="00456770" w:rsidRDefault="00061CF7" w:rsidP="005C720B">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定義</w:t>
            </w:r>
          </w:p>
        </w:tc>
        <w:tc>
          <w:tcPr>
            <w:tcW w:w="2617" w:type="dxa"/>
          </w:tcPr>
          <w:p w:rsidR="00061CF7" w:rsidRPr="00456770" w:rsidRDefault="00061CF7" w:rsidP="005C720B">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評估週期</w:t>
            </w:r>
          </w:p>
        </w:tc>
      </w:tr>
      <w:tr w:rsidR="00456770" w:rsidRPr="00456770" w:rsidTr="005C720B">
        <w:tc>
          <w:tcPr>
            <w:tcW w:w="2600" w:type="dxa"/>
          </w:tcPr>
          <w:p w:rsidR="00421992" w:rsidRPr="00456770" w:rsidRDefault="00421992" w:rsidP="00421992">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第一類</w:t>
            </w:r>
          </w:p>
        </w:tc>
        <w:tc>
          <w:tcPr>
            <w:tcW w:w="2599" w:type="dxa"/>
          </w:tcPr>
          <w:p w:rsidR="00421992" w:rsidRPr="00456770" w:rsidRDefault="00421992" w:rsidP="00421992">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提供</w:t>
            </w:r>
            <w:r w:rsidR="00CF2F4E" w:rsidRPr="00456770">
              <w:rPr>
                <w:rFonts w:ascii="標楷體" w:eastAsia="標楷體" w:hAnsi="標楷體" w:hint="eastAsia"/>
                <w:color w:val="000000" w:themeColor="text1"/>
              </w:rPr>
              <w:t>與客戶相關之</w:t>
            </w:r>
            <w:r w:rsidRPr="00456770">
              <w:rPr>
                <w:rFonts w:ascii="標楷體" w:eastAsia="標楷體" w:hAnsi="標楷體" w:hint="eastAsia"/>
                <w:color w:val="000000" w:themeColor="text1"/>
              </w:rPr>
              <w:t>網際網路服務資通系統及核心系統</w:t>
            </w:r>
          </w:p>
          <w:p w:rsidR="00421992" w:rsidRPr="00456770" w:rsidRDefault="00421992" w:rsidP="00556595">
            <w:pPr>
              <w:rPr>
                <w:rFonts w:ascii="標楷體" w:eastAsia="標楷體" w:hAnsi="標楷體"/>
                <w:color w:val="000000" w:themeColor="text1"/>
              </w:rPr>
            </w:pPr>
            <w:r w:rsidRPr="00456770">
              <w:rPr>
                <w:rFonts w:ascii="標楷體" w:eastAsia="標楷體" w:hAnsi="標楷體" w:hint="eastAsia"/>
                <w:color w:val="000000" w:themeColor="text1"/>
              </w:rPr>
              <w:t>(核心系統</w:t>
            </w:r>
            <w:r w:rsidR="00556595" w:rsidRPr="00456770">
              <w:rPr>
                <w:rFonts w:ascii="標楷體" w:eastAsia="標楷體" w:hAnsi="標楷體" w:hint="eastAsia"/>
                <w:color w:val="000000" w:themeColor="text1"/>
              </w:rPr>
              <w:t>：係指直接提供客戶交易或支持交易業務持續運作之必要系統</w:t>
            </w:r>
            <w:r w:rsidRPr="00456770">
              <w:rPr>
                <w:rFonts w:ascii="標楷體" w:eastAsia="標楷體" w:hAnsi="標楷體" w:hint="eastAsia"/>
                <w:color w:val="000000" w:themeColor="text1"/>
              </w:rPr>
              <w:t>)</w:t>
            </w:r>
          </w:p>
        </w:tc>
        <w:tc>
          <w:tcPr>
            <w:tcW w:w="2617" w:type="dxa"/>
          </w:tcPr>
          <w:p w:rsidR="00421992" w:rsidRPr="00456770" w:rsidRDefault="00421992" w:rsidP="00421992">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依所屬資安分級定期辦理。</w:t>
            </w:r>
          </w:p>
        </w:tc>
      </w:tr>
      <w:tr w:rsidR="00456770" w:rsidRPr="00456770" w:rsidTr="005C720B">
        <w:tc>
          <w:tcPr>
            <w:tcW w:w="2600" w:type="dxa"/>
          </w:tcPr>
          <w:p w:rsidR="00421992" w:rsidRPr="00456770" w:rsidRDefault="00421992" w:rsidP="00421992">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第二類</w:t>
            </w:r>
          </w:p>
        </w:tc>
        <w:tc>
          <w:tcPr>
            <w:tcW w:w="2599" w:type="dxa"/>
          </w:tcPr>
          <w:p w:rsidR="00421992" w:rsidRPr="00456770" w:rsidRDefault="00421992" w:rsidP="00421992">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存放客戶資料之資通系統</w:t>
            </w:r>
          </w:p>
        </w:tc>
        <w:tc>
          <w:tcPr>
            <w:tcW w:w="2617" w:type="dxa"/>
          </w:tcPr>
          <w:p w:rsidR="00421992" w:rsidRPr="00456770" w:rsidRDefault="00421992" w:rsidP="00421992">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依所屬資安分級定期辦理。每三年至少辦理一次資通安全評估作業</w:t>
            </w:r>
          </w:p>
        </w:tc>
      </w:tr>
      <w:tr w:rsidR="00456770" w:rsidRPr="00456770" w:rsidTr="005C720B">
        <w:tc>
          <w:tcPr>
            <w:tcW w:w="2600" w:type="dxa"/>
          </w:tcPr>
          <w:p w:rsidR="00421992" w:rsidRPr="00456770" w:rsidRDefault="00421992" w:rsidP="00421992">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第三類</w:t>
            </w:r>
          </w:p>
        </w:tc>
        <w:tc>
          <w:tcPr>
            <w:tcW w:w="2599" w:type="dxa"/>
          </w:tcPr>
          <w:p w:rsidR="00421992" w:rsidRPr="00456770" w:rsidRDefault="00421992" w:rsidP="00421992">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非第一類與第二類之資通系統</w:t>
            </w:r>
          </w:p>
        </w:tc>
        <w:tc>
          <w:tcPr>
            <w:tcW w:w="2617" w:type="dxa"/>
          </w:tcPr>
          <w:p w:rsidR="00421992" w:rsidRPr="00456770" w:rsidRDefault="00421992" w:rsidP="00421992">
            <w:pPr>
              <w:pStyle w:val="a3"/>
              <w:ind w:leftChars="0" w:left="0"/>
              <w:rPr>
                <w:rFonts w:ascii="標楷體" w:eastAsia="標楷體" w:hAnsi="標楷體"/>
                <w:color w:val="000000" w:themeColor="text1"/>
              </w:rPr>
            </w:pPr>
            <w:r w:rsidRPr="00456770">
              <w:rPr>
                <w:rFonts w:ascii="標楷體" w:eastAsia="標楷體" w:hAnsi="標楷體" w:hint="eastAsia"/>
                <w:color w:val="000000" w:themeColor="text1"/>
              </w:rPr>
              <w:t>依所屬資安分級定期辦理。每五年至少辦理一次資通安全評估作業</w:t>
            </w:r>
          </w:p>
        </w:tc>
      </w:tr>
    </w:tbl>
    <w:p w:rsidR="00061CF7" w:rsidRPr="00456770" w:rsidRDefault="00061CF7" w:rsidP="00061CF7">
      <w:pPr>
        <w:pStyle w:val="a3"/>
        <w:numPr>
          <w:ilvl w:val="0"/>
          <w:numId w:val="3"/>
        </w:numPr>
        <w:ind w:leftChars="100" w:left="720"/>
        <w:rPr>
          <w:rFonts w:ascii="標楷體" w:eastAsia="標楷體" w:hAnsi="標楷體"/>
          <w:color w:val="000000" w:themeColor="text1"/>
        </w:rPr>
      </w:pPr>
      <w:r w:rsidRPr="00456770">
        <w:rPr>
          <w:rFonts w:ascii="標楷體" w:eastAsia="標楷體" w:hAnsi="標楷體" w:hint="eastAsia"/>
          <w:color w:val="000000" w:themeColor="text1"/>
        </w:rPr>
        <w:t>單一系統為數眾多且財產權歸屬於公司之設備得以抽測方式辦理，抽測比例每次至少應占該系統全部設備之</w:t>
      </w:r>
      <w:r w:rsidRPr="00456770">
        <w:rPr>
          <w:rFonts w:ascii="標楷體" w:eastAsia="標楷體" w:hAnsi="標楷體"/>
          <w:color w:val="000000" w:themeColor="text1"/>
        </w:rPr>
        <w:t>10%</w:t>
      </w:r>
      <w:r w:rsidRPr="00456770">
        <w:rPr>
          <w:rFonts w:ascii="標楷體" w:eastAsia="標楷體" w:hAnsi="標楷體" w:hint="eastAsia"/>
          <w:color w:val="000000" w:themeColor="text1"/>
        </w:rPr>
        <w:t>或100台以上。</w:t>
      </w:r>
    </w:p>
    <w:p w:rsidR="00061CF7" w:rsidRPr="00456770" w:rsidRDefault="00061CF7" w:rsidP="00061CF7">
      <w:pPr>
        <w:pStyle w:val="a3"/>
        <w:numPr>
          <w:ilvl w:val="0"/>
          <w:numId w:val="3"/>
        </w:numPr>
        <w:ind w:leftChars="100" w:left="720"/>
        <w:rPr>
          <w:rFonts w:ascii="標楷體" w:eastAsia="標楷體" w:hAnsi="標楷體"/>
          <w:color w:val="000000" w:themeColor="text1"/>
        </w:rPr>
      </w:pPr>
      <w:r w:rsidRPr="00456770">
        <w:rPr>
          <w:rFonts w:ascii="標楷體" w:eastAsia="標楷體" w:hAnsi="標楷體" w:hint="eastAsia"/>
          <w:color w:val="000000" w:themeColor="text1"/>
        </w:rPr>
        <w:t>單一系統發生重大資通安全事件，經確認後屬個資外洩或駭客攻擊，應於三個月內重新完成資通安全評估作業。</w:t>
      </w:r>
    </w:p>
    <w:p w:rsidR="00061CF7" w:rsidRPr="00456770" w:rsidRDefault="00061CF7" w:rsidP="00061CF7">
      <w:pPr>
        <w:pStyle w:val="a3"/>
        <w:numPr>
          <w:ilvl w:val="0"/>
          <w:numId w:val="1"/>
        </w:numPr>
        <w:ind w:leftChars="0"/>
        <w:rPr>
          <w:rFonts w:ascii="標楷體" w:eastAsia="標楷體" w:hAnsi="標楷體"/>
          <w:color w:val="000000" w:themeColor="text1"/>
        </w:rPr>
      </w:pPr>
      <w:r w:rsidRPr="00456770">
        <w:rPr>
          <w:rFonts w:ascii="標楷體" w:eastAsia="標楷體" w:hAnsi="標楷體" w:hint="eastAsia"/>
          <w:color w:val="000000" w:themeColor="text1"/>
        </w:rPr>
        <w:t>資通安全評估作業</w:t>
      </w:r>
    </w:p>
    <w:p w:rsidR="00061CF7" w:rsidRPr="00456770" w:rsidRDefault="00061CF7" w:rsidP="00061CF7">
      <w:pPr>
        <w:pStyle w:val="a3"/>
        <w:numPr>
          <w:ilvl w:val="0"/>
          <w:numId w:val="16"/>
        </w:numPr>
        <w:ind w:leftChars="0"/>
        <w:rPr>
          <w:rFonts w:ascii="標楷體" w:eastAsia="標楷體" w:hAnsi="標楷體"/>
          <w:color w:val="000000" w:themeColor="text1"/>
        </w:rPr>
      </w:pPr>
      <w:r w:rsidRPr="00456770">
        <w:rPr>
          <w:rFonts w:ascii="標楷體" w:eastAsia="標楷體" w:hAnsi="標楷體" w:hint="eastAsia"/>
          <w:color w:val="000000" w:themeColor="text1"/>
        </w:rPr>
        <w:t>資訊架構檢視</w:t>
      </w:r>
    </w:p>
    <w:p w:rsidR="00061CF7" w:rsidRPr="00456770" w:rsidRDefault="00061CF7" w:rsidP="00061CF7">
      <w:pPr>
        <w:pStyle w:val="a3"/>
        <w:numPr>
          <w:ilvl w:val="1"/>
          <w:numId w:val="4"/>
        </w:numPr>
        <w:ind w:leftChars="0"/>
        <w:rPr>
          <w:rFonts w:ascii="標楷體" w:eastAsia="標楷體" w:hAnsi="標楷體"/>
          <w:color w:val="000000" w:themeColor="text1"/>
        </w:rPr>
      </w:pPr>
      <w:r w:rsidRPr="00456770">
        <w:rPr>
          <w:rFonts w:ascii="標楷體" w:eastAsia="標楷體" w:hAnsi="標楷體" w:hint="eastAsia"/>
          <w:color w:val="000000" w:themeColor="text1"/>
        </w:rPr>
        <w:lastRenderedPageBreak/>
        <w:t>檢視網路架構之配置、資訊設備安全管理規則之妥適性等，以評估可能之風險，採取必要因應措施。</w:t>
      </w:r>
    </w:p>
    <w:p w:rsidR="00061CF7" w:rsidRPr="00456770" w:rsidRDefault="00061CF7" w:rsidP="00061CF7">
      <w:pPr>
        <w:pStyle w:val="a3"/>
        <w:numPr>
          <w:ilvl w:val="1"/>
          <w:numId w:val="4"/>
        </w:numPr>
        <w:ind w:leftChars="0"/>
        <w:rPr>
          <w:rFonts w:ascii="標楷體" w:eastAsia="標楷體" w:hAnsi="標楷體"/>
          <w:color w:val="000000" w:themeColor="text1"/>
        </w:rPr>
      </w:pPr>
      <w:r w:rsidRPr="00456770">
        <w:rPr>
          <w:rFonts w:ascii="標楷體" w:eastAsia="標楷體" w:hAnsi="標楷體" w:hint="eastAsia"/>
          <w:color w:val="000000" w:themeColor="text1"/>
        </w:rPr>
        <w:t>檢視單點故障最大衝擊與風險承擔能力。</w:t>
      </w:r>
    </w:p>
    <w:p w:rsidR="00061CF7" w:rsidRPr="00456770" w:rsidRDefault="00061CF7" w:rsidP="00061CF7">
      <w:pPr>
        <w:pStyle w:val="a3"/>
        <w:numPr>
          <w:ilvl w:val="1"/>
          <w:numId w:val="4"/>
        </w:numPr>
        <w:ind w:leftChars="0"/>
        <w:rPr>
          <w:rFonts w:ascii="標楷體" w:eastAsia="標楷體" w:hAnsi="標楷體"/>
          <w:color w:val="000000" w:themeColor="text1"/>
        </w:rPr>
      </w:pPr>
      <w:r w:rsidRPr="00456770">
        <w:rPr>
          <w:rFonts w:ascii="標楷體" w:eastAsia="標楷體" w:hAnsi="標楷體" w:hint="eastAsia"/>
          <w:color w:val="000000" w:themeColor="text1"/>
        </w:rPr>
        <w:t>檢視對於持</w:t>
      </w:r>
      <w:r w:rsidR="00556595" w:rsidRPr="00456770">
        <w:rPr>
          <w:rFonts w:ascii="標楷體" w:eastAsia="標楷體" w:hAnsi="標楷體" w:hint="eastAsia"/>
          <w:color w:val="000000" w:themeColor="text1"/>
        </w:rPr>
        <w:t>續</w:t>
      </w:r>
      <w:r w:rsidRPr="00456770">
        <w:rPr>
          <w:rFonts w:ascii="標楷體" w:eastAsia="標楷體" w:hAnsi="標楷體" w:hint="eastAsia"/>
          <w:color w:val="000000" w:themeColor="text1"/>
        </w:rPr>
        <w:t>營運所採取相關措施之妥適性。</w:t>
      </w:r>
    </w:p>
    <w:p w:rsidR="00061CF7" w:rsidRPr="00456770" w:rsidRDefault="00061CF7" w:rsidP="00061CF7">
      <w:pPr>
        <w:pStyle w:val="a3"/>
        <w:numPr>
          <w:ilvl w:val="1"/>
          <w:numId w:val="4"/>
        </w:numPr>
        <w:ind w:leftChars="0"/>
        <w:rPr>
          <w:rFonts w:ascii="標楷體" w:eastAsia="標楷體" w:hAnsi="標楷體"/>
          <w:color w:val="000000" w:themeColor="text1"/>
        </w:rPr>
      </w:pPr>
      <w:r w:rsidRPr="00456770">
        <w:rPr>
          <w:rFonts w:ascii="標楷體" w:eastAsia="標楷體" w:hAnsi="標楷體" w:hint="eastAsia"/>
          <w:color w:val="000000" w:themeColor="text1"/>
        </w:rPr>
        <w:t>適時參考金融資安資訊分享與分析中心(F</w:t>
      </w:r>
      <w:r w:rsidRPr="00456770">
        <w:rPr>
          <w:rFonts w:ascii="標楷體" w:eastAsia="標楷體" w:hAnsi="標楷體"/>
          <w:color w:val="000000" w:themeColor="text1"/>
        </w:rPr>
        <w:t>-ISAC)</w:t>
      </w:r>
      <w:r w:rsidRPr="00456770">
        <w:rPr>
          <w:rFonts w:ascii="標楷體" w:eastAsia="標楷體" w:hAnsi="標楷體" w:hint="eastAsia"/>
          <w:color w:val="000000" w:themeColor="text1"/>
        </w:rPr>
        <w:t>所發布之資安威脅情資及資安防護建議，並採取相關措施。</w:t>
      </w:r>
    </w:p>
    <w:p w:rsidR="00061CF7" w:rsidRPr="00456770" w:rsidRDefault="00061CF7" w:rsidP="00061CF7">
      <w:pPr>
        <w:pStyle w:val="a3"/>
        <w:numPr>
          <w:ilvl w:val="1"/>
          <w:numId w:val="4"/>
        </w:numPr>
        <w:ind w:leftChars="0"/>
        <w:rPr>
          <w:rFonts w:ascii="標楷體" w:eastAsia="標楷體" w:hAnsi="標楷體"/>
          <w:color w:val="000000" w:themeColor="text1"/>
        </w:rPr>
      </w:pPr>
      <w:r w:rsidRPr="00456770">
        <w:rPr>
          <w:rFonts w:ascii="標楷體" w:eastAsia="標楷體" w:hAnsi="標楷體" w:hint="eastAsia"/>
          <w:color w:val="000000" w:themeColor="text1"/>
        </w:rPr>
        <w:t>檢視伺服器應依資通系統分類或系統功能或服務特性進行網段區隔。</w:t>
      </w:r>
    </w:p>
    <w:p w:rsidR="00061CF7" w:rsidRPr="00456770" w:rsidRDefault="00061CF7" w:rsidP="00061CF7">
      <w:pPr>
        <w:pStyle w:val="a3"/>
        <w:numPr>
          <w:ilvl w:val="1"/>
          <w:numId w:val="4"/>
        </w:numPr>
        <w:ind w:leftChars="0"/>
        <w:rPr>
          <w:rFonts w:ascii="標楷體" w:eastAsia="標楷體" w:hAnsi="標楷體"/>
          <w:color w:val="000000" w:themeColor="text1"/>
        </w:rPr>
      </w:pPr>
      <w:r w:rsidRPr="00456770">
        <w:rPr>
          <w:rFonts w:ascii="標楷體" w:eastAsia="標楷體" w:hAnsi="標楷體" w:hint="eastAsia"/>
          <w:color w:val="000000" w:themeColor="text1"/>
        </w:rPr>
        <w:t>檢視邊界防護設備（包含閘道器、路由器、防火牆、防護裝置等設備）與外部網路連接之網點，是否設立防火牆控管內外部網路資料傳輸及資源存取，並限制非必要之連線對象與服務。</w:t>
      </w:r>
    </w:p>
    <w:p w:rsidR="00061CF7" w:rsidRPr="00456770" w:rsidRDefault="00061CF7" w:rsidP="00061CF7">
      <w:pPr>
        <w:pStyle w:val="a3"/>
        <w:numPr>
          <w:ilvl w:val="0"/>
          <w:numId w:val="16"/>
        </w:numPr>
        <w:ind w:leftChars="0"/>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網路</w:t>
      </w:r>
      <w:r w:rsidRPr="00456770">
        <w:rPr>
          <w:rFonts w:ascii="標楷體" w:eastAsia="標楷體" w:hAnsi="標楷體" w:hint="eastAsia"/>
          <w:color w:val="000000" w:themeColor="text1"/>
        </w:rPr>
        <w:t>活動</w:t>
      </w:r>
      <w:r w:rsidRPr="00456770">
        <w:rPr>
          <w:rFonts w:ascii="標楷體" w:eastAsia="標楷體" w:hAnsi="標楷體" w:cs="新細明體" w:hint="eastAsia"/>
          <w:color w:val="000000" w:themeColor="text1"/>
          <w:kern w:val="0"/>
          <w:szCs w:val="24"/>
        </w:rPr>
        <w:t>檢視</w:t>
      </w:r>
    </w:p>
    <w:p w:rsidR="00061CF7" w:rsidRPr="00456770" w:rsidRDefault="00061CF7" w:rsidP="00061CF7">
      <w:pPr>
        <w:pStyle w:val="a3"/>
        <w:numPr>
          <w:ilvl w:val="0"/>
          <w:numId w:val="5"/>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檢視網路設備、伺服器及物聯網設備之存取紀錄及帳號權限，識別異常紀錄與確認警示機制。</w:t>
      </w:r>
    </w:p>
    <w:p w:rsidR="00061CF7" w:rsidRPr="00456770" w:rsidRDefault="00061CF7" w:rsidP="00061CF7">
      <w:pPr>
        <w:pStyle w:val="a3"/>
        <w:numPr>
          <w:ilvl w:val="0"/>
          <w:numId w:val="5"/>
        </w:numPr>
        <w:spacing w:before="20" w:after="20"/>
        <w:ind w:leftChars="0" w:left="1224" w:hanging="264"/>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檢視資安設備（如：防火牆、入侵偵測或防禦、惡意軟體防護、資料外洩防護、垃圾郵件過濾、網路釣魚偵測、網頁防護等）之監控紀錄，識別異常紀錄與確認警示機制。</w:t>
      </w:r>
    </w:p>
    <w:p w:rsidR="00061CF7" w:rsidRPr="00456770" w:rsidRDefault="00061CF7" w:rsidP="00061CF7">
      <w:pPr>
        <w:pStyle w:val="a3"/>
        <w:widowControl/>
        <w:numPr>
          <w:ilvl w:val="0"/>
          <w:numId w:val="5"/>
        </w:numPr>
        <w:topLinePunct/>
        <w:spacing w:before="20" w:after="20"/>
        <w:ind w:leftChars="0" w:left="1224" w:hanging="266"/>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檢視網路是否存在異常連線或異常網域名稱解析伺服器（Domain Name System Server ,DNS Server）查詢或監控進出之通訊流量，並比對是否為已知惡意IP、中繼站或有符合網路惡意行為的特徵。</w:t>
      </w:r>
    </w:p>
    <w:p w:rsidR="00061CF7" w:rsidRPr="00456770" w:rsidRDefault="00061CF7" w:rsidP="00061CF7">
      <w:pPr>
        <w:pStyle w:val="a3"/>
        <w:widowControl/>
        <w:numPr>
          <w:ilvl w:val="0"/>
          <w:numId w:val="5"/>
        </w:numPr>
        <w:topLinePunct/>
        <w:spacing w:before="20" w:after="20"/>
        <w:ind w:leftChars="0" w:left="1224" w:hanging="266"/>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檢視是否訂定偵測偽冒網站之處理措施。</w:t>
      </w:r>
    </w:p>
    <w:p w:rsidR="00061CF7" w:rsidRPr="00456770" w:rsidRDefault="00061CF7" w:rsidP="00061CF7">
      <w:pPr>
        <w:pStyle w:val="a3"/>
        <w:numPr>
          <w:ilvl w:val="0"/>
          <w:numId w:val="16"/>
        </w:numPr>
        <w:ind w:leftChars="0"/>
        <w:rPr>
          <w:rFonts w:ascii="標楷體" w:eastAsia="標楷體" w:hAnsi="標楷體" w:cs="新細明體"/>
          <w:color w:val="000000" w:themeColor="text1"/>
          <w:kern w:val="0"/>
          <w:szCs w:val="24"/>
        </w:rPr>
      </w:pPr>
      <w:r w:rsidRPr="00456770">
        <w:rPr>
          <w:rFonts w:ascii="標楷體" w:eastAsia="標楷體" w:hAnsi="標楷體" w:hint="eastAsia"/>
          <w:color w:val="000000" w:themeColor="text1"/>
        </w:rPr>
        <w:t>網路</w:t>
      </w:r>
      <w:r w:rsidRPr="00456770">
        <w:rPr>
          <w:rFonts w:ascii="標楷體" w:eastAsia="標楷體" w:hAnsi="標楷體" w:cs="新細明體" w:hint="eastAsia"/>
          <w:color w:val="000000" w:themeColor="text1"/>
          <w:kern w:val="0"/>
          <w:szCs w:val="24"/>
        </w:rPr>
        <w:t>設備、伺服器、終端設備及物聯網設備等設備檢測</w:t>
      </w:r>
    </w:p>
    <w:p w:rsidR="00061CF7" w:rsidRPr="00456770" w:rsidRDefault="00061CF7" w:rsidP="00061CF7">
      <w:pPr>
        <w:pStyle w:val="a3"/>
        <w:numPr>
          <w:ilvl w:val="0"/>
          <w:numId w:val="12"/>
        </w:numPr>
        <w:spacing w:before="20" w:after="20"/>
        <w:ind w:leftChars="0" w:left="1224" w:hanging="264"/>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辦理網路設備、伺服器、終端設備及物聯網設備等設備的弱點掃描與修補作業。</w:t>
      </w:r>
    </w:p>
    <w:p w:rsidR="00061CF7" w:rsidRPr="00456770" w:rsidRDefault="00061CF7" w:rsidP="00061CF7">
      <w:pPr>
        <w:pStyle w:val="a3"/>
        <w:numPr>
          <w:ilvl w:val="0"/>
          <w:numId w:val="12"/>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檢測終端機及伺服器是否存在惡意程式。</w:t>
      </w:r>
    </w:p>
    <w:p w:rsidR="00061CF7" w:rsidRPr="00456770" w:rsidRDefault="00061CF7" w:rsidP="00061CF7">
      <w:pPr>
        <w:pStyle w:val="a3"/>
        <w:numPr>
          <w:ilvl w:val="0"/>
          <w:numId w:val="12"/>
        </w:numPr>
        <w:spacing w:before="20" w:after="20"/>
        <w:ind w:leftChars="0" w:left="1224" w:hanging="264"/>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檢測系統帳號登入密碼複雜度；檢視外部連接密碼（如檔案傳輸（File Transfer Protocol, FTP）連線、資料庫連線等）之儲存保護機制與存取控制。</w:t>
      </w:r>
    </w:p>
    <w:p w:rsidR="00061CF7" w:rsidRPr="00456770" w:rsidRDefault="00061CF7" w:rsidP="00061CF7">
      <w:pPr>
        <w:pStyle w:val="a3"/>
        <w:numPr>
          <w:ilvl w:val="0"/>
          <w:numId w:val="12"/>
        </w:numPr>
        <w:spacing w:before="20" w:after="20"/>
        <w:ind w:leftChars="0" w:left="1252" w:hanging="292"/>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辦理物聯網設備檢測作業時，依據「建立證券商資通安全檢查機制」辦理。</w:t>
      </w:r>
    </w:p>
    <w:p w:rsidR="00061CF7" w:rsidRPr="00456770" w:rsidRDefault="00061CF7" w:rsidP="00061CF7">
      <w:pPr>
        <w:pStyle w:val="a3"/>
        <w:numPr>
          <w:ilvl w:val="0"/>
          <w:numId w:val="16"/>
        </w:numPr>
        <w:ind w:leftChars="0"/>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可由外部Internet直接連線之網路設備、伺服器及物聯網等設備，應辦理下列事項：</w:t>
      </w:r>
    </w:p>
    <w:p w:rsidR="00061CF7" w:rsidRPr="00456770" w:rsidRDefault="00061CF7" w:rsidP="00061CF7">
      <w:pPr>
        <w:pStyle w:val="a3"/>
        <w:numPr>
          <w:ilvl w:val="0"/>
          <w:numId w:val="6"/>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進行滲透測試。</w:t>
      </w:r>
    </w:p>
    <w:p w:rsidR="00061CF7" w:rsidRPr="00456770" w:rsidRDefault="00061CF7" w:rsidP="00061CF7">
      <w:pPr>
        <w:pStyle w:val="a3"/>
        <w:numPr>
          <w:ilvl w:val="0"/>
          <w:numId w:val="6"/>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進行伺服器應用系統之程式原始碼掃描或黑箱測試。</w:t>
      </w:r>
    </w:p>
    <w:p w:rsidR="00061CF7" w:rsidRPr="00456770" w:rsidRDefault="00061CF7" w:rsidP="00061CF7">
      <w:pPr>
        <w:pStyle w:val="a3"/>
        <w:numPr>
          <w:ilvl w:val="0"/>
          <w:numId w:val="6"/>
        </w:numPr>
        <w:spacing w:before="20" w:after="20"/>
        <w:ind w:leftChars="0" w:left="1224" w:hanging="264"/>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檢視伺服器目錄及網頁之存取權限</w:t>
      </w:r>
    </w:p>
    <w:p w:rsidR="00061CF7" w:rsidRPr="00456770" w:rsidRDefault="00061CF7" w:rsidP="00061CF7">
      <w:pPr>
        <w:pStyle w:val="a3"/>
        <w:numPr>
          <w:ilvl w:val="0"/>
          <w:numId w:val="6"/>
        </w:numPr>
        <w:spacing w:before="20" w:after="20"/>
        <w:ind w:leftChars="0" w:left="1224" w:hanging="264"/>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檢視是否建立對外網站網頁防竄改機制。</w:t>
      </w:r>
    </w:p>
    <w:p w:rsidR="00061CF7" w:rsidRPr="00456770" w:rsidRDefault="00061CF7" w:rsidP="00061CF7">
      <w:pPr>
        <w:pStyle w:val="a3"/>
        <w:numPr>
          <w:ilvl w:val="0"/>
          <w:numId w:val="6"/>
        </w:numPr>
        <w:spacing w:before="20" w:after="20"/>
        <w:ind w:leftChars="0" w:left="1224" w:hanging="264"/>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檢視系統是否有異常的授權連線、CPU資源異常耗用及異常之資料庫存取行為等情況。</w:t>
      </w:r>
    </w:p>
    <w:p w:rsidR="00061CF7" w:rsidRPr="00456770" w:rsidRDefault="00061CF7" w:rsidP="00061CF7">
      <w:pPr>
        <w:pStyle w:val="a3"/>
        <w:numPr>
          <w:ilvl w:val="0"/>
          <w:numId w:val="16"/>
        </w:numPr>
        <w:ind w:leftChars="0"/>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lastRenderedPageBreak/>
        <w:t>客戶端應用程式檢測</w:t>
      </w:r>
    </w:p>
    <w:p w:rsidR="00061CF7" w:rsidRPr="00456770" w:rsidRDefault="00061CF7" w:rsidP="00061CF7">
      <w:pPr>
        <w:pStyle w:val="a3"/>
        <w:spacing w:before="20" w:after="20"/>
        <w:ind w:leftChars="0" w:left="96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證券商與客戶端之應用程式應採加密連線，並針對證券商交付給客戶之應用程式進行下列檢測：</w:t>
      </w:r>
    </w:p>
    <w:p w:rsidR="00061CF7" w:rsidRPr="00456770" w:rsidRDefault="00061CF7" w:rsidP="00061CF7">
      <w:pPr>
        <w:pStyle w:val="a3"/>
        <w:numPr>
          <w:ilvl w:val="0"/>
          <w:numId w:val="7"/>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提供https、</w:t>
      </w:r>
      <w:r w:rsidRPr="00456770">
        <w:rPr>
          <w:rFonts w:ascii="標楷體" w:eastAsia="標楷體" w:hAnsi="標楷體" w:cs="新細明體"/>
          <w:color w:val="000000" w:themeColor="text1"/>
          <w:kern w:val="0"/>
          <w:szCs w:val="24"/>
        </w:rPr>
        <w:t>SFTP</w:t>
      </w:r>
      <w:r w:rsidRPr="00456770">
        <w:rPr>
          <w:rFonts w:ascii="標楷體" w:eastAsia="標楷體" w:hAnsi="標楷體" w:cs="新細明體" w:hint="eastAsia"/>
          <w:color w:val="000000" w:themeColor="text1"/>
          <w:kern w:val="0"/>
          <w:szCs w:val="24"/>
        </w:rPr>
        <w:t>者應進行弱點掃描。</w:t>
      </w:r>
    </w:p>
    <w:p w:rsidR="00061CF7" w:rsidRPr="00456770" w:rsidRDefault="00061CF7" w:rsidP="00061CF7">
      <w:pPr>
        <w:pStyle w:val="a3"/>
        <w:numPr>
          <w:ilvl w:val="0"/>
          <w:numId w:val="7"/>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程式原始碼掃描或滲透測試。</w:t>
      </w:r>
    </w:p>
    <w:p w:rsidR="00061CF7" w:rsidRPr="00456770" w:rsidRDefault="00061CF7" w:rsidP="00061CF7">
      <w:pPr>
        <w:pStyle w:val="a3"/>
        <w:numPr>
          <w:ilvl w:val="0"/>
          <w:numId w:val="7"/>
        </w:numPr>
        <w:spacing w:before="20" w:after="20"/>
        <w:ind w:leftChars="0" w:left="1224" w:hanging="264"/>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敏感性資料保護檢測（如記憶體、儲存媒體）。</w:t>
      </w:r>
    </w:p>
    <w:p w:rsidR="00061CF7" w:rsidRPr="00456770" w:rsidRDefault="00061CF7" w:rsidP="00061CF7">
      <w:pPr>
        <w:pStyle w:val="a3"/>
        <w:numPr>
          <w:ilvl w:val="0"/>
          <w:numId w:val="7"/>
        </w:numPr>
        <w:spacing w:before="20" w:after="20"/>
        <w:ind w:leftChars="0" w:left="1224" w:hanging="264"/>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金鑰保護檢測。</w:t>
      </w:r>
    </w:p>
    <w:p w:rsidR="00061CF7" w:rsidRPr="00456770" w:rsidRDefault="00061CF7" w:rsidP="00061CF7">
      <w:pPr>
        <w:pStyle w:val="a3"/>
        <w:numPr>
          <w:ilvl w:val="0"/>
          <w:numId w:val="7"/>
        </w:numPr>
        <w:spacing w:before="20" w:after="20"/>
        <w:ind w:leftChars="0" w:left="1224" w:hanging="264"/>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採最小權限原則，僅允許使用者依任務及業務功能所需完成指派之授權存取控管。</w:t>
      </w:r>
    </w:p>
    <w:p w:rsidR="00061CF7" w:rsidRPr="00456770" w:rsidRDefault="00061CF7" w:rsidP="00061CF7">
      <w:pPr>
        <w:pStyle w:val="a3"/>
        <w:numPr>
          <w:ilvl w:val="0"/>
          <w:numId w:val="16"/>
        </w:numPr>
        <w:ind w:leftChars="0"/>
        <w:rPr>
          <w:rFonts w:ascii="標楷體" w:eastAsia="標楷體" w:hAnsi="標楷體" w:cs="新細明體"/>
          <w:color w:val="000000" w:themeColor="text1"/>
          <w:kern w:val="0"/>
          <w:szCs w:val="24"/>
        </w:rPr>
      </w:pPr>
      <w:r w:rsidRPr="00456770">
        <w:rPr>
          <w:rFonts w:ascii="標楷體" w:eastAsia="標楷體" w:hAnsi="標楷體" w:hint="eastAsia"/>
          <w:color w:val="000000" w:themeColor="text1"/>
        </w:rPr>
        <w:t>安全</w:t>
      </w:r>
      <w:r w:rsidRPr="00456770">
        <w:rPr>
          <w:rFonts w:ascii="標楷體" w:eastAsia="標楷體" w:hAnsi="標楷體" w:cs="新細明體" w:hint="eastAsia"/>
          <w:color w:val="000000" w:themeColor="text1"/>
          <w:kern w:val="0"/>
          <w:szCs w:val="24"/>
        </w:rPr>
        <w:t>設定檢視</w:t>
      </w:r>
    </w:p>
    <w:p w:rsidR="00061CF7" w:rsidRPr="00456770" w:rsidRDefault="00061CF7" w:rsidP="00061CF7">
      <w:pPr>
        <w:pStyle w:val="a3"/>
        <w:numPr>
          <w:ilvl w:val="0"/>
          <w:numId w:val="8"/>
        </w:numPr>
        <w:kinsoku w:val="0"/>
        <w:overflowPunct w:val="0"/>
        <w:autoSpaceDE w:val="0"/>
        <w:autoSpaceDN w:val="0"/>
        <w:spacing w:before="20" w:after="20"/>
        <w:ind w:leftChars="0" w:left="1207" w:hanging="249"/>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檢視伺服器（如網域服務Active Directory）有關「密碼設定原則」與「帳號鎖定原則」設定。</w:t>
      </w:r>
    </w:p>
    <w:p w:rsidR="00061CF7" w:rsidRPr="00456770" w:rsidRDefault="00061CF7" w:rsidP="00061CF7">
      <w:pPr>
        <w:pStyle w:val="a3"/>
        <w:numPr>
          <w:ilvl w:val="0"/>
          <w:numId w:val="8"/>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檢視防火牆是否開啟具有安全性風險的通訊埠或非必要通訊埠，連線設定是否有安全性弱點。</w:t>
      </w:r>
    </w:p>
    <w:p w:rsidR="00061CF7" w:rsidRPr="00456770" w:rsidRDefault="00061CF7" w:rsidP="00061CF7">
      <w:pPr>
        <w:pStyle w:val="a3"/>
        <w:numPr>
          <w:ilvl w:val="0"/>
          <w:numId w:val="8"/>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檢視系統存取限制（如存取控制清單Access Control List）及特權帳號管理。</w:t>
      </w:r>
    </w:p>
    <w:p w:rsidR="00061CF7" w:rsidRPr="00456770" w:rsidRDefault="00061CF7" w:rsidP="00061CF7">
      <w:pPr>
        <w:pStyle w:val="a3"/>
        <w:numPr>
          <w:ilvl w:val="0"/>
          <w:numId w:val="8"/>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檢視作業系統、防毒軟體、辦公軟體及應用軟體等之更新設定及更新狀態。</w:t>
      </w:r>
    </w:p>
    <w:p w:rsidR="00061CF7" w:rsidRPr="00456770" w:rsidRDefault="00061CF7" w:rsidP="00061CF7">
      <w:pPr>
        <w:pStyle w:val="a3"/>
        <w:numPr>
          <w:ilvl w:val="0"/>
          <w:numId w:val="8"/>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檢視金鑰之儲存保護機制與存取控制等安全措施。</w:t>
      </w:r>
    </w:p>
    <w:p w:rsidR="00061CF7" w:rsidRPr="00456770" w:rsidRDefault="00061CF7" w:rsidP="00061CF7">
      <w:pPr>
        <w:pStyle w:val="a3"/>
        <w:numPr>
          <w:ilvl w:val="0"/>
          <w:numId w:val="8"/>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檢視從外部網路連線至公司內部網路時需確認使用者身分。</w:t>
      </w:r>
    </w:p>
    <w:p w:rsidR="00061CF7" w:rsidRPr="00456770" w:rsidRDefault="00061CF7" w:rsidP="00061CF7">
      <w:pPr>
        <w:pStyle w:val="a3"/>
        <w:numPr>
          <w:ilvl w:val="0"/>
          <w:numId w:val="16"/>
        </w:numPr>
        <w:ind w:leftChars="0"/>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資通</w:t>
      </w:r>
      <w:r w:rsidRPr="00456770">
        <w:rPr>
          <w:rFonts w:ascii="標楷體" w:eastAsia="標楷體" w:hAnsi="標楷體" w:hint="eastAsia"/>
          <w:color w:val="000000" w:themeColor="text1"/>
        </w:rPr>
        <w:t>系統</w:t>
      </w:r>
      <w:r w:rsidRPr="00456770">
        <w:rPr>
          <w:rFonts w:ascii="標楷體" w:eastAsia="標楷體" w:hAnsi="標楷體" w:cs="新細明體" w:hint="eastAsia"/>
          <w:color w:val="000000" w:themeColor="text1"/>
          <w:kern w:val="0"/>
          <w:szCs w:val="24"/>
        </w:rPr>
        <w:t>可靠性與安全性侵害之對策</w:t>
      </w:r>
    </w:p>
    <w:p w:rsidR="00061CF7" w:rsidRPr="00456770" w:rsidRDefault="00061CF7" w:rsidP="00061CF7">
      <w:pPr>
        <w:pStyle w:val="a3"/>
        <w:numPr>
          <w:ilvl w:val="0"/>
          <w:numId w:val="9"/>
        </w:numPr>
        <w:spacing w:before="20" w:after="20"/>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公司應就提升資通系統可靠性研擬相關對策，其內容包括：</w:t>
      </w:r>
    </w:p>
    <w:p w:rsidR="00061CF7" w:rsidRPr="00456770" w:rsidRDefault="00061CF7" w:rsidP="00061CF7">
      <w:pPr>
        <w:pStyle w:val="a3"/>
        <w:numPr>
          <w:ilvl w:val="0"/>
          <w:numId w:val="10"/>
        </w:numPr>
        <w:spacing w:before="20" w:after="20"/>
        <w:ind w:leftChars="0" w:left="1686" w:hanging="53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提升硬體設備之可靠性：包含預防硬體設備故障與備用硬體設備設置之對策。</w:t>
      </w:r>
    </w:p>
    <w:p w:rsidR="00061CF7" w:rsidRPr="00456770" w:rsidRDefault="00061CF7" w:rsidP="00061CF7">
      <w:pPr>
        <w:pStyle w:val="a3"/>
        <w:numPr>
          <w:ilvl w:val="0"/>
          <w:numId w:val="10"/>
        </w:numPr>
        <w:spacing w:before="20" w:after="20"/>
        <w:ind w:leftChars="0" w:left="1686" w:hanging="53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提升軟體系統之可靠性：包含提升軟體開發品質與提升軟體維護品質對策。</w:t>
      </w:r>
    </w:p>
    <w:p w:rsidR="00061CF7" w:rsidRPr="00456770" w:rsidRDefault="00061CF7" w:rsidP="00061CF7">
      <w:pPr>
        <w:pStyle w:val="a3"/>
        <w:numPr>
          <w:ilvl w:val="0"/>
          <w:numId w:val="10"/>
        </w:numPr>
        <w:spacing w:before="20" w:after="20"/>
        <w:ind w:leftChars="0" w:left="1686" w:hanging="53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提升營運可靠性之對策。</w:t>
      </w:r>
    </w:p>
    <w:p w:rsidR="00061CF7" w:rsidRPr="00456770" w:rsidRDefault="00061CF7" w:rsidP="00061CF7">
      <w:pPr>
        <w:pStyle w:val="a3"/>
        <w:numPr>
          <w:ilvl w:val="0"/>
          <w:numId w:val="10"/>
        </w:numPr>
        <w:spacing w:before="20" w:after="20"/>
        <w:ind w:leftChars="0" w:left="1686" w:hanging="53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故障之早期發現與早期復原對策。</w:t>
      </w:r>
    </w:p>
    <w:p w:rsidR="00061CF7" w:rsidRPr="00456770" w:rsidRDefault="00061CF7" w:rsidP="00061CF7">
      <w:pPr>
        <w:pStyle w:val="a3"/>
        <w:numPr>
          <w:ilvl w:val="0"/>
          <w:numId w:val="10"/>
        </w:numPr>
        <w:spacing w:before="20" w:after="20"/>
        <w:ind w:leftChars="0" w:left="1686" w:hanging="53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災變對策。</w:t>
      </w:r>
    </w:p>
    <w:p w:rsidR="00061CF7" w:rsidRPr="00456770" w:rsidRDefault="00061CF7" w:rsidP="00061CF7">
      <w:pPr>
        <w:pStyle w:val="a3"/>
        <w:numPr>
          <w:ilvl w:val="0"/>
          <w:numId w:val="10"/>
        </w:numPr>
        <w:spacing w:beforeLines="20" w:before="72" w:afterLines="20" w:after="72"/>
        <w:ind w:leftChars="0" w:left="1686" w:hanging="53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備份之系統備份媒體，須擬定驗證計畫，並驗證備份媒體之可靠性及資訊之完整性。</w:t>
      </w:r>
    </w:p>
    <w:p w:rsidR="00061CF7" w:rsidRPr="00456770" w:rsidRDefault="00061CF7" w:rsidP="00061CF7">
      <w:pPr>
        <w:pStyle w:val="a3"/>
        <w:numPr>
          <w:ilvl w:val="0"/>
          <w:numId w:val="9"/>
        </w:numPr>
        <w:spacing w:beforeLines="20" w:before="72" w:afterLines="20" w:after="72"/>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公司應就資通安全性侵害，研擬相關對策，其內容包括：</w:t>
      </w:r>
    </w:p>
    <w:p w:rsidR="00061CF7" w:rsidRPr="00456770" w:rsidRDefault="00061CF7" w:rsidP="00061CF7">
      <w:pPr>
        <w:pStyle w:val="a3"/>
        <w:numPr>
          <w:ilvl w:val="0"/>
          <w:numId w:val="11"/>
        </w:numPr>
        <w:spacing w:beforeLines="20" w:before="72" w:afterLines="20" w:after="72"/>
        <w:ind w:leftChars="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資料保護：包含防止洩漏、防止破壞篡改與相對應檢測之對策。</w:t>
      </w:r>
    </w:p>
    <w:p w:rsidR="00061CF7" w:rsidRPr="00456770" w:rsidRDefault="00061CF7" w:rsidP="00061CF7">
      <w:pPr>
        <w:pStyle w:val="a3"/>
        <w:numPr>
          <w:ilvl w:val="0"/>
          <w:numId w:val="11"/>
        </w:numPr>
        <w:spacing w:beforeLines="20" w:before="72" w:afterLines="20" w:after="72"/>
        <w:ind w:leftChars="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防止非法使用：包含存取權限確認、應用範圍限制、防止非法偽造、限制外部網路存取及偵測與因應之對策。</w:t>
      </w:r>
    </w:p>
    <w:p w:rsidR="00061CF7" w:rsidRPr="00456770" w:rsidRDefault="00061CF7" w:rsidP="00061CF7">
      <w:pPr>
        <w:pStyle w:val="a3"/>
        <w:numPr>
          <w:ilvl w:val="0"/>
          <w:numId w:val="11"/>
        </w:numPr>
        <w:spacing w:beforeLines="20" w:before="72" w:afterLines="20" w:after="72"/>
        <w:ind w:leftChars="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防止非法程式：包含防禦、偵測與復原對策。</w:t>
      </w:r>
    </w:p>
    <w:p w:rsidR="00061CF7" w:rsidRPr="00456770" w:rsidRDefault="00061CF7" w:rsidP="00061CF7">
      <w:pPr>
        <w:pStyle w:val="a3"/>
        <w:numPr>
          <w:ilvl w:val="0"/>
          <w:numId w:val="9"/>
        </w:numPr>
        <w:spacing w:beforeLines="20" w:before="72" w:afterLines="20" w:after="72"/>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lastRenderedPageBreak/>
        <w:t>檢視資通系統是否符合「建立證券商資通安全檢查機制」及主管機關相關函文之要求。</w:t>
      </w:r>
    </w:p>
    <w:p w:rsidR="00556595" w:rsidRPr="00456770" w:rsidRDefault="00556595" w:rsidP="00E158BC">
      <w:pPr>
        <w:pStyle w:val="a3"/>
        <w:numPr>
          <w:ilvl w:val="0"/>
          <w:numId w:val="9"/>
        </w:numPr>
        <w:spacing w:beforeLines="20" w:before="72" w:afterLines="20" w:after="72"/>
        <w:ind w:leftChars="0" w:left="1210" w:hanging="250"/>
        <w:jc w:val="both"/>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檢視</w:t>
      </w:r>
      <w:r w:rsidR="00296A32" w:rsidRPr="00456770">
        <w:rPr>
          <w:rFonts w:ascii="標楷體" w:eastAsia="標楷體" w:hAnsi="標楷體" w:cs="新細明體" w:hint="eastAsia"/>
          <w:color w:val="000000" w:themeColor="text1"/>
          <w:kern w:val="0"/>
          <w:szCs w:val="24"/>
        </w:rPr>
        <w:t>資通</w:t>
      </w:r>
      <w:r w:rsidRPr="00456770">
        <w:rPr>
          <w:rFonts w:ascii="標楷體" w:eastAsia="標楷體" w:hAnsi="標楷體" w:cs="新細明體" w:hint="eastAsia"/>
          <w:color w:val="000000" w:themeColor="text1"/>
          <w:kern w:val="0"/>
          <w:szCs w:val="24"/>
        </w:rPr>
        <w:t>系統之SWIFT系統是否符合SWIFT公布之Customer Security Programm</w:t>
      </w:r>
      <w:r w:rsidRPr="00456770">
        <w:rPr>
          <w:rFonts w:ascii="標楷體" w:eastAsia="標楷體" w:hAnsi="標楷體" w:cs="新細明體"/>
          <w:color w:val="000000" w:themeColor="text1"/>
          <w:kern w:val="0"/>
          <w:szCs w:val="24"/>
        </w:rPr>
        <w:t>e</w:t>
      </w:r>
      <w:r w:rsidR="00296A32" w:rsidRPr="00456770">
        <w:rPr>
          <w:rFonts w:ascii="標楷體" w:eastAsia="標楷體" w:hAnsi="標楷體" w:cs="新細明體"/>
          <w:color w:val="000000" w:themeColor="text1"/>
          <w:kern w:val="0"/>
          <w:szCs w:val="24"/>
        </w:rPr>
        <w:t>(CSP)</w:t>
      </w:r>
      <w:r w:rsidRPr="00456770">
        <w:rPr>
          <w:rFonts w:ascii="標楷體" w:eastAsia="標楷體" w:hAnsi="標楷體" w:cs="新細明體" w:hint="eastAsia"/>
          <w:color w:val="000000" w:themeColor="text1"/>
          <w:kern w:val="0"/>
          <w:szCs w:val="24"/>
        </w:rPr>
        <w:t xml:space="preserve"> 規範</w:t>
      </w:r>
      <w:r w:rsidR="001B178C" w:rsidRPr="00456770">
        <w:rPr>
          <w:rFonts w:ascii="標楷體" w:eastAsia="標楷體" w:hAnsi="標楷體" w:cs="新細明體" w:hint="eastAsia"/>
          <w:color w:val="000000" w:themeColor="text1"/>
          <w:kern w:val="0"/>
          <w:szCs w:val="24"/>
        </w:rPr>
        <w:t>與</w:t>
      </w:r>
      <w:r w:rsidR="006C508C" w:rsidRPr="00456770">
        <w:rPr>
          <w:rFonts w:ascii="標楷體" w:eastAsia="標楷體" w:hAnsi="標楷體" w:cs="新細明體" w:hint="eastAsia"/>
          <w:color w:val="000000" w:themeColor="text1"/>
          <w:kern w:val="0"/>
          <w:szCs w:val="24"/>
        </w:rPr>
        <w:t>臺灣證券交易所</w:t>
      </w:r>
      <w:r w:rsidR="001B178C" w:rsidRPr="00456770">
        <w:rPr>
          <w:rFonts w:ascii="標楷體" w:eastAsia="標楷體" w:hAnsi="標楷體" w:cs="新細明體" w:hint="eastAsia"/>
          <w:color w:val="000000" w:themeColor="text1"/>
          <w:kern w:val="0"/>
          <w:szCs w:val="24"/>
        </w:rPr>
        <w:t>及</w:t>
      </w:r>
      <w:r w:rsidR="006C508C" w:rsidRPr="00456770">
        <w:rPr>
          <w:rFonts w:ascii="標楷體" w:eastAsia="標楷體" w:hAnsi="標楷體" w:cs="新細明體" w:hint="eastAsia"/>
          <w:color w:val="000000" w:themeColor="text1"/>
          <w:kern w:val="0"/>
          <w:szCs w:val="24"/>
        </w:rPr>
        <w:t>中華民國證券商業同業</w:t>
      </w:r>
      <w:r w:rsidR="00296A32" w:rsidRPr="00456770">
        <w:rPr>
          <w:rFonts w:ascii="標楷體" w:eastAsia="標楷體" w:hAnsi="標楷體" w:cs="新細明體" w:hint="eastAsia"/>
          <w:color w:val="000000" w:themeColor="text1"/>
          <w:kern w:val="0"/>
          <w:szCs w:val="24"/>
        </w:rPr>
        <w:t>公會</w:t>
      </w:r>
      <w:r w:rsidRPr="00456770">
        <w:rPr>
          <w:rFonts w:ascii="標楷體" w:eastAsia="標楷體" w:hAnsi="標楷體" w:cs="新細明體" w:hint="eastAsia"/>
          <w:color w:val="000000" w:themeColor="text1"/>
          <w:kern w:val="0"/>
          <w:szCs w:val="24"/>
        </w:rPr>
        <w:t>相關函文之要求，若與本辦法資</w:t>
      </w:r>
      <w:r w:rsidR="00296A32" w:rsidRPr="00456770">
        <w:rPr>
          <w:rFonts w:ascii="標楷體" w:eastAsia="標楷體" w:hAnsi="標楷體" w:cs="新細明體" w:hint="eastAsia"/>
          <w:color w:val="000000" w:themeColor="text1"/>
          <w:kern w:val="0"/>
          <w:szCs w:val="24"/>
        </w:rPr>
        <w:t>通</w:t>
      </w:r>
      <w:r w:rsidRPr="00456770">
        <w:rPr>
          <w:rFonts w:ascii="標楷體" w:eastAsia="標楷體" w:hAnsi="標楷體" w:cs="新細明體" w:hint="eastAsia"/>
          <w:color w:val="000000" w:themeColor="text1"/>
          <w:kern w:val="0"/>
          <w:szCs w:val="24"/>
        </w:rPr>
        <w:t>安全評估作業衝突，依SWIFT公布為主。</w:t>
      </w:r>
    </w:p>
    <w:p w:rsidR="00061CF7" w:rsidRPr="00456770" w:rsidRDefault="00061CF7" w:rsidP="00061CF7">
      <w:pPr>
        <w:pStyle w:val="a3"/>
        <w:widowControl/>
        <w:spacing w:beforeLines="20" w:before="72" w:afterLines="20" w:after="72"/>
        <w:ind w:leftChars="0"/>
        <w:jc w:val="both"/>
        <w:rPr>
          <w:rFonts w:ascii="標楷體" w:eastAsia="標楷體" w:hAnsi="標楷體" w:cs="Times New Roman"/>
          <w:color w:val="000000" w:themeColor="text1"/>
          <w:szCs w:val="24"/>
        </w:rPr>
      </w:pPr>
      <w:r w:rsidRPr="00456770">
        <w:rPr>
          <w:rFonts w:ascii="標楷體" w:eastAsia="標楷體" w:hAnsi="標楷體" w:cs="Times New Roman" w:hint="eastAsia"/>
          <w:color w:val="000000" w:themeColor="text1"/>
          <w:szCs w:val="24"/>
        </w:rPr>
        <w:t>第一類、第二類及第三類資通系統應依前項評估項目全部納入資通安全評估作業以確保評估作業之有效性。</w:t>
      </w:r>
    </w:p>
    <w:p w:rsidR="00061CF7" w:rsidRPr="00456770" w:rsidRDefault="00061CF7" w:rsidP="00061CF7">
      <w:pPr>
        <w:pStyle w:val="a3"/>
        <w:numPr>
          <w:ilvl w:val="0"/>
          <w:numId w:val="1"/>
        </w:numPr>
        <w:ind w:leftChars="0"/>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強化系統運作可用性之資安措施</w:t>
      </w:r>
    </w:p>
    <w:p w:rsidR="00061CF7" w:rsidRPr="00456770" w:rsidRDefault="00061CF7" w:rsidP="00061CF7">
      <w:pPr>
        <w:ind w:leftChars="100" w:left="240"/>
        <w:rPr>
          <w:rFonts w:ascii="標楷體" w:eastAsia="標楷體" w:hAnsi="標楷體" w:cs="新細明體"/>
          <w:color w:val="000000" w:themeColor="text1"/>
          <w:kern w:val="0"/>
          <w:szCs w:val="24"/>
        </w:rPr>
      </w:pPr>
      <w:r w:rsidRPr="00456770">
        <w:rPr>
          <w:rFonts w:ascii="標楷體" w:eastAsia="標楷體" w:hAnsi="標楷體" w:cs="新細明體" w:hint="eastAsia"/>
          <w:color w:val="000000" w:themeColor="text1"/>
          <w:kern w:val="0"/>
          <w:szCs w:val="24"/>
        </w:rPr>
        <w:t>網路下單服務或設有官方網站之證券業者，應強化系統運作可用性之資安措施【如導入分散式阻斷服務攻擊（DDoS）流量清洗、線路流量監控與備援及訂定DDoS防禦與應變作業程序等】，並</w:t>
      </w:r>
      <w:r w:rsidR="00070D4D" w:rsidRPr="00456770">
        <w:rPr>
          <w:rFonts w:ascii="標楷體" w:eastAsia="標楷體" w:hAnsi="標楷體" w:cs="新細明體" w:hint="eastAsia"/>
          <w:color w:val="000000" w:themeColor="text1"/>
          <w:kern w:val="0"/>
          <w:szCs w:val="24"/>
        </w:rPr>
        <w:t>每年</w:t>
      </w:r>
      <w:r w:rsidRPr="00456770">
        <w:rPr>
          <w:rFonts w:ascii="標楷體" w:eastAsia="標楷體" w:hAnsi="標楷體" w:cs="新細明體" w:hint="eastAsia"/>
          <w:color w:val="000000" w:themeColor="text1"/>
          <w:kern w:val="0"/>
          <w:szCs w:val="24"/>
        </w:rPr>
        <w:t>定期辦理DDoS實際演練。</w:t>
      </w:r>
    </w:p>
    <w:p w:rsidR="00061CF7" w:rsidRPr="00456770" w:rsidRDefault="00061CF7" w:rsidP="00061CF7">
      <w:pPr>
        <w:pStyle w:val="a3"/>
        <w:numPr>
          <w:ilvl w:val="0"/>
          <w:numId w:val="1"/>
        </w:numPr>
        <w:ind w:leftChars="0"/>
        <w:rPr>
          <w:rFonts w:ascii="標楷體" w:eastAsia="標楷體" w:hAnsi="標楷體" w:cs="新細明體"/>
          <w:color w:val="000000" w:themeColor="text1"/>
          <w:kern w:val="0"/>
          <w:szCs w:val="24"/>
        </w:rPr>
      </w:pPr>
      <w:r w:rsidRPr="00456770">
        <w:rPr>
          <w:rFonts w:ascii="標楷體" w:eastAsia="標楷體" w:hAnsi="標楷體"/>
          <w:color w:val="000000" w:themeColor="text1"/>
          <w:szCs w:val="24"/>
        </w:rPr>
        <w:t>社交工程演練</w:t>
      </w:r>
    </w:p>
    <w:p w:rsidR="00061CF7" w:rsidRPr="00456770" w:rsidRDefault="00061CF7" w:rsidP="00061CF7">
      <w:pPr>
        <w:ind w:leftChars="100" w:left="240"/>
        <w:rPr>
          <w:rFonts w:ascii="標楷體" w:eastAsia="標楷體" w:hAnsi="標楷體"/>
          <w:color w:val="000000" w:themeColor="text1"/>
          <w:szCs w:val="24"/>
        </w:rPr>
      </w:pPr>
      <w:r w:rsidRPr="00456770">
        <w:rPr>
          <w:rFonts w:ascii="標楷體" w:eastAsia="標楷體" w:hAnsi="標楷體"/>
          <w:color w:val="000000" w:themeColor="text1"/>
          <w:szCs w:val="24"/>
        </w:rPr>
        <w:t>每年應至少一次針對使用</w:t>
      </w:r>
      <w:r w:rsidRPr="00456770">
        <w:rPr>
          <w:rFonts w:ascii="標楷體" w:eastAsia="標楷體" w:hAnsi="標楷體" w:hint="eastAsia"/>
          <w:color w:val="000000" w:themeColor="text1"/>
          <w:szCs w:val="24"/>
        </w:rPr>
        <w:t>資通</w:t>
      </w:r>
      <w:r w:rsidRPr="00456770">
        <w:rPr>
          <w:rFonts w:ascii="標楷體" w:eastAsia="標楷體" w:hAnsi="標楷體"/>
          <w:color w:val="000000" w:themeColor="text1"/>
          <w:szCs w:val="24"/>
        </w:rPr>
        <w:t>系統人員，於安全監控範圍內，寄發演練郵件，加強資通安全教育，以期防範惡意程式透過社交方式入侵。</w:t>
      </w:r>
    </w:p>
    <w:p w:rsidR="00061CF7" w:rsidRPr="00456770" w:rsidRDefault="00061CF7" w:rsidP="00061CF7">
      <w:pPr>
        <w:pStyle w:val="a3"/>
        <w:numPr>
          <w:ilvl w:val="0"/>
          <w:numId w:val="1"/>
        </w:numPr>
        <w:ind w:leftChars="0"/>
        <w:rPr>
          <w:rFonts w:ascii="標楷體" w:eastAsia="標楷體" w:hAnsi="標楷體" w:cs="新細明體"/>
          <w:color w:val="000000" w:themeColor="text1"/>
          <w:kern w:val="0"/>
          <w:szCs w:val="24"/>
        </w:rPr>
      </w:pPr>
      <w:r w:rsidRPr="00456770">
        <w:rPr>
          <w:rFonts w:ascii="標楷體" w:eastAsia="標楷體" w:hAnsi="標楷體"/>
          <w:color w:val="000000" w:themeColor="text1"/>
          <w:szCs w:val="24"/>
        </w:rPr>
        <w:t>評估單位資格與</w:t>
      </w:r>
      <w:r w:rsidR="00FE1D7C" w:rsidRPr="00456770">
        <w:rPr>
          <w:rFonts w:ascii="標楷體" w:eastAsia="標楷體" w:hAnsi="標楷體" w:hint="eastAsia"/>
          <w:color w:val="000000" w:themeColor="text1"/>
          <w:szCs w:val="24"/>
        </w:rPr>
        <w:t>義務</w:t>
      </w:r>
    </w:p>
    <w:p w:rsidR="00061CF7" w:rsidRPr="00456770" w:rsidRDefault="00061CF7" w:rsidP="00061CF7">
      <w:pPr>
        <w:pStyle w:val="1"/>
        <w:numPr>
          <w:ilvl w:val="0"/>
          <w:numId w:val="13"/>
        </w:numPr>
        <w:spacing w:before="72" w:after="72"/>
        <w:ind w:leftChars="100" w:left="720"/>
        <w:jc w:val="both"/>
        <w:rPr>
          <w:rFonts w:cs="新細明體"/>
          <w:color w:val="000000" w:themeColor="text1"/>
          <w:kern w:val="0"/>
          <w:szCs w:val="24"/>
        </w:rPr>
      </w:pPr>
      <w:r w:rsidRPr="00456770">
        <w:rPr>
          <w:rFonts w:cs="新細明體" w:hint="eastAsia"/>
          <w:color w:val="000000" w:themeColor="text1"/>
          <w:kern w:val="0"/>
          <w:szCs w:val="24"/>
        </w:rPr>
        <w:t>評估單位可委由外部專業機構或由公司內部單位進行。如為外部專業機構，該機構應與資安評估標的無利害關係，若為內部單位，應獨立於原電腦系統開發與維護等相關單位。</w:t>
      </w:r>
    </w:p>
    <w:p w:rsidR="00061CF7" w:rsidRPr="00456770" w:rsidRDefault="00061CF7" w:rsidP="00061CF7">
      <w:pPr>
        <w:pStyle w:val="1"/>
        <w:numPr>
          <w:ilvl w:val="0"/>
          <w:numId w:val="13"/>
        </w:numPr>
        <w:spacing w:before="72" w:after="72"/>
        <w:ind w:leftChars="100" w:left="720"/>
        <w:jc w:val="both"/>
        <w:rPr>
          <w:rFonts w:cs="新細明體"/>
          <w:color w:val="000000" w:themeColor="text1"/>
          <w:kern w:val="0"/>
          <w:szCs w:val="24"/>
        </w:rPr>
      </w:pPr>
      <w:r w:rsidRPr="00456770">
        <w:rPr>
          <w:rFonts w:cs="新細明體" w:hint="eastAsia"/>
          <w:color w:val="000000" w:themeColor="text1"/>
          <w:kern w:val="0"/>
          <w:szCs w:val="24"/>
        </w:rPr>
        <w:t>辦理第一類資通系統資通安全評估作業之評估單位應具備下列各款資格條件；辦理第二類及第三類資通系統資通安全評估作業者，依評估作業項目需要，具備下列相關資格條件之一：</w:t>
      </w:r>
    </w:p>
    <w:p w:rsidR="00061CF7" w:rsidRPr="00456770" w:rsidRDefault="00061CF7" w:rsidP="00061CF7">
      <w:pPr>
        <w:pStyle w:val="1"/>
        <w:numPr>
          <w:ilvl w:val="0"/>
          <w:numId w:val="14"/>
        </w:numPr>
        <w:spacing w:before="72" w:after="72"/>
        <w:ind w:leftChars="300" w:left="1200"/>
        <w:jc w:val="both"/>
        <w:rPr>
          <w:rFonts w:cs="新細明體"/>
          <w:color w:val="000000" w:themeColor="text1"/>
          <w:kern w:val="0"/>
          <w:szCs w:val="24"/>
        </w:rPr>
      </w:pPr>
      <w:r w:rsidRPr="00456770">
        <w:rPr>
          <w:rFonts w:cs="新細明體" w:hint="eastAsia"/>
          <w:color w:val="000000" w:themeColor="text1"/>
          <w:kern w:val="0"/>
          <w:szCs w:val="24"/>
        </w:rPr>
        <w:t>具備資通安全管理知識，如持有國際資通安全經理人（Certified Information Security Manager,CISM） 證 書 或 通 過 國 際 資 安 管 理 系 統 主 導 稽 核 員（Information Security Management System Lead Auditor,ISO 27001 LA）考試合格等。</w:t>
      </w:r>
    </w:p>
    <w:p w:rsidR="00061CF7" w:rsidRPr="00456770" w:rsidRDefault="00061CF7" w:rsidP="00061CF7">
      <w:pPr>
        <w:pStyle w:val="1"/>
        <w:numPr>
          <w:ilvl w:val="0"/>
          <w:numId w:val="14"/>
        </w:numPr>
        <w:spacing w:before="72" w:after="72"/>
        <w:ind w:leftChars="300" w:left="1200"/>
        <w:jc w:val="both"/>
        <w:rPr>
          <w:rFonts w:cs="新細明體"/>
          <w:color w:val="000000" w:themeColor="text1"/>
          <w:kern w:val="0"/>
          <w:szCs w:val="24"/>
        </w:rPr>
      </w:pPr>
      <w:r w:rsidRPr="00456770">
        <w:rPr>
          <w:rFonts w:cs="新細明體" w:hint="eastAsia"/>
          <w:color w:val="000000" w:themeColor="text1"/>
          <w:kern w:val="0"/>
          <w:szCs w:val="24"/>
        </w:rPr>
        <w:t>具備資通安全技術能力，如國際資通安全系統專家（Certified InformationSystems Security Professional,CISSP）證書等。</w:t>
      </w:r>
    </w:p>
    <w:p w:rsidR="00061CF7" w:rsidRPr="00456770" w:rsidRDefault="00061CF7" w:rsidP="00061CF7">
      <w:pPr>
        <w:pStyle w:val="1"/>
        <w:numPr>
          <w:ilvl w:val="0"/>
          <w:numId w:val="14"/>
        </w:numPr>
        <w:spacing w:before="72" w:after="72"/>
        <w:ind w:leftChars="300" w:left="1200"/>
        <w:jc w:val="both"/>
        <w:rPr>
          <w:rFonts w:cs="新細明體"/>
          <w:color w:val="000000" w:themeColor="text1"/>
          <w:kern w:val="0"/>
          <w:szCs w:val="24"/>
        </w:rPr>
      </w:pPr>
      <w:r w:rsidRPr="00456770">
        <w:rPr>
          <w:rFonts w:cs="新細明體" w:hint="eastAsia"/>
          <w:color w:val="000000" w:themeColor="text1"/>
          <w:kern w:val="0"/>
          <w:szCs w:val="24"/>
        </w:rPr>
        <w:t>具備模擬駭客攻擊能力，如滲透專家（Certified Ethical Hacking, CEH）證書或事件處理專家（Certified Incident Handler,CIH）證書等。</w:t>
      </w:r>
    </w:p>
    <w:p w:rsidR="00061CF7" w:rsidRPr="00456770" w:rsidRDefault="00061CF7" w:rsidP="00061CF7">
      <w:pPr>
        <w:pStyle w:val="1"/>
        <w:numPr>
          <w:ilvl w:val="0"/>
          <w:numId w:val="14"/>
        </w:numPr>
        <w:spacing w:before="72" w:after="72"/>
        <w:ind w:leftChars="300" w:left="1200"/>
        <w:jc w:val="both"/>
        <w:rPr>
          <w:rFonts w:cs="新細明體"/>
          <w:color w:val="000000" w:themeColor="text1"/>
          <w:kern w:val="0"/>
          <w:szCs w:val="24"/>
        </w:rPr>
      </w:pPr>
      <w:r w:rsidRPr="00456770">
        <w:rPr>
          <w:rFonts w:cs="新細明體" w:hint="eastAsia"/>
          <w:color w:val="000000" w:themeColor="text1"/>
          <w:kern w:val="0"/>
          <w:szCs w:val="24"/>
        </w:rPr>
        <w:t>熟悉金融領域載具應用、系統開發或稽核經驗。</w:t>
      </w:r>
    </w:p>
    <w:p w:rsidR="00061CF7" w:rsidRPr="00456770" w:rsidRDefault="00061CF7" w:rsidP="00061CF7">
      <w:pPr>
        <w:pStyle w:val="1"/>
        <w:numPr>
          <w:ilvl w:val="0"/>
          <w:numId w:val="13"/>
        </w:numPr>
        <w:spacing w:before="72" w:after="72"/>
        <w:ind w:leftChars="100" w:left="720"/>
        <w:jc w:val="both"/>
        <w:rPr>
          <w:rFonts w:cs="新細明體"/>
          <w:color w:val="000000" w:themeColor="text1"/>
          <w:kern w:val="0"/>
          <w:szCs w:val="24"/>
        </w:rPr>
      </w:pPr>
      <w:r w:rsidRPr="00456770">
        <w:rPr>
          <w:color w:val="000000" w:themeColor="text1"/>
          <w:szCs w:val="24"/>
        </w:rPr>
        <w:t>相關檢視文件、檢測紀錄檔、組態參數、程式原始碼、側錄封包資料等與本案相關之全部資料，評估單位應簽立保密切結書並提供適當保護措施，以防止資料外洩。</w:t>
      </w:r>
    </w:p>
    <w:p w:rsidR="00061CF7" w:rsidRPr="00456770" w:rsidRDefault="00061CF7" w:rsidP="00061CF7">
      <w:pPr>
        <w:pStyle w:val="1"/>
        <w:numPr>
          <w:ilvl w:val="0"/>
          <w:numId w:val="13"/>
        </w:numPr>
        <w:spacing w:before="72" w:after="72"/>
        <w:ind w:leftChars="100" w:left="720"/>
        <w:jc w:val="both"/>
        <w:rPr>
          <w:rFonts w:cs="新細明體"/>
          <w:color w:val="000000" w:themeColor="text1"/>
          <w:kern w:val="0"/>
        </w:rPr>
      </w:pPr>
      <w:r w:rsidRPr="00456770">
        <w:rPr>
          <w:color w:val="000000" w:themeColor="text1"/>
          <w:szCs w:val="24"/>
        </w:rPr>
        <w:t>評估單位及人員不得隱瞞缺失、不實陳述、洩露資料及不當利用等情事。</w:t>
      </w:r>
    </w:p>
    <w:p w:rsidR="00061CF7" w:rsidRPr="00456770" w:rsidRDefault="00061CF7" w:rsidP="00061CF7">
      <w:pPr>
        <w:pStyle w:val="a3"/>
        <w:numPr>
          <w:ilvl w:val="0"/>
          <w:numId w:val="1"/>
        </w:numPr>
        <w:ind w:leftChars="0"/>
        <w:rPr>
          <w:rFonts w:ascii="標楷體" w:eastAsia="標楷體" w:hAnsi="標楷體" w:cs="新細明體"/>
          <w:color w:val="000000" w:themeColor="text1"/>
          <w:kern w:val="0"/>
        </w:rPr>
      </w:pPr>
      <w:r w:rsidRPr="00456770">
        <w:rPr>
          <w:rFonts w:ascii="標楷體" w:eastAsia="標楷體" w:hAnsi="標楷體" w:cs="新細明體" w:hint="eastAsia"/>
          <w:color w:val="000000" w:themeColor="text1"/>
          <w:kern w:val="0"/>
        </w:rPr>
        <w:lastRenderedPageBreak/>
        <w:t>評估報告</w:t>
      </w:r>
    </w:p>
    <w:p w:rsidR="00061CF7" w:rsidRPr="00456770" w:rsidRDefault="00061CF7" w:rsidP="00061CF7">
      <w:pPr>
        <w:pStyle w:val="1"/>
        <w:numPr>
          <w:ilvl w:val="0"/>
          <w:numId w:val="15"/>
        </w:numPr>
        <w:spacing w:before="72" w:after="72"/>
        <w:ind w:left="851" w:hanging="567"/>
        <w:jc w:val="both"/>
        <w:rPr>
          <w:rFonts w:cs="新細明體"/>
          <w:color w:val="000000" w:themeColor="text1"/>
          <w:kern w:val="0"/>
        </w:rPr>
      </w:pPr>
      <w:r w:rsidRPr="00456770">
        <w:rPr>
          <w:rFonts w:cs="新細明體" w:hint="eastAsia"/>
          <w:color w:val="000000" w:themeColor="text1"/>
          <w:kern w:val="0"/>
        </w:rPr>
        <w:t>「資通系統資通安全評估報告」內容應至少包含評估人員資格、評估範圍、評估作業項目與標的、評估紀錄、評估時所發現之缺失項目、缺失嚴重程度、缺失類別、風險說明、具體改善建議及社交演練結果。</w:t>
      </w:r>
    </w:p>
    <w:p w:rsidR="00061CF7" w:rsidRPr="00456770" w:rsidRDefault="00061CF7" w:rsidP="00061CF7">
      <w:pPr>
        <w:pStyle w:val="1"/>
        <w:numPr>
          <w:ilvl w:val="0"/>
          <w:numId w:val="15"/>
        </w:numPr>
        <w:spacing w:before="72" w:after="72"/>
        <w:ind w:left="851" w:hanging="567"/>
        <w:jc w:val="both"/>
        <w:rPr>
          <w:rFonts w:cs="新細明體"/>
          <w:color w:val="000000" w:themeColor="text1"/>
          <w:kern w:val="0"/>
        </w:rPr>
      </w:pPr>
      <w:r w:rsidRPr="00456770">
        <w:rPr>
          <w:rFonts w:cs="新細明體" w:hint="eastAsia"/>
          <w:color w:val="000000" w:themeColor="text1"/>
          <w:kern w:val="0"/>
        </w:rPr>
        <w:t>公司應依據評估報告內容缺失程度區分風險等級，並擬定各風險對應之控管措施及處理時限，送稽核單位進行缺失改善事項之追蹤覆查。</w:t>
      </w:r>
    </w:p>
    <w:p w:rsidR="00061CF7" w:rsidRPr="00456770" w:rsidRDefault="00061CF7" w:rsidP="00061CF7">
      <w:pPr>
        <w:pStyle w:val="1"/>
        <w:numPr>
          <w:ilvl w:val="0"/>
          <w:numId w:val="15"/>
        </w:numPr>
        <w:spacing w:before="72" w:after="72"/>
        <w:ind w:left="851" w:hanging="567"/>
        <w:jc w:val="both"/>
        <w:rPr>
          <w:rFonts w:cs="新細明體"/>
          <w:color w:val="000000" w:themeColor="text1"/>
          <w:kern w:val="0"/>
        </w:rPr>
      </w:pPr>
      <w:r w:rsidRPr="00456770">
        <w:rPr>
          <w:rFonts w:cs="新細明體" w:hint="eastAsia"/>
          <w:color w:val="000000" w:themeColor="text1"/>
          <w:kern w:val="0"/>
        </w:rPr>
        <w:t>評估報告缺失覆查應提報董事會或經其授權之經理部門，</w:t>
      </w:r>
      <w:r w:rsidR="00E25625" w:rsidRPr="00456770">
        <w:rPr>
          <w:rFonts w:hint="eastAsia"/>
          <w:color w:val="000000" w:themeColor="text1"/>
        </w:rPr>
        <w:t>惟外國證券商在台分公司得由分公司</w:t>
      </w:r>
      <w:r w:rsidR="008527BB" w:rsidRPr="00456770">
        <w:rPr>
          <w:rFonts w:hint="eastAsia"/>
          <w:color w:val="000000" w:themeColor="text1"/>
        </w:rPr>
        <w:t>負責人為之，</w:t>
      </w:r>
      <w:r w:rsidRPr="00456770">
        <w:rPr>
          <w:rFonts w:cs="新細明體" w:hint="eastAsia"/>
          <w:color w:val="000000" w:themeColor="text1"/>
          <w:kern w:val="0"/>
        </w:rPr>
        <w:t>以落實由高階管理階層督導缺失改善。</w:t>
      </w:r>
    </w:p>
    <w:p w:rsidR="00061CF7" w:rsidRPr="00456770" w:rsidRDefault="00061CF7" w:rsidP="00061CF7">
      <w:pPr>
        <w:pStyle w:val="1"/>
        <w:numPr>
          <w:ilvl w:val="0"/>
          <w:numId w:val="15"/>
        </w:numPr>
        <w:spacing w:before="72" w:after="72"/>
        <w:ind w:left="851" w:hanging="567"/>
        <w:jc w:val="both"/>
        <w:rPr>
          <w:rFonts w:cs="新細明體"/>
          <w:color w:val="000000" w:themeColor="text1"/>
          <w:kern w:val="0"/>
        </w:rPr>
      </w:pPr>
      <w:r w:rsidRPr="00456770">
        <w:rPr>
          <w:rFonts w:cs="新細明體" w:hint="eastAsia"/>
          <w:color w:val="000000" w:themeColor="text1"/>
          <w:kern w:val="0"/>
        </w:rPr>
        <w:t>評估報告應併同缺失改善等相關文件至少保存五年。</w:t>
      </w:r>
    </w:p>
    <w:sectPr w:rsidR="00061CF7" w:rsidRPr="0045677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D87" w:rsidRDefault="00044D87" w:rsidP="00070D4D">
      <w:r>
        <w:separator/>
      </w:r>
    </w:p>
  </w:endnote>
  <w:endnote w:type="continuationSeparator" w:id="0">
    <w:p w:rsidR="00044D87" w:rsidRDefault="00044D87" w:rsidP="00070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angal">
    <w:altName w:val="Courier New"/>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D87" w:rsidRDefault="00044D87" w:rsidP="00070D4D">
      <w:r>
        <w:separator/>
      </w:r>
    </w:p>
  </w:footnote>
  <w:footnote w:type="continuationSeparator" w:id="0">
    <w:p w:rsidR="00044D87" w:rsidRDefault="00044D87" w:rsidP="00070D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542E1"/>
    <w:multiLevelType w:val="hybridMultilevel"/>
    <w:tmpl w:val="B76AF03A"/>
    <w:lvl w:ilvl="0" w:tplc="04090015">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5BE54B8"/>
    <w:multiLevelType w:val="hybridMultilevel"/>
    <w:tmpl w:val="AD3EB390"/>
    <w:lvl w:ilvl="0" w:tplc="23DC109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5C3094B"/>
    <w:multiLevelType w:val="hybridMultilevel"/>
    <w:tmpl w:val="098CB338"/>
    <w:lvl w:ilvl="0" w:tplc="0409000F">
      <w:start w:val="1"/>
      <w:numFmt w:val="decimal"/>
      <w:lvlText w:val="%1."/>
      <w:lvlJc w:val="left"/>
      <w:pPr>
        <w:ind w:left="960" w:hanging="480"/>
      </w:pPr>
      <w:rPr>
        <w:rFonts w:hint="eastAsia"/>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3" w15:restartNumberingAfterBreak="0">
    <w:nsid w:val="1941026C"/>
    <w:multiLevelType w:val="hybridMultilevel"/>
    <w:tmpl w:val="90A6A56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044159"/>
    <w:multiLevelType w:val="hybridMultilevel"/>
    <w:tmpl w:val="6D3AA786"/>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244C2678"/>
    <w:multiLevelType w:val="hybridMultilevel"/>
    <w:tmpl w:val="F6164FEE"/>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27312CA4"/>
    <w:multiLevelType w:val="hybridMultilevel"/>
    <w:tmpl w:val="832C9218"/>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2AD44F44"/>
    <w:multiLevelType w:val="hybridMultilevel"/>
    <w:tmpl w:val="AD1C8AE6"/>
    <w:lvl w:ilvl="0" w:tplc="FFFFFFFF">
      <w:start w:val="1"/>
      <w:numFmt w:val="taiwaneseCountingThousand"/>
      <w:lvlText w:val="%1、"/>
      <w:lvlJc w:val="left"/>
      <w:pPr>
        <w:ind w:left="2400" w:hanging="480"/>
      </w:pPr>
    </w:lvl>
    <w:lvl w:ilvl="1" w:tplc="FFFFFFFF" w:tentative="1">
      <w:start w:val="1"/>
      <w:numFmt w:val="ideographTraditional"/>
      <w:lvlText w:val="%2、"/>
      <w:lvlJc w:val="left"/>
      <w:pPr>
        <w:ind w:left="2880" w:hanging="480"/>
      </w:pPr>
    </w:lvl>
    <w:lvl w:ilvl="2" w:tplc="FFFFFFFF" w:tentative="1">
      <w:start w:val="1"/>
      <w:numFmt w:val="lowerRoman"/>
      <w:lvlText w:val="%3."/>
      <w:lvlJc w:val="right"/>
      <w:pPr>
        <w:ind w:left="3360" w:hanging="480"/>
      </w:pPr>
    </w:lvl>
    <w:lvl w:ilvl="3" w:tplc="FFFFFFFF" w:tentative="1">
      <w:start w:val="1"/>
      <w:numFmt w:val="decimal"/>
      <w:lvlText w:val="%4."/>
      <w:lvlJc w:val="left"/>
      <w:pPr>
        <w:ind w:left="3840" w:hanging="480"/>
      </w:pPr>
    </w:lvl>
    <w:lvl w:ilvl="4" w:tplc="FFFFFFFF" w:tentative="1">
      <w:start w:val="1"/>
      <w:numFmt w:val="ideographTraditional"/>
      <w:lvlText w:val="%5、"/>
      <w:lvlJc w:val="left"/>
      <w:pPr>
        <w:ind w:left="4320" w:hanging="480"/>
      </w:pPr>
    </w:lvl>
    <w:lvl w:ilvl="5" w:tplc="FFFFFFFF" w:tentative="1">
      <w:start w:val="1"/>
      <w:numFmt w:val="lowerRoman"/>
      <w:lvlText w:val="%6."/>
      <w:lvlJc w:val="right"/>
      <w:pPr>
        <w:ind w:left="4800" w:hanging="480"/>
      </w:pPr>
    </w:lvl>
    <w:lvl w:ilvl="6" w:tplc="FFFFFFFF" w:tentative="1">
      <w:start w:val="1"/>
      <w:numFmt w:val="decimal"/>
      <w:lvlText w:val="%7."/>
      <w:lvlJc w:val="left"/>
      <w:pPr>
        <w:ind w:left="5280" w:hanging="480"/>
      </w:pPr>
    </w:lvl>
    <w:lvl w:ilvl="7" w:tplc="FFFFFFFF" w:tentative="1">
      <w:start w:val="1"/>
      <w:numFmt w:val="ideographTraditional"/>
      <w:lvlText w:val="%8、"/>
      <w:lvlJc w:val="left"/>
      <w:pPr>
        <w:ind w:left="5760" w:hanging="480"/>
      </w:pPr>
    </w:lvl>
    <w:lvl w:ilvl="8" w:tplc="FFFFFFFF" w:tentative="1">
      <w:start w:val="1"/>
      <w:numFmt w:val="lowerRoman"/>
      <w:lvlText w:val="%9."/>
      <w:lvlJc w:val="right"/>
      <w:pPr>
        <w:ind w:left="6240" w:hanging="480"/>
      </w:pPr>
    </w:lvl>
  </w:abstractNum>
  <w:abstractNum w:abstractNumId="8" w15:restartNumberingAfterBreak="0">
    <w:nsid w:val="34EE3CFD"/>
    <w:multiLevelType w:val="hybridMultilevel"/>
    <w:tmpl w:val="F632A45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 w15:restartNumberingAfterBreak="0">
    <w:nsid w:val="3AA043E2"/>
    <w:multiLevelType w:val="hybridMultilevel"/>
    <w:tmpl w:val="E19828AE"/>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0A36E15"/>
    <w:multiLevelType w:val="hybridMultilevel"/>
    <w:tmpl w:val="90A6A56E"/>
    <w:lvl w:ilvl="0" w:tplc="04090015">
      <w:start w:val="1"/>
      <w:numFmt w:val="taiwaneseCountingThousand"/>
      <w:lvlText w:val="%1、"/>
      <w:lvlJc w:val="left"/>
      <w:pPr>
        <w:ind w:left="870" w:hanging="480"/>
      </w:pPr>
      <w:rPr>
        <w:rFonts w:hint="default"/>
      </w:rPr>
    </w:lvl>
    <w:lvl w:ilvl="1" w:tplc="04090019" w:tentative="1">
      <w:start w:val="1"/>
      <w:numFmt w:val="ideographTraditional"/>
      <w:lvlText w:val="%2、"/>
      <w:lvlJc w:val="left"/>
      <w:pPr>
        <w:ind w:left="1350" w:hanging="480"/>
      </w:pPr>
    </w:lvl>
    <w:lvl w:ilvl="2" w:tplc="0409001B" w:tentative="1">
      <w:start w:val="1"/>
      <w:numFmt w:val="lowerRoman"/>
      <w:lvlText w:val="%3."/>
      <w:lvlJc w:val="right"/>
      <w:pPr>
        <w:ind w:left="1830" w:hanging="480"/>
      </w:pPr>
    </w:lvl>
    <w:lvl w:ilvl="3" w:tplc="0409000F" w:tentative="1">
      <w:start w:val="1"/>
      <w:numFmt w:val="decimal"/>
      <w:lvlText w:val="%4."/>
      <w:lvlJc w:val="left"/>
      <w:pPr>
        <w:ind w:left="2310" w:hanging="480"/>
      </w:pPr>
    </w:lvl>
    <w:lvl w:ilvl="4" w:tplc="04090019" w:tentative="1">
      <w:start w:val="1"/>
      <w:numFmt w:val="ideographTraditional"/>
      <w:lvlText w:val="%5、"/>
      <w:lvlJc w:val="left"/>
      <w:pPr>
        <w:ind w:left="2790" w:hanging="480"/>
      </w:pPr>
    </w:lvl>
    <w:lvl w:ilvl="5" w:tplc="0409001B" w:tentative="1">
      <w:start w:val="1"/>
      <w:numFmt w:val="lowerRoman"/>
      <w:lvlText w:val="%6."/>
      <w:lvlJc w:val="right"/>
      <w:pPr>
        <w:ind w:left="3270" w:hanging="480"/>
      </w:pPr>
    </w:lvl>
    <w:lvl w:ilvl="6" w:tplc="0409000F" w:tentative="1">
      <w:start w:val="1"/>
      <w:numFmt w:val="decimal"/>
      <w:lvlText w:val="%7."/>
      <w:lvlJc w:val="left"/>
      <w:pPr>
        <w:ind w:left="3750" w:hanging="480"/>
      </w:pPr>
    </w:lvl>
    <w:lvl w:ilvl="7" w:tplc="04090019" w:tentative="1">
      <w:start w:val="1"/>
      <w:numFmt w:val="ideographTraditional"/>
      <w:lvlText w:val="%8、"/>
      <w:lvlJc w:val="left"/>
      <w:pPr>
        <w:ind w:left="4230" w:hanging="480"/>
      </w:pPr>
    </w:lvl>
    <w:lvl w:ilvl="8" w:tplc="0409001B" w:tentative="1">
      <w:start w:val="1"/>
      <w:numFmt w:val="lowerRoman"/>
      <w:lvlText w:val="%9."/>
      <w:lvlJc w:val="right"/>
      <w:pPr>
        <w:ind w:left="4710" w:hanging="480"/>
      </w:pPr>
    </w:lvl>
  </w:abstractNum>
  <w:abstractNum w:abstractNumId="11" w15:restartNumberingAfterBreak="0">
    <w:nsid w:val="4D0A3710"/>
    <w:multiLevelType w:val="hybridMultilevel"/>
    <w:tmpl w:val="279CDA66"/>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2" w15:restartNumberingAfterBreak="0">
    <w:nsid w:val="4E431C5D"/>
    <w:multiLevelType w:val="hybridMultilevel"/>
    <w:tmpl w:val="1044880C"/>
    <w:lvl w:ilvl="0" w:tplc="A7C00F18">
      <w:start w:val="1"/>
      <w:numFmt w:val="taiwaneseCountingThousand"/>
      <w:lvlText w:val="%1、"/>
      <w:lvlJc w:val="left"/>
      <w:pPr>
        <w:ind w:left="480" w:hanging="480"/>
      </w:pPr>
      <w:rPr>
        <w:lang w:val="en-U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3" w15:restartNumberingAfterBreak="0">
    <w:nsid w:val="70750EC8"/>
    <w:multiLevelType w:val="hybridMultilevel"/>
    <w:tmpl w:val="6B9E2484"/>
    <w:lvl w:ilvl="0" w:tplc="23DC1092">
      <w:start w:val="1"/>
      <w:numFmt w:val="decimal"/>
      <w:lvlText w:val="(%1)"/>
      <w:lvlJc w:val="left"/>
      <w:pPr>
        <w:ind w:left="1690" w:hanging="480"/>
      </w:pPr>
      <w:rPr>
        <w:rFonts w:hint="eastAsia"/>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4" w15:restartNumberingAfterBreak="0">
    <w:nsid w:val="78F64BF5"/>
    <w:multiLevelType w:val="hybridMultilevel"/>
    <w:tmpl w:val="566288B4"/>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79E3564A"/>
    <w:multiLevelType w:val="hybridMultilevel"/>
    <w:tmpl w:val="DF624CC8"/>
    <w:lvl w:ilvl="0" w:tplc="4DA8ABC0">
      <w:start w:val="1"/>
      <w:numFmt w:val="taiwaneseCountingThousand"/>
      <w:lvlText w:val="(%1)"/>
      <w:lvlJc w:val="left"/>
      <w:pPr>
        <w:ind w:left="870" w:hanging="390"/>
      </w:pPr>
      <w:rPr>
        <w:rFonts w:hint="default"/>
      </w:rPr>
    </w:lvl>
    <w:lvl w:ilvl="1" w:tplc="0409000F">
      <w:start w:val="1"/>
      <w:numFmt w:val="decim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9"/>
  </w:num>
  <w:num w:numId="2">
    <w:abstractNumId w:val="0"/>
  </w:num>
  <w:num w:numId="3">
    <w:abstractNumId w:val="3"/>
  </w:num>
  <w:num w:numId="4">
    <w:abstractNumId w:val="15"/>
  </w:num>
  <w:num w:numId="5">
    <w:abstractNumId w:val="14"/>
  </w:num>
  <w:num w:numId="6">
    <w:abstractNumId w:val="6"/>
  </w:num>
  <w:num w:numId="7">
    <w:abstractNumId w:val="5"/>
  </w:num>
  <w:num w:numId="8">
    <w:abstractNumId w:val="11"/>
  </w:num>
  <w:num w:numId="9">
    <w:abstractNumId w:val="8"/>
  </w:num>
  <w:num w:numId="10">
    <w:abstractNumId w:val="1"/>
  </w:num>
  <w:num w:numId="11">
    <w:abstractNumId w:val="13"/>
  </w:num>
  <w:num w:numId="12">
    <w:abstractNumId w:val="4"/>
  </w:num>
  <w:num w:numId="13">
    <w:abstractNumId w:val="12"/>
  </w:num>
  <w:num w:numId="14">
    <w:abstractNumId w:val="2"/>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CF7"/>
    <w:rsid w:val="00044D87"/>
    <w:rsid w:val="00061CF7"/>
    <w:rsid w:val="00070D4D"/>
    <w:rsid w:val="000A3648"/>
    <w:rsid w:val="00102C42"/>
    <w:rsid w:val="001B178C"/>
    <w:rsid w:val="00296A32"/>
    <w:rsid w:val="00421992"/>
    <w:rsid w:val="00456770"/>
    <w:rsid w:val="00497A8B"/>
    <w:rsid w:val="004B1C59"/>
    <w:rsid w:val="005543FE"/>
    <w:rsid w:val="00556595"/>
    <w:rsid w:val="005B73FF"/>
    <w:rsid w:val="006C508C"/>
    <w:rsid w:val="00785ACB"/>
    <w:rsid w:val="00792BAB"/>
    <w:rsid w:val="007A6EE7"/>
    <w:rsid w:val="008527BB"/>
    <w:rsid w:val="008775EE"/>
    <w:rsid w:val="00890FCC"/>
    <w:rsid w:val="009B03CE"/>
    <w:rsid w:val="009B6E02"/>
    <w:rsid w:val="00AE09B2"/>
    <w:rsid w:val="00B3428C"/>
    <w:rsid w:val="00BC78DA"/>
    <w:rsid w:val="00C0412C"/>
    <w:rsid w:val="00CA2B7B"/>
    <w:rsid w:val="00CF2F4E"/>
    <w:rsid w:val="00E158BC"/>
    <w:rsid w:val="00E25625"/>
    <w:rsid w:val="00E304BA"/>
    <w:rsid w:val="00E31DF8"/>
    <w:rsid w:val="00EB3EE3"/>
    <w:rsid w:val="00F153D5"/>
    <w:rsid w:val="00F74643"/>
    <w:rsid w:val="00FE1D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AFAB4F6-FBF3-4328-8ED5-35CF49AA9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CF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1CF7"/>
    <w:pPr>
      <w:ind w:leftChars="200" w:left="480"/>
    </w:pPr>
  </w:style>
  <w:style w:type="table" w:styleId="a4">
    <w:name w:val="Table Grid"/>
    <w:basedOn w:val="a1"/>
    <w:uiPriority w:val="39"/>
    <w:rsid w:val="00061C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樣式1"/>
    <w:basedOn w:val="a"/>
    <w:qFormat/>
    <w:rsid w:val="00061CF7"/>
    <w:pPr>
      <w:spacing w:beforeLines="20" w:afterLines="20"/>
    </w:pPr>
    <w:rPr>
      <w:rFonts w:ascii="標楷體" w:eastAsia="標楷體" w:hAnsi="標楷體" w:cs="Mangal"/>
    </w:rPr>
  </w:style>
  <w:style w:type="character" w:styleId="a5">
    <w:name w:val="annotation reference"/>
    <w:basedOn w:val="a0"/>
    <w:uiPriority w:val="99"/>
    <w:semiHidden/>
    <w:unhideWhenUsed/>
    <w:rsid w:val="00061CF7"/>
    <w:rPr>
      <w:sz w:val="18"/>
      <w:szCs w:val="18"/>
    </w:rPr>
  </w:style>
  <w:style w:type="paragraph" w:styleId="a6">
    <w:name w:val="annotation text"/>
    <w:basedOn w:val="a"/>
    <w:link w:val="a7"/>
    <w:uiPriority w:val="99"/>
    <w:semiHidden/>
    <w:unhideWhenUsed/>
    <w:rsid w:val="00061CF7"/>
  </w:style>
  <w:style w:type="character" w:customStyle="1" w:styleId="a7">
    <w:name w:val="註解文字 字元"/>
    <w:basedOn w:val="a0"/>
    <w:link w:val="a6"/>
    <w:uiPriority w:val="99"/>
    <w:semiHidden/>
    <w:rsid w:val="00061CF7"/>
  </w:style>
  <w:style w:type="paragraph" w:styleId="a8">
    <w:name w:val="Balloon Text"/>
    <w:basedOn w:val="a"/>
    <w:link w:val="a9"/>
    <w:uiPriority w:val="99"/>
    <w:semiHidden/>
    <w:unhideWhenUsed/>
    <w:rsid w:val="00061CF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61CF7"/>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061CF7"/>
    <w:rPr>
      <w:b/>
      <w:bCs/>
    </w:rPr>
  </w:style>
  <w:style w:type="character" w:customStyle="1" w:styleId="ab">
    <w:name w:val="註解主旨 字元"/>
    <w:basedOn w:val="a7"/>
    <w:link w:val="aa"/>
    <w:uiPriority w:val="99"/>
    <w:semiHidden/>
    <w:rsid w:val="00061CF7"/>
    <w:rPr>
      <w:b/>
      <w:bCs/>
    </w:rPr>
  </w:style>
  <w:style w:type="paragraph" w:styleId="ac">
    <w:name w:val="header"/>
    <w:basedOn w:val="a"/>
    <w:link w:val="ad"/>
    <w:uiPriority w:val="99"/>
    <w:unhideWhenUsed/>
    <w:rsid w:val="00070D4D"/>
    <w:pPr>
      <w:tabs>
        <w:tab w:val="center" w:pos="4153"/>
        <w:tab w:val="right" w:pos="8306"/>
      </w:tabs>
      <w:snapToGrid w:val="0"/>
    </w:pPr>
    <w:rPr>
      <w:sz w:val="20"/>
      <w:szCs w:val="20"/>
    </w:rPr>
  </w:style>
  <w:style w:type="character" w:customStyle="1" w:styleId="ad">
    <w:name w:val="頁首 字元"/>
    <w:basedOn w:val="a0"/>
    <w:link w:val="ac"/>
    <w:uiPriority w:val="99"/>
    <w:rsid w:val="00070D4D"/>
    <w:rPr>
      <w:sz w:val="20"/>
      <w:szCs w:val="20"/>
    </w:rPr>
  </w:style>
  <w:style w:type="paragraph" w:styleId="ae">
    <w:name w:val="footer"/>
    <w:basedOn w:val="a"/>
    <w:link w:val="af"/>
    <w:uiPriority w:val="99"/>
    <w:unhideWhenUsed/>
    <w:rsid w:val="00070D4D"/>
    <w:pPr>
      <w:tabs>
        <w:tab w:val="center" w:pos="4153"/>
        <w:tab w:val="right" w:pos="8306"/>
      </w:tabs>
      <w:snapToGrid w:val="0"/>
    </w:pPr>
    <w:rPr>
      <w:sz w:val="20"/>
      <w:szCs w:val="20"/>
    </w:rPr>
  </w:style>
  <w:style w:type="character" w:customStyle="1" w:styleId="af">
    <w:name w:val="頁尾 字元"/>
    <w:basedOn w:val="a0"/>
    <w:link w:val="ae"/>
    <w:uiPriority w:val="99"/>
    <w:rsid w:val="00070D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532</Words>
  <Characters>3034</Characters>
  <Application>Microsoft Office Word</Application>
  <DocSecurity>0</DocSecurity>
  <Lines>25</Lines>
  <Paragraphs>7</Paragraphs>
  <ScaleCrop>false</ScaleCrop>
  <Company>TWSE 臺灣證券交易所</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劉保鈞</dc:creator>
  <cp:keywords/>
  <dc:description/>
  <cp:lastModifiedBy>劉保鈞</cp:lastModifiedBy>
  <cp:revision>6</cp:revision>
  <cp:lastPrinted>2025-05-20T09:39:00Z</cp:lastPrinted>
  <dcterms:created xsi:type="dcterms:W3CDTF">2025-06-03T03:51:00Z</dcterms:created>
  <dcterms:modified xsi:type="dcterms:W3CDTF">2025-07-02T06:04:00Z</dcterms:modified>
</cp:coreProperties>
</file>