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EB4F3" w14:textId="0FE2C45F" w:rsidR="00A24FFC" w:rsidRPr="00FB3CAF" w:rsidRDefault="00E87601" w:rsidP="00FB3CAF">
      <w:pPr>
        <w:pStyle w:val="1"/>
        <w:spacing w:line="360" w:lineRule="exact"/>
        <w:rPr>
          <w:rFonts w:ascii="新細明體" w:eastAsia="新細明體" w:hAnsi="新細明體" w:cs="新細明體"/>
          <w:color w:val="000000"/>
        </w:rPr>
      </w:pPr>
      <w:bookmarkStart w:id="0" w:name="Std_Type2"/>
      <w:r w:rsidRPr="00F6439B">
        <w:rPr>
          <w:rFonts w:ascii="新細明體" w:eastAsia="新細明體" w:hAnsi="新細明體" w:cs="新細明體" w:hint="eastAsia"/>
          <w:color w:val="000000"/>
        </w:rPr>
        <w:t>證券商內部控制制度標準規範</w:t>
      </w:r>
      <w:bookmarkEnd w:id="0"/>
      <w:r w:rsidRPr="00F6439B">
        <w:rPr>
          <w:rFonts w:ascii="新細明體" w:eastAsia="新細明體" w:hAnsi="新細明體" w:cs="新細明體" w:hint="eastAsia"/>
          <w:color w:val="000000"/>
        </w:rPr>
        <w:t>─內部控制制度修</w:t>
      </w:r>
      <w:r w:rsidR="00D25C08" w:rsidRPr="00F6439B">
        <w:rPr>
          <w:rFonts w:ascii="新細明體" w:eastAsia="新細明體" w:hAnsi="新細明體" w:cs="新細明體" w:hint="eastAsia"/>
          <w:color w:val="000000"/>
        </w:rPr>
        <w:t>正</w:t>
      </w:r>
      <w:r w:rsidRPr="00F6439B">
        <w:rPr>
          <w:rFonts w:ascii="新細明體" w:eastAsia="新細明體" w:hAnsi="新細明體" w:cs="新細明體" w:hint="eastAsia"/>
          <w:color w:val="000000"/>
        </w:rPr>
        <w:t>對照表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276"/>
        <w:gridCol w:w="5386"/>
        <w:gridCol w:w="5387"/>
        <w:gridCol w:w="2023"/>
      </w:tblGrid>
      <w:tr w:rsidR="001E533B" w:rsidRPr="00F6439B" w14:paraId="5B8288D9" w14:textId="77777777" w:rsidTr="004A29F0">
        <w:trPr>
          <w:tblHeader/>
        </w:trPr>
        <w:tc>
          <w:tcPr>
            <w:tcW w:w="1384" w:type="dxa"/>
            <w:tcBorders>
              <w:top w:val="single" w:sz="12" w:space="0" w:color="auto"/>
              <w:left w:val="single" w:sz="12" w:space="0" w:color="auto"/>
              <w:bottom w:val="single" w:sz="12" w:space="0" w:color="auto"/>
            </w:tcBorders>
          </w:tcPr>
          <w:p w14:paraId="6E20BAD9" w14:textId="77777777" w:rsidR="001E533B" w:rsidRPr="00F6439B" w:rsidRDefault="00FB3CAF" w:rsidP="00F6439B">
            <w:pPr>
              <w:jc w:val="center"/>
              <w:rPr>
                <w:rFonts w:ascii="新細明體" w:eastAsia="新細明體" w:hAnsi="新細明體"/>
              </w:rPr>
            </w:pPr>
            <w:r w:rsidRPr="00F6439B">
              <w:rPr>
                <w:rFonts w:ascii="新細明體" w:eastAsia="新細明體" w:hAnsi="新細明體" w:hint="eastAsia"/>
              </w:rPr>
              <w:t>編號</w:t>
            </w:r>
          </w:p>
        </w:tc>
        <w:tc>
          <w:tcPr>
            <w:tcW w:w="1276" w:type="dxa"/>
            <w:tcBorders>
              <w:top w:val="single" w:sz="12" w:space="0" w:color="auto"/>
              <w:bottom w:val="single" w:sz="12" w:space="0" w:color="auto"/>
            </w:tcBorders>
          </w:tcPr>
          <w:p w14:paraId="78ACF850" w14:textId="77777777" w:rsidR="00A24FFC" w:rsidRPr="00F6439B" w:rsidRDefault="001E533B" w:rsidP="001E533B">
            <w:pPr>
              <w:rPr>
                <w:rFonts w:ascii="新細明體" w:eastAsia="新細明體" w:hAnsi="新細明體"/>
              </w:rPr>
            </w:pPr>
            <w:r w:rsidRPr="00F6439B">
              <w:rPr>
                <w:rFonts w:ascii="新細明體" w:eastAsia="新細明體" w:hAnsi="新細明體" w:hint="eastAsia"/>
              </w:rPr>
              <w:t>作業項目</w:t>
            </w:r>
          </w:p>
        </w:tc>
        <w:tc>
          <w:tcPr>
            <w:tcW w:w="5386" w:type="dxa"/>
            <w:tcBorders>
              <w:top w:val="single" w:sz="12" w:space="0" w:color="auto"/>
              <w:bottom w:val="single" w:sz="12" w:space="0" w:color="auto"/>
            </w:tcBorders>
          </w:tcPr>
          <w:p w14:paraId="1EBEFB0B" w14:textId="77777777" w:rsidR="00A24FFC" w:rsidRPr="00F6439B" w:rsidRDefault="001E533B" w:rsidP="00F6439B">
            <w:pPr>
              <w:jc w:val="center"/>
              <w:rPr>
                <w:rFonts w:ascii="新細明體" w:eastAsia="新細明體" w:hAnsi="新細明體"/>
              </w:rPr>
            </w:pPr>
            <w:r w:rsidRPr="00F6439B">
              <w:rPr>
                <w:rFonts w:ascii="新細明體" w:eastAsia="新細明體" w:hAnsi="新細明體" w:cs="新細明體" w:hint="eastAsia"/>
                <w:color w:val="000000"/>
              </w:rPr>
              <w:t>修正後內容</w:t>
            </w:r>
          </w:p>
        </w:tc>
        <w:tc>
          <w:tcPr>
            <w:tcW w:w="5387" w:type="dxa"/>
            <w:tcBorders>
              <w:top w:val="single" w:sz="12" w:space="0" w:color="auto"/>
              <w:bottom w:val="single" w:sz="12" w:space="0" w:color="auto"/>
            </w:tcBorders>
          </w:tcPr>
          <w:p w14:paraId="1FB190B7" w14:textId="77777777" w:rsidR="00A24FFC" w:rsidRPr="00F6439B" w:rsidRDefault="001E533B" w:rsidP="00F6439B">
            <w:pPr>
              <w:jc w:val="center"/>
              <w:rPr>
                <w:rFonts w:ascii="新細明體" w:eastAsia="新細明體" w:hAnsi="新細明體"/>
              </w:rPr>
            </w:pPr>
            <w:r w:rsidRPr="00F6439B">
              <w:rPr>
                <w:rFonts w:ascii="新細明體" w:eastAsia="新細明體" w:hAnsi="新細明體" w:cs="新細明體" w:hint="eastAsia"/>
                <w:color w:val="000000"/>
              </w:rPr>
              <w:t>修正前內容</w:t>
            </w:r>
          </w:p>
        </w:tc>
        <w:tc>
          <w:tcPr>
            <w:tcW w:w="2023" w:type="dxa"/>
            <w:tcBorders>
              <w:top w:val="single" w:sz="12" w:space="0" w:color="auto"/>
              <w:bottom w:val="single" w:sz="12" w:space="0" w:color="auto"/>
              <w:right w:val="single" w:sz="12" w:space="0" w:color="auto"/>
            </w:tcBorders>
          </w:tcPr>
          <w:p w14:paraId="7A098D66" w14:textId="77777777" w:rsidR="00A24FFC" w:rsidRPr="00F6439B" w:rsidRDefault="00C904D3" w:rsidP="00F6439B">
            <w:pPr>
              <w:jc w:val="center"/>
              <w:rPr>
                <w:rFonts w:ascii="新細明體" w:eastAsia="新細明體" w:hAnsi="新細明體"/>
              </w:rPr>
            </w:pPr>
            <w:r w:rsidRPr="00F6439B">
              <w:rPr>
                <w:rFonts w:ascii="新細明體" w:eastAsia="新細明體" w:hAnsi="新細明體" w:cs="新細明體" w:hint="eastAsia"/>
                <w:color w:val="000000"/>
              </w:rPr>
              <w:t>修正說明</w:t>
            </w:r>
          </w:p>
        </w:tc>
      </w:tr>
      <w:tr w:rsidR="003B3105" w:rsidRPr="00F6439B" w14:paraId="6F801B14" w14:textId="77777777">
        <w:tc>
          <w:tcPr>
            <w:tcW w:w="1384" w:type="dxa"/>
            <w:vMerge w:val="restart"/>
            <w:tcBorders>
              <w:top w:val="single" w:sz="12" w:space="0" w:color="auto"/>
              <w:left w:val="single" w:sz="12" w:space="0" w:color="auto"/>
            </w:tcBorders>
          </w:tcPr>
          <w:p w14:paraId="39C8E458" w14:textId="3C93645F" w:rsidR="003B3105" w:rsidRPr="00F6439B" w:rsidRDefault="003B3105" w:rsidP="001E533B">
            <w:pPr>
              <w:rPr>
                <w:rFonts w:ascii="新細明體" w:eastAsia="新細明體" w:hAnsi="新細明體"/>
              </w:rPr>
            </w:pPr>
            <w:r>
              <w:rPr>
                <w:rFonts w:ascii="新細明體" w:eastAsia="新細明體" w:hAnsi="新細明體" w:hint="eastAsia"/>
              </w:rPr>
              <w:t>AA-11110</w:t>
            </w:r>
          </w:p>
        </w:tc>
        <w:tc>
          <w:tcPr>
            <w:tcW w:w="1276" w:type="dxa"/>
            <w:vMerge w:val="restart"/>
            <w:tcBorders>
              <w:top w:val="single" w:sz="12" w:space="0" w:color="auto"/>
            </w:tcBorders>
          </w:tcPr>
          <w:p w14:paraId="6AECD2F1" w14:textId="77777777" w:rsidR="003B3105" w:rsidRPr="00F6439B" w:rsidRDefault="003B3105" w:rsidP="001E533B">
            <w:pPr>
              <w:rPr>
                <w:rFonts w:ascii="新細明體" w:eastAsia="新細明體" w:hAnsi="新細明體"/>
              </w:rPr>
            </w:pPr>
            <w:r>
              <w:rPr>
                <w:rFonts w:ascii="新細明體" w:eastAsia="新細明體" w:hAnsi="新細明體" w:hint="eastAsia"/>
              </w:rPr>
              <w:t>普通交易帳戶：開戶手續及審核作業之稽核</w:t>
            </w:r>
          </w:p>
          <w:p w14:paraId="63E5FA07" w14:textId="77777777" w:rsidR="003B3105" w:rsidRPr="00F6439B" w:rsidRDefault="003B3105" w:rsidP="001E533B">
            <w:pPr>
              <w:rPr>
                <w:rFonts w:ascii="新細明體" w:eastAsia="新細明體" w:hAnsi="新細明體"/>
              </w:rPr>
            </w:pPr>
            <w:r>
              <w:rPr>
                <w:rFonts w:ascii="新細明體" w:eastAsia="新細明體" w:hAnsi="新細明體" w:hint="eastAsia"/>
              </w:rPr>
              <w:t>目的：</w:t>
            </w:r>
          </w:p>
          <w:p w14:paraId="08B5DAED" w14:textId="77777777" w:rsidR="003B3105" w:rsidRPr="00F6439B" w:rsidRDefault="003B3105" w:rsidP="001E533B">
            <w:pPr>
              <w:rPr>
                <w:rFonts w:ascii="新細明體" w:eastAsia="新細明體" w:hAnsi="新細明體"/>
              </w:rPr>
            </w:pPr>
            <w:r>
              <w:rPr>
                <w:rFonts w:ascii="新細明體" w:eastAsia="新細明體" w:hAnsi="新細明體" w:hint="eastAsia"/>
              </w:rPr>
              <w:t>確定上述作業是否符合規定辦理</w:t>
            </w:r>
          </w:p>
        </w:tc>
        <w:tc>
          <w:tcPr>
            <w:tcW w:w="5386" w:type="dxa"/>
            <w:tcBorders>
              <w:top w:val="single" w:sz="12" w:space="0" w:color="auto"/>
              <w:bottom w:val="nil"/>
            </w:tcBorders>
          </w:tcPr>
          <w:p w14:paraId="1A6552A0" w14:textId="77777777" w:rsidR="003B3105" w:rsidRPr="003B3105" w:rsidRDefault="003B3105" w:rsidP="003B3105">
            <w:pPr>
              <w:spacing w:line="360" w:lineRule="exact"/>
              <w:rPr>
                <w:rFonts w:ascii="新細明體" w:eastAsia="新細明體" w:hAnsi="新細明體" w:cs="Times New Roman"/>
              </w:rPr>
            </w:pPr>
            <w:r w:rsidRPr="00F6439B">
              <w:rPr>
                <w:rFonts w:ascii="新細明體" w:eastAsia="新細明體" w:hAnsi="新細明體" w:cs="新細明體" w:hint="eastAsia"/>
              </w:rPr>
              <w:t>不定期（每週至少查核乙次）</w:t>
            </w:r>
          </w:p>
        </w:tc>
        <w:tc>
          <w:tcPr>
            <w:tcW w:w="5387" w:type="dxa"/>
            <w:tcBorders>
              <w:top w:val="single" w:sz="12" w:space="0" w:color="auto"/>
              <w:bottom w:val="nil"/>
            </w:tcBorders>
          </w:tcPr>
          <w:p w14:paraId="3C1F8D55" w14:textId="77777777" w:rsidR="003B3105" w:rsidRPr="003B3105" w:rsidRDefault="003B3105" w:rsidP="003B3105">
            <w:pPr>
              <w:spacing w:line="360" w:lineRule="exact"/>
              <w:rPr>
                <w:rFonts w:ascii="新細明體" w:eastAsia="新細明體" w:hAnsi="新細明體" w:cs="Times New Roman"/>
              </w:rPr>
            </w:pPr>
            <w:r w:rsidRPr="00F6439B">
              <w:rPr>
                <w:rFonts w:ascii="新細明體" w:eastAsia="新細明體" w:hAnsi="新細明體" w:cs="新細明體" w:hint="eastAsia"/>
              </w:rPr>
              <w:t>不定期（每週至少查核乙次）</w:t>
            </w:r>
          </w:p>
        </w:tc>
        <w:tc>
          <w:tcPr>
            <w:tcW w:w="2023" w:type="dxa"/>
            <w:vMerge w:val="restart"/>
            <w:tcBorders>
              <w:top w:val="single" w:sz="12" w:space="0" w:color="auto"/>
              <w:right w:val="single" w:sz="12" w:space="0" w:color="auto"/>
            </w:tcBorders>
          </w:tcPr>
          <w:p w14:paraId="217DBB1D" w14:textId="77777777" w:rsidR="003B3105" w:rsidRPr="00F6439B" w:rsidRDefault="003B3105" w:rsidP="003B3105">
            <w:pPr>
              <w:spacing w:line="360" w:lineRule="exact"/>
              <w:ind w:left="28" w:right="28"/>
              <w:rPr>
                <w:rFonts w:ascii="新細明體" w:eastAsia="新細明體" w:hAnsi="新細明體"/>
              </w:rPr>
            </w:pPr>
            <w:r>
              <w:rPr>
                <w:rFonts w:ascii="新細明體" w:eastAsia="新細明體" w:hAnsi="新細明體" w:cs="Times New Roman" w:hint="eastAsia"/>
                <w:color w:val="FF0000"/>
                <w:spacing w:val="20"/>
                <w:szCs w:val="20"/>
                <w:u w:val="single"/>
              </w:rPr>
              <w:t>參酌券商公會建議，調整本項目之查核週期由週查核改為月查核。</w:t>
            </w:r>
          </w:p>
        </w:tc>
      </w:tr>
      <w:tr w:rsidR="003B3105" w:rsidRPr="00F6439B" w14:paraId="2BC6EC63" w14:textId="77777777">
        <w:tc>
          <w:tcPr>
            <w:tcW w:w="1384" w:type="dxa"/>
            <w:vMerge/>
            <w:tcBorders>
              <w:left w:val="single" w:sz="12" w:space="0" w:color="auto"/>
            </w:tcBorders>
          </w:tcPr>
          <w:p w14:paraId="209BBC6A" w14:textId="77777777" w:rsidR="003B3105" w:rsidRDefault="003B3105" w:rsidP="001E533B">
            <w:pPr>
              <w:rPr>
                <w:rFonts w:ascii="新細明體" w:eastAsia="新細明體" w:hAnsi="新細明體"/>
              </w:rPr>
            </w:pPr>
          </w:p>
        </w:tc>
        <w:tc>
          <w:tcPr>
            <w:tcW w:w="1276" w:type="dxa"/>
            <w:vMerge/>
          </w:tcPr>
          <w:p w14:paraId="1197E296" w14:textId="77777777" w:rsidR="003B3105" w:rsidRDefault="003B3105" w:rsidP="001E533B">
            <w:pPr>
              <w:rPr>
                <w:rFonts w:ascii="新細明體" w:eastAsia="新細明體" w:hAnsi="新細明體"/>
              </w:rPr>
            </w:pPr>
          </w:p>
        </w:tc>
        <w:tc>
          <w:tcPr>
            <w:tcW w:w="5386" w:type="dxa"/>
            <w:tcBorders>
              <w:top w:val="nil"/>
              <w:bottom w:val="nil"/>
            </w:tcBorders>
          </w:tcPr>
          <w:p w14:paraId="0ADC5130" w14:textId="19549BD4"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(一)開戶契約之填寫內容、附件及審查程序是否完整且符合規定。</w:t>
            </w:r>
          </w:p>
        </w:tc>
        <w:tc>
          <w:tcPr>
            <w:tcW w:w="5387" w:type="dxa"/>
            <w:tcBorders>
              <w:top w:val="nil"/>
              <w:bottom w:val="nil"/>
            </w:tcBorders>
          </w:tcPr>
          <w:p w14:paraId="412356DC" w14:textId="5DEAC3E5"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(一)開戶契約之填寫內容、附件及審查程序是否完整且符合規定。</w:t>
            </w:r>
          </w:p>
        </w:tc>
        <w:tc>
          <w:tcPr>
            <w:tcW w:w="2023" w:type="dxa"/>
            <w:vMerge/>
            <w:tcBorders>
              <w:right w:val="single" w:sz="12" w:space="0" w:color="auto"/>
            </w:tcBorders>
          </w:tcPr>
          <w:p w14:paraId="03C80726"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32A9B106" w14:textId="77777777">
        <w:tc>
          <w:tcPr>
            <w:tcW w:w="1384" w:type="dxa"/>
            <w:vMerge/>
            <w:tcBorders>
              <w:left w:val="single" w:sz="12" w:space="0" w:color="auto"/>
            </w:tcBorders>
          </w:tcPr>
          <w:p w14:paraId="439C7DA7" w14:textId="77777777" w:rsidR="003B3105" w:rsidRDefault="003B3105" w:rsidP="001E533B">
            <w:pPr>
              <w:rPr>
                <w:rFonts w:ascii="新細明體" w:eastAsia="新細明體" w:hAnsi="新細明體"/>
              </w:rPr>
            </w:pPr>
          </w:p>
        </w:tc>
        <w:tc>
          <w:tcPr>
            <w:tcW w:w="1276" w:type="dxa"/>
            <w:vMerge/>
          </w:tcPr>
          <w:p w14:paraId="658D5B6A" w14:textId="77777777" w:rsidR="003B3105" w:rsidRDefault="003B3105" w:rsidP="001E533B">
            <w:pPr>
              <w:rPr>
                <w:rFonts w:ascii="新細明體" w:eastAsia="新細明體" w:hAnsi="新細明體"/>
              </w:rPr>
            </w:pPr>
          </w:p>
        </w:tc>
        <w:tc>
          <w:tcPr>
            <w:tcW w:w="5386" w:type="dxa"/>
            <w:tcBorders>
              <w:top w:val="nil"/>
              <w:bottom w:val="nil"/>
            </w:tcBorders>
          </w:tcPr>
          <w:p w14:paraId="7AF8D2FC"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(二)客戶是否無不得開戶之情事。</w:t>
            </w:r>
          </w:p>
        </w:tc>
        <w:tc>
          <w:tcPr>
            <w:tcW w:w="5387" w:type="dxa"/>
            <w:tcBorders>
              <w:top w:val="nil"/>
              <w:bottom w:val="nil"/>
            </w:tcBorders>
          </w:tcPr>
          <w:p w14:paraId="36C319D0"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(二)客戶是否無不得開戶之情事。</w:t>
            </w:r>
          </w:p>
        </w:tc>
        <w:tc>
          <w:tcPr>
            <w:tcW w:w="2023" w:type="dxa"/>
            <w:vMerge/>
            <w:tcBorders>
              <w:right w:val="single" w:sz="12" w:space="0" w:color="auto"/>
            </w:tcBorders>
          </w:tcPr>
          <w:p w14:paraId="75C21B99"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5D497570" w14:textId="77777777">
        <w:tc>
          <w:tcPr>
            <w:tcW w:w="1384" w:type="dxa"/>
            <w:vMerge/>
            <w:tcBorders>
              <w:left w:val="single" w:sz="12" w:space="0" w:color="auto"/>
            </w:tcBorders>
          </w:tcPr>
          <w:p w14:paraId="32F8F126" w14:textId="77777777" w:rsidR="003B3105" w:rsidRDefault="003B3105" w:rsidP="001E533B">
            <w:pPr>
              <w:rPr>
                <w:rFonts w:ascii="新細明體" w:eastAsia="新細明體" w:hAnsi="新細明體"/>
              </w:rPr>
            </w:pPr>
          </w:p>
        </w:tc>
        <w:tc>
          <w:tcPr>
            <w:tcW w:w="1276" w:type="dxa"/>
            <w:vMerge/>
          </w:tcPr>
          <w:p w14:paraId="1347FA9A" w14:textId="77777777" w:rsidR="003B3105" w:rsidRDefault="003B3105" w:rsidP="001E533B">
            <w:pPr>
              <w:rPr>
                <w:rFonts w:ascii="新細明體" w:eastAsia="新細明體" w:hAnsi="新細明體"/>
              </w:rPr>
            </w:pPr>
          </w:p>
        </w:tc>
        <w:tc>
          <w:tcPr>
            <w:tcW w:w="5386" w:type="dxa"/>
            <w:tcBorders>
              <w:top w:val="nil"/>
              <w:bottom w:val="nil"/>
            </w:tcBorders>
          </w:tcPr>
          <w:p w14:paraId="4B659779"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(三)除因特殊情況並註明原因者，得將特定帳號予以空號處理外，帳號編列是否依順序編號且無選號、跳號、空號或重複編號情形。</w:t>
            </w:r>
          </w:p>
        </w:tc>
        <w:tc>
          <w:tcPr>
            <w:tcW w:w="5387" w:type="dxa"/>
            <w:tcBorders>
              <w:top w:val="nil"/>
              <w:bottom w:val="nil"/>
            </w:tcBorders>
          </w:tcPr>
          <w:p w14:paraId="1370D946"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(三)除因特殊情況並註明原因者，得將特定帳號予以空號處理外，帳號編列是否依順序編號且無選號、跳號、空號或重複編號情形。</w:t>
            </w:r>
          </w:p>
        </w:tc>
        <w:tc>
          <w:tcPr>
            <w:tcW w:w="2023" w:type="dxa"/>
            <w:vMerge/>
            <w:tcBorders>
              <w:right w:val="single" w:sz="12" w:space="0" w:color="auto"/>
            </w:tcBorders>
          </w:tcPr>
          <w:p w14:paraId="6B4BFD83"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72F01FDC" w14:textId="77777777">
        <w:tc>
          <w:tcPr>
            <w:tcW w:w="1384" w:type="dxa"/>
            <w:vMerge/>
            <w:tcBorders>
              <w:left w:val="single" w:sz="12" w:space="0" w:color="auto"/>
            </w:tcBorders>
          </w:tcPr>
          <w:p w14:paraId="662B246C" w14:textId="77777777" w:rsidR="003B3105" w:rsidRDefault="003B3105" w:rsidP="001E533B">
            <w:pPr>
              <w:rPr>
                <w:rFonts w:ascii="新細明體" w:eastAsia="新細明體" w:hAnsi="新細明體"/>
              </w:rPr>
            </w:pPr>
          </w:p>
        </w:tc>
        <w:tc>
          <w:tcPr>
            <w:tcW w:w="1276" w:type="dxa"/>
            <w:vMerge/>
          </w:tcPr>
          <w:p w14:paraId="2021422A" w14:textId="77777777" w:rsidR="003B3105" w:rsidRDefault="003B3105" w:rsidP="001E533B">
            <w:pPr>
              <w:rPr>
                <w:rFonts w:ascii="新細明體" w:eastAsia="新細明體" w:hAnsi="新細明體"/>
              </w:rPr>
            </w:pPr>
          </w:p>
        </w:tc>
        <w:tc>
          <w:tcPr>
            <w:tcW w:w="5386" w:type="dxa"/>
            <w:tcBorders>
              <w:top w:val="nil"/>
              <w:bottom w:val="nil"/>
            </w:tcBorders>
          </w:tcPr>
          <w:p w14:paraId="36F4138F"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(四)曾註銷之帳號重新編列使用時，是否非當年度註銷之空號，並是否依序填補。</w:t>
            </w:r>
          </w:p>
        </w:tc>
        <w:tc>
          <w:tcPr>
            <w:tcW w:w="5387" w:type="dxa"/>
            <w:tcBorders>
              <w:top w:val="nil"/>
              <w:bottom w:val="nil"/>
            </w:tcBorders>
          </w:tcPr>
          <w:p w14:paraId="4C9F27AB"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(四)曾註銷之帳號重新編列使用時，是否非當年度註銷之空號，並是否依序填補。</w:t>
            </w:r>
          </w:p>
        </w:tc>
        <w:tc>
          <w:tcPr>
            <w:tcW w:w="2023" w:type="dxa"/>
            <w:vMerge/>
            <w:tcBorders>
              <w:right w:val="single" w:sz="12" w:space="0" w:color="auto"/>
            </w:tcBorders>
          </w:tcPr>
          <w:p w14:paraId="10C1B958"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7A61C511" w14:textId="77777777">
        <w:tc>
          <w:tcPr>
            <w:tcW w:w="1384" w:type="dxa"/>
            <w:vMerge/>
            <w:tcBorders>
              <w:left w:val="single" w:sz="12" w:space="0" w:color="auto"/>
            </w:tcBorders>
          </w:tcPr>
          <w:p w14:paraId="01033249" w14:textId="77777777" w:rsidR="003B3105" w:rsidRDefault="003B3105" w:rsidP="001E533B">
            <w:pPr>
              <w:rPr>
                <w:rFonts w:ascii="新細明體" w:eastAsia="新細明體" w:hAnsi="新細明體"/>
              </w:rPr>
            </w:pPr>
          </w:p>
        </w:tc>
        <w:tc>
          <w:tcPr>
            <w:tcW w:w="1276" w:type="dxa"/>
            <w:vMerge/>
          </w:tcPr>
          <w:p w14:paraId="72ACDBA1" w14:textId="77777777" w:rsidR="003B3105" w:rsidRDefault="003B3105" w:rsidP="001E533B">
            <w:pPr>
              <w:rPr>
                <w:rFonts w:ascii="新細明體" w:eastAsia="新細明體" w:hAnsi="新細明體"/>
              </w:rPr>
            </w:pPr>
          </w:p>
        </w:tc>
        <w:tc>
          <w:tcPr>
            <w:tcW w:w="5386" w:type="dxa"/>
            <w:tcBorders>
              <w:top w:val="nil"/>
              <w:bottom w:val="nil"/>
            </w:tcBorders>
          </w:tcPr>
          <w:p w14:paraId="6C72A9C5"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(五)代理開戶者是否去函客戶之戶籍地址查證是否親自委託開戶，函覆結果是否無冒用之情事。</w:t>
            </w:r>
          </w:p>
        </w:tc>
        <w:tc>
          <w:tcPr>
            <w:tcW w:w="5387" w:type="dxa"/>
            <w:tcBorders>
              <w:top w:val="nil"/>
              <w:bottom w:val="nil"/>
            </w:tcBorders>
          </w:tcPr>
          <w:p w14:paraId="05E7E0BB"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(五)代理開戶者是否去函客戶之戶籍地址查證是否親自委託開戶，函覆結果是否無冒用之情事。</w:t>
            </w:r>
          </w:p>
        </w:tc>
        <w:tc>
          <w:tcPr>
            <w:tcW w:w="2023" w:type="dxa"/>
            <w:vMerge/>
            <w:tcBorders>
              <w:right w:val="single" w:sz="12" w:space="0" w:color="auto"/>
            </w:tcBorders>
          </w:tcPr>
          <w:p w14:paraId="2BA52AA5"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5FB0C4DF" w14:textId="77777777">
        <w:tc>
          <w:tcPr>
            <w:tcW w:w="1384" w:type="dxa"/>
            <w:vMerge/>
            <w:tcBorders>
              <w:left w:val="single" w:sz="12" w:space="0" w:color="auto"/>
            </w:tcBorders>
          </w:tcPr>
          <w:p w14:paraId="13D2282C" w14:textId="77777777" w:rsidR="003B3105" w:rsidRDefault="003B3105" w:rsidP="001E533B">
            <w:pPr>
              <w:rPr>
                <w:rFonts w:ascii="新細明體" w:eastAsia="新細明體" w:hAnsi="新細明體"/>
              </w:rPr>
            </w:pPr>
          </w:p>
        </w:tc>
        <w:tc>
          <w:tcPr>
            <w:tcW w:w="1276" w:type="dxa"/>
            <w:vMerge/>
          </w:tcPr>
          <w:p w14:paraId="005BD15E" w14:textId="77777777" w:rsidR="003B3105" w:rsidRDefault="003B3105" w:rsidP="001E533B">
            <w:pPr>
              <w:rPr>
                <w:rFonts w:ascii="新細明體" w:eastAsia="新細明體" w:hAnsi="新細明體"/>
              </w:rPr>
            </w:pPr>
          </w:p>
        </w:tc>
        <w:tc>
          <w:tcPr>
            <w:tcW w:w="5386" w:type="dxa"/>
            <w:tcBorders>
              <w:top w:val="nil"/>
              <w:bottom w:val="nil"/>
            </w:tcBorders>
          </w:tcPr>
          <w:p w14:paraId="5D7BAB29"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(六)內部人員開戶帳號是否與其他客戶區分，原已開立之普通交易帳戶是否已註銷。</w:t>
            </w:r>
          </w:p>
        </w:tc>
        <w:tc>
          <w:tcPr>
            <w:tcW w:w="5387" w:type="dxa"/>
            <w:tcBorders>
              <w:top w:val="nil"/>
              <w:bottom w:val="nil"/>
            </w:tcBorders>
          </w:tcPr>
          <w:p w14:paraId="6C621D95"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(六)內部人員開戶帳號是否與其他客戶區分，原已開立之普通交易帳戶是否已註銷。</w:t>
            </w:r>
          </w:p>
        </w:tc>
        <w:tc>
          <w:tcPr>
            <w:tcW w:w="2023" w:type="dxa"/>
            <w:vMerge/>
            <w:tcBorders>
              <w:right w:val="single" w:sz="12" w:space="0" w:color="auto"/>
            </w:tcBorders>
          </w:tcPr>
          <w:p w14:paraId="0B15D59E"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1639FD4D" w14:textId="77777777">
        <w:tc>
          <w:tcPr>
            <w:tcW w:w="1384" w:type="dxa"/>
            <w:vMerge/>
            <w:tcBorders>
              <w:left w:val="single" w:sz="12" w:space="0" w:color="auto"/>
            </w:tcBorders>
          </w:tcPr>
          <w:p w14:paraId="1B7D7AE0" w14:textId="77777777" w:rsidR="003B3105" w:rsidRDefault="003B3105" w:rsidP="001E533B">
            <w:pPr>
              <w:rPr>
                <w:rFonts w:ascii="新細明體" w:eastAsia="新細明體" w:hAnsi="新細明體"/>
              </w:rPr>
            </w:pPr>
          </w:p>
        </w:tc>
        <w:tc>
          <w:tcPr>
            <w:tcW w:w="1276" w:type="dxa"/>
            <w:vMerge/>
          </w:tcPr>
          <w:p w14:paraId="37DFB160" w14:textId="77777777" w:rsidR="003B3105" w:rsidRDefault="003B3105" w:rsidP="001E533B">
            <w:pPr>
              <w:rPr>
                <w:rFonts w:ascii="新細明體" w:eastAsia="新細明體" w:hAnsi="新細明體"/>
              </w:rPr>
            </w:pPr>
          </w:p>
        </w:tc>
        <w:tc>
          <w:tcPr>
            <w:tcW w:w="5386" w:type="dxa"/>
            <w:tcBorders>
              <w:top w:val="nil"/>
              <w:bottom w:val="nil"/>
            </w:tcBorders>
          </w:tcPr>
          <w:p w14:paraId="1BA48D17"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(七)對開戶者資格之審查及查對身分證明有關項目應確實依照公司內部控制制度所定之審查程序辦理。</w:t>
            </w:r>
          </w:p>
        </w:tc>
        <w:tc>
          <w:tcPr>
            <w:tcW w:w="5387" w:type="dxa"/>
            <w:tcBorders>
              <w:top w:val="nil"/>
              <w:bottom w:val="nil"/>
            </w:tcBorders>
          </w:tcPr>
          <w:p w14:paraId="12C55D56"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(七)對開戶者資格之審查及查對身分證明有關項目應確實依照公司內部控制制度所定之審查程序辦理。</w:t>
            </w:r>
          </w:p>
        </w:tc>
        <w:tc>
          <w:tcPr>
            <w:tcW w:w="2023" w:type="dxa"/>
            <w:vMerge/>
            <w:tcBorders>
              <w:right w:val="single" w:sz="12" w:space="0" w:color="auto"/>
            </w:tcBorders>
          </w:tcPr>
          <w:p w14:paraId="389A65A3"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1FFA2C6D" w14:textId="77777777">
        <w:tc>
          <w:tcPr>
            <w:tcW w:w="1384" w:type="dxa"/>
            <w:vMerge/>
            <w:tcBorders>
              <w:left w:val="single" w:sz="12" w:space="0" w:color="auto"/>
            </w:tcBorders>
          </w:tcPr>
          <w:p w14:paraId="49B739B4" w14:textId="77777777" w:rsidR="003B3105" w:rsidRDefault="003B3105" w:rsidP="001E533B">
            <w:pPr>
              <w:rPr>
                <w:rFonts w:ascii="新細明體" w:eastAsia="新細明體" w:hAnsi="新細明體"/>
              </w:rPr>
            </w:pPr>
          </w:p>
        </w:tc>
        <w:tc>
          <w:tcPr>
            <w:tcW w:w="1276" w:type="dxa"/>
            <w:vMerge/>
          </w:tcPr>
          <w:p w14:paraId="152D9A37" w14:textId="77777777" w:rsidR="003B3105" w:rsidRDefault="003B3105" w:rsidP="001E533B">
            <w:pPr>
              <w:rPr>
                <w:rFonts w:ascii="新細明體" w:eastAsia="新細明體" w:hAnsi="新細明體"/>
              </w:rPr>
            </w:pPr>
          </w:p>
        </w:tc>
        <w:tc>
          <w:tcPr>
            <w:tcW w:w="5386" w:type="dxa"/>
            <w:tcBorders>
              <w:top w:val="nil"/>
              <w:bottom w:val="nil"/>
            </w:tcBorders>
          </w:tcPr>
          <w:p w14:paraId="1181F212"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八)非完成開戶手續，或代理開戶之客戶名義非屬自然人者（境外外國人及公司於自己公司所設錯帳處理專戶除外）之函證確認程序，並將開戶資料(基本資料及輔助性資料)及帳號鍵入證交所或櫃檯買賣中心電腦檔案者，不得通知營業部門接受客戶之委託，並是否就鍵入資料詳予核對有無錯誤及留存覆核紀錄。</w:t>
            </w:r>
          </w:p>
        </w:tc>
        <w:tc>
          <w:tcPr>
            <w:tcW w:w="5387" w:type="dxa"/>
            <w:tcBorders>
              <w:top w:val="nil"/>
              <w:bottom w:val="nil"/>
            </w:tcBorders>
          </w:tcPr>
          <w:p w14:paraId="413057F5"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八)非完成開戶手續，或代理開戶之客戶名義非屬自然人者（境外外國人及公司於自己公司所設錯帳處理專戶除外）之函證確認程序，並將開戶資料(基本資料及輔助性資料)及帳號鍵入證交所或櫃檯買賣中心電腦檔案者，不得通知營業部門接受客戶之委託，並是否就鍵入資料詳予核對有無錯誤及留存覆核紀錄。</w:t>
            </w:r>
          </w:p>
        </w:tc>
        <w:tc>
          <w:tcPr>
            <w:tcW w:w="2023" w:type="dxa"/>
            <w:vMerge/>
            <w:tcBorders>
              <w:right w:val="single" w:sz="12" w:space="0" w:color="auto"/>
            </w:tcBorders>
          </w:tcPr>
          <w:p w14:paraId="76AB2D6A"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5D31EBE9" w14:textId="77777777">
        <w:tc>
          <w:tcPr>
            <w:tcW w:w="1384" w:type="dxa"/>
            <w:vMerge/>
            <w:tcBorders>
              <w:left w:val="single" w:sz="12" w:space="0" w:color="auto"/>
            </w:tcBorders>
          </w:tcPr>
          <w:p w14:paraId="5B87213F" w14:textId="77777777" w:rsidR="003B3105" w:rsidRDefault="003B3105" w:rsidP="001E533B">
            <w:pPr>
              <w:rPr>
                <w:rFonts w:ascii="新細明體" w:eastAsia="新細明體" w:hAnsi="新細明體"/>
              </w:rPr>
            </w:pPr>
          </w:p>
        </w:tc>
        <w:tc>
          <w:tcPr>
            <w:tcW w:w="1276" w:type="dxa"/>
            <w:vMerge/>
          </w:tcPr>
          <w:p w14:paraId="6A134AF2" w14:textId="77777777" w:rsidR="003B3105" w:rsidRDefault="003B3105" w:rsidP="001E533B">
            <w:pPr>
              <w:rPr>
                <w:rFonts w:ascii="新細明體" w:eastAsia="新細明體" w:hAnsi="新細明體"/>
              </w:rPr>
            </w:pPr>
          </w:p>
        </w:tc>
        <w:tc>
          <w:tcPr>
            <w:tcW w:w="5386" w:type="dxa"/>
            <w:tcBorders>
              <w:top w:val="nil"/>
              <w:bottom w:val="nil"/>
            </w:tcBorders>
          </w:tcPr>
          <w:p w14:paraId="012F16AF" w14:textId="77777777" w:rsidR="003B3105" w:rsidRPr="00F6439B" w:rsidRDefault="0027008E" w:rsidP="003B3105">
            <w:pPr>
              <w:spacing w:line="360" w:lineRule="exact"/>
              <w:ind w:leftChars="165" w:left="429"/>
              <w:rPr>
                <w:rFonts w:ascii="新細明體" w:eastAsia="新細明體" w:hAnsi="新細明體" w:cs="新細明體"/>
              </w:rPr>
            </w:pPr>
            <w:r>
              <w:rPr>
                <w:rFonts w:ascii="新細明體" w:eastAsia="新細明體" w:hAnsi="新細明體" w:cs="新細明體" w:hint="eastAsia"/>
              </w:rPr>
              <w:t>公司受理非當面開戶，是否依相關規定及公司內部控制制度規範辦理。</w:t>
            </w:r>
          </w:p>
        </w:tc>
        <w:tc>
          <w:tcPr>
            <w:tcW w:w="5387" w:type="dxa"/>
            <w:tcBorders>
              <w:top w:val="nil"/>
              <w:bottom w:val="nil"/>
            </w:tcBorders>
          </w:tcPr>
          <w:p w14:paraId="0685F937" w14:textId="77777777" w:rsidR="003B3105" w:rsidRPr="00F6439B" w:rsidRDefault="0027008E" w:rsidP="003B3105">
            <w:pPr>
              <w:spacing w:line="360" w:lineRule="exact"/>
              <w:ind w:leftChars="165" w:left="429"/>
              <w:rPr>
                <w:rFonts w:ascii="新細明體" w:eastAsia="新細明體" w:hAnsi="新細明體" w:cs="新細明體"/>
              </w:rPr>
            </w:pPr>
            <w:r>
              <w:rPr>
                <w:rFonts w:ascii="新細明體" w:eastAsia="新細明體" w:hAnsi="新細明體" w:cs="新細明體" w:hint="eastAsia"/>
              </w:rPr>
              <w:t>公司受理非當面開戶，是否依相關規定及公司內部控制制度規範辦理。</w:t>
            </w:r>
          </w:p>
        </w:tc>
        <w:tc>
          <w:tcPr>
            <w:tcW w:w="2023" w:type="dxa"/>
            <w:vMerge/>
            <w:tcBorders>
              <w:right w:val="single" w:sz="12" w:space="0" w:color="auto"/>
            </w:tcBorders>
          </w:tcPr>
          <w:p w14:paraId="5CB66AF4"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07D781E4" w14:textId="77777777">
        <w:tc>
          <w:tcPr>
            <w:tcW w:w="1384" w:type="dxa"/>
            <w:vMerge/>
            <w:tcBorders>
              <w:left w:val="single" w:sz="12" w:space="0" w:color="auto"/>
            </w:tcBorders>
          </w:tcPr>
          <w:p w14:paraId="5F343F5B" w14:textId="77777777" w:rsidR="003B3105" w:rsidRDefault="003B3105" w:rsidP="001E533B">
            <w:pPr>
              <w:rPr>
                <w:rFonts w:ascii="新細明體" w:eastAsia="新細明體" w:hAnsi="新細明體"/>
              </w:rPr>
            </w:pPr>
          </w:p>
        </w:tc>
        <w:tc>
          <w:tcPr>
            <w:tcW w:w="1276" w:type="dxa"/>
            <w:vMerge/>
          </w:tcPr>
          <w:p w14:paraId="726F6D9B" w14:textId="77777777" w:rsidR="003B3105" w:rsidRDefault="003B3105" w:rsidP="001E533B">
            <w:pPr>
              <w:rPr>
                <w:rFonts w:ascii="新細明體" w:eastAsia="新細明體" w:hAnsi="新細明體"/>
              </w:rPr>
            </w:pPr>
          </w:p>
        </w:tc>
        <w:tc>
          <w:tcPr>
            <w:tcW w:w="5386" w:type="dxa"/>
            <w:tcBorders>
              <w:top w:val="nil"/>
              <w:bottom w:val="nil"/>
            </w:tcBorders>
          </w:tcPr>
          <w:p w14:paraId="37CCD490"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(九)客戶採通信或電子化方式辦理開戶者，是   否依「證券商受理線上開戶委託人身分認證及額度分級管理標準」辦理。</w:t>
            </w:r>
          </w:p>
        </w:tc>
        <w:tc>
          <w:tcPr>
            <w:tcW w:w="5387" w:type="dxa"/>
            <w:tcBorders>
              <w:top w:val="nil"/>
              <w:bottom w:val="nil"/>
            </w:tcBorders>
          </w:tcPr>
          <w:p w14:paraId="48035887"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(九)客戶採通信或電子化方式辦理開戶者，是   否依「證券商受理線上開戶委託人身分認證及額度分級管理標準」辦理。</w:t>
            </w:r>
          </w:p>
        </w:tc>
        <w:tc>
          <w:tcPr>
            <w:tcW w:w="2023" w:type="dxa"/>
            <w:vMerge/>
            <w:tcBorders>
              <w:right w:val="single" w:sz="12" w:space="0" w:color="auto"/>
            </w:tcBorders>
          </w:tcPr>
          <w:p w14:paraId="43680012"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6E8D322F" w14:textId="77777777">
        <w:tc>
          <w:tcPr>
            <w:tcW w:w="1384" w:type="dxa"/>
            <w:vMerge/>
            <w:tcBorders>
              <w:left w:val="single" w:sz="12" w:space="0" w:color="auto"/>
            </w:tcBorders>
          </w:tcPr>
          <w:p w14:paraId="719EC903" w14:textId="77777777" w:rsidR="003B3105" w:rsidRDefault="003B3105" w:rsidP="001E533B">
            <w:pPr>
              <w:rPr>
                <w:rFonts w:ascii="新細明體" w:eastAsia="新細明體" w:hAnsi="新細明體"/>
              </w:rPr>
            </w:pPr>
          </w:p>
        </w:tc>
        <w:tc>
          <w:tcPr>
            <w:tcW w:w="1276" w:type="dxa"/>
            <w:vMerge/>
          </w:tcPr>
          <w:p w14:paraId="73927957" w14:textId="77777777" w:rsidR="003B3105" w:rsidRDefault="003B3105" w:rsidP="001E533B">
            <w:pPr>
              <w:rPr>
                <w:rFonts w:ascii="新細明體" w:eastAsia="新細明體" w:hAnsi="新細明體"/>
              </w:rPr>
            </w:pPr>
          </w:p>
        </w:tc>
        <w:tc>
          <w:tcPr>
            <w:tcW w:w="5386" w:type="dxa"/>
            <w:tcBorders>
              <w:top w:val="nil"/>
              <w:bottom w:val="nil"/>
            </w:tcBorders>
          </w:tcPr>
          <w:p w14:paraId="5545E52E"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(十)(刪除)</w:t>
            </w:r>
          </w:p>
        </w:tc>
        <w:tc>
          <w:tcPr>
            <w:tcW w:w="5387" w:type="dxa"/>
            <w:tcBorders>
              <w:top w:val="nil"/>
              <w:bottom w:val="nil"/>
            </w:tcBorders>
          </w:tcPr>
          <w:p w14:paraId="7576092C" w14:textId="77777777"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(十)(刪除)</w:t>
            </w:r>
          </w:p>
        </w:tc>
        <w:tc>
          <w:tcPr>
            <w:tcW w:w="2023" w:type="dxa"/>
            <w:vMerge/>
            <w:tcBorders>
              <w:right w:val="single" w:sz="12" w:space="0" w:color="auto"/>
            </w:tcBorders>
          </w:tcPr>
          <w:p w14:paraId="4C4AD9AA"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43B711B2" w14:textId="77777777">
        <w:tc>
          <w:tcPr>
            <w:tcW w:w="1384" w:type="dxa"/>
            <w:vMerge/>
            <w:tcBorders>
              <w:left w:val="single" w:sz="12" w:space="0" w:color="auto"/>
            </w:tcBorders>
          </w:tcPr>
          <w:p w14:paraId="39CB36B3" w14:textId="77777777" w:rsidR="003B3105" w:rsidRDefault="003B3105" w:rsidP="001E533B">
            <w:pPr>
              <w:rPr>
                <w:rFonts w:ascii="新細明體" w:eastAsia="新細明體" w:hAnsi="新細明體"/>
              </w:rPr>
            </w:pPr>
          </w:p>
        </w:tc>
        <w:tc>
          <w:tcPr>
            <w:tcW w:w="1276" w:type="dxa"/>
            <w:vMerge/>
          </w:tcPr>
          <w:p w14:paraId="43FE5428" w14:textId="77777777" w:rsidR="003B3105" w:rsidRDefault="003B3105" w:rsidP="001E533B">
            <w:pPr>
              <w:rPr>
                <w:rFonts w:ascii="新細明體" w:eastAsia="新細明體" w:hAnsi="新細明體"/>
              </w:rPr>
            </w:pPr>
          </w:p>
        </w:tc>
        <w:tc>
          <w:tcPr>
            <w:tcW w:w="5386" w:type="dxa"/>
            <w:tcBorders>
              <w:top w:val="nil"/>
              <w:bottom w:val="nil"/>
            </w:tcBorders>
          </w:tcPr>
          <w:p w14:paraId="0EEF684A"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t>(十一)客戶為非法人團體者，開戶是否符合相關規定。</w:t>
            </w:r>
          </w:p>
        </w:tc>
        <w:tc>
          <w:tcPr>
            <w:tcW w:w="5387" w:type="dxa"/>
            <w:tcBorders>
              <w:top w:val="nil"/>
              <w:bottom w:val="nil"/>
            </w:tcBorders>
          </w:tcPr>
          <w:p w14:paraId="118085A0"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t>(十一)客戶為非法人團體者，開戶是否符合相關規定。</w:t>
            </w:r>
          </w:p>
        </w:tc>
        <w:tc>
          <w:tcPr>
            <w:tcW w:w="2023" w:type="dxa"/>
            <w:vMerge/>
            <w:tcBorders>
              <w:right w:val="single" w:sz="12" w:space="0" w:color="auto"/>
            </w:tcBorders>
          </w:tcPr>
          <w:p w14:paraId="0A92FB15"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43AFD6CE" w14:textId="77777777">
        <w:tc>
          <w:tcPr>
            <w:tcW w:w="1384" w:type="dxa"/>
            <w:vMerge/>
            <w:tcBorders>
              <w:left w:val="single" w:sz="12" w:space="0" w:color="auto"/>
            </w:tcBorders>
          </w:tcPr>
          <w:p w14:paraId="612EB4ED" w14:textId="77777777" w:rsidR="003B3105" w:rsidRDefault="003B3105" w:rsidP="001E533B">
            <w:pPr>
              <w:rPr>
                <w:rFonts w:ascii="新細明體" w:eastAsia="新細明體" w:hAnsi="新細明體"/>
              </w:rPr>
            </w:pPr>
          </w:p>
        </w:tc>
        <w:tc>
          <w:tcPr>
            <w:tcW w:w="1276" w:type="dxa"/>
            <w:vMerge/>
          </w:tcPr>
          <w:p w14:paraId="57DFCB14" w14:textId="77777777" w:rsidR="003B3105" w:rsidRDefault="003B3105" w:rsidP="001E533B">
            <w:pPr>
              <w:rPr>
                <w:rFonts w:ascii="新細明體" w:eastAsia="新細明體" w:hAnsi="新細明體"/>
              </w:rPr>
            </w:pPr>
          </w:p>
        </w:tc>
        <w:tc>
          <w:tcPr>
            <w:tcW w:w="5386" w:type="dxa"/>
            <w:tcBorders>
              <w:top w:val="nil"/>
              <w:bottom w:val="nil"/>
            </w:tcBorders>
          </w:tcPr>
          <w:p w14:paraId="3F7E9615"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t>(十二)他家證券商或公司各違約處理專戶開立於同一營業處所者，是否依規定控管。</w:t>
            </w:r>
          </w:p>
        </w:tc>
        <w:tc>
          <w:tcPr>
            <w:tcW w:w="5387" w:type="dxa"/>
            <w:tcBorders>
              <w:top w:val="nil"/>
              <w:bottom w:val="nil"/>
            </w:tcBorders>
          </w:tcPr>
          <w:p w14:paraId="765078F8"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t>(十二)他家證券商或公司各違約處理專戶開立於同一營業處所者，是否依規定控管。</w:t>
            </w:r>
          </w:p>
        </w:tc>
        <w:tc>
          <w:tcPr>
            <w:tcW w:w="2023" w:type="dxa"/>
            <w:vMerge/>
            <w:tcBorders>
              <w:right w:val="single" w:sz="12" w:space="0" w:color="auto"/>
            </w:tcBorders>
          </w:tcPr>
          <w:p w14:paraId="083DBE07"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27A29156" w14:textId="77777777">
        <w:tc>
          <w:tcPr>
            <w:tcW w:w="1384" w:type="dxa"/>
            <w:vMerge/>
            <w:tcBorders>
              <w:left w:val="single" w:sz="12" w:space="0" w:color="auto"/>
            </w:tcBorders>
          </w:tcPr>
          <w:p w14:paraId="4BD06285" w14:textId="77777777" w:rsidR="003B3105" w:rsidRDefault="003B3105" w:rsidP="001E533B">
            <w:pPr>
              <w:rPr>
                <w:rFonts w:ascii="新細明體" w:eastAsia="新細明體" w:hAnsi="新細明體"/>
              </w:rPr>
            </w:pPr>
          </w:p>
        </w:tc>
        <w:tc>
          <w:tcPr>
            <w:tcW w:w="1276" w:type="dxa"/>
            <w:vMerge/>
          </w:tcPr>
          <w:p w14:paraId="14605F50" w14:textId="77777777" w:rsidR="003B3105" w:rsidRDefault="003B3105" w:rsidP="001E533B">
            <w:pPr>
              <w:rPr>
                <w:rFonts w:ascii="新細明體" w:eastAsia="新細明體" w:hAnsi="新細明體"/>
              </w:rPr>
            </w:pPr>
          </w:p>
        </w:tc>
        <w:tc>
          <w:tcPr>
            <w:tcW w:w="5386" w:type="dxa"/>
            <w:tcBorders>
              <w:top w:val="nil"/>
              <w:bottom w:val="nil"/>
            </w:tcBorders>
          </w:tcPr>
          <w:p w14:paraId="50352F1E"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t>(十三)公司與客戶訂立契約時，是否有適當之人員審核簽約程序及客戶所提供資訊之完整性後，始得辦理。上開契約重要內容之說明，應依「金融服務業提供金融商品或服務前說明契約重要內容及揭露風險辦法」規定辦理。</w:t>
            </w:r>
          </w:p>
        </w:tc>
        <w:tc>
          <w:tcPr>
            <w:tcW w:w="5387" w:type="dxa"/>
            <w:tcBorders>
              <w:top w:val="nil"/>
              <w:bottom w:val="nil"/>
            </w:tcBorders>
          </w:tcPr>
          <w:p w14:paraId="235D6E70"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t>(十三)公司與客戶訂立契約時，是否有適當之人員審核簽約程序及客戶所提供資訊之完整性後，始得辦理。上開契約重要內容之說明，應依「金融服務業提供金融商品或服務前說明契約重要內容及揭露風險辦法」規定辦理。</w:t>
            </w:r>
          </w:p>
        </w:tc>
        <w:tc>
          <w:tcPr>
            <w:tcW w:w="2023" w:type="dxa"/>
            <w:vMerge/>
            <w:tcBorders>
              <w:right w:val="single" w:sz="12" w:space="0" w:color="auto"/>
            </w:tcBorders>
          </w:tcPr>
          <w:p w14:paraId="52627EAD"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43784F02" w14:textId="77777777">
        <w:tc>
          <w:tcPr>
            <w:tcW w:w="1384" w:type="dxa"/>
            <w:vMerge/>
            <w:tcBorders>
              <w:left w:val="single" w:sz="12" w:space="0" w:color="auto"/>
            </w:tcBorders>
          </w:tcPr>
          <w:p w14:paraId="22AE4598" w14:textId="77777777" w:rsidR="003B3105" w:rsidRDefault="003B3105" w:rsidP="001E533B">
            <w:pPr>
              <w:rPr>
                <w:rFonts w:ascii="新細明體" w:eastAsia="新細明體" w:hAnsi="新細明體"/>
              </w:rPr>
            </w:pPr>
          </w:p>
        </w:tc>
        <w:tc>
          <w:tcPr>
            <w:tcW w:w="1276" w:type="dxa"/>
            <w:vMerge/>
          </w:tcPr>
          <w:p w14:paraId="12B09849" w14:textId="77777777" w:rsidR="003B3105" w:rsidRDefault="003B3105" w:rsidP="001E533B">
            <w:pPr>
              <w:rPr>
                <w:rFonts w:ascii="新細明體" w:eastAsia="新細明體" w:hAnsi="新細明體"/>
              </w:rPr>
            </w:pPr>
          </w:p>
        </w:tc>
        <w:tc>
          <w:tcPr>
            <w:tcW w:w="5386" w:type="dxa"/>
            <w:tcBorders>
              <w:top w:val="nil"/>
              <w:bottom w:val="nil"/>
            </w:tcBorders>
          </w:tcPr>
          <w:p w14:paraId="1BCEE79D"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t>(十四)客戶親臨櫃檯或開戶人員陪同營業員親至客戶處辦理開戶事宜，如透過電子載具提供電子契約書及相關文件供投資人審閱簽署，是否依證交所104年11月6日臺證輔字第1040022107號函之規定辦理。</w:t>
            </w:r>
          </w:p>
        </w:tc>
        <w:tc>
          <w:tcPr>
            <w:tcW w:w="5387" w:type="dxa"/>
            <w:tcBorders>
              <w:top w:val="nil"/>
              <w:bottom w:val="nil"/>
            </w:tcBorders>
          </w:tcPr>
          <w:p w14:paraId="6B982343"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t>(十四)客戶親臨櫃檯或開戶人員陪同營業員親至客戶處辦理開戶事宜，如透過電子載具提供電子契約書及相關文件供投資人審閱簽署，是否依證交所104年11月6日臺證輔字第1040022107號函之規定辦理。</w:t>
            </w:r>
          </w:p>
        </w:tc>
        <w:tc>
          <w:tcPr>
            <w:tcW w:w="2023" w:type="dxa"/>
            <w:vMerge/>
            <w:tcBorders>
              <w:right w:val="single" w:sz="12" w:space="0" w:color="auto"/>
            </w:tcBorders>
          </w:tcPr>
          <w:p w14:paraId="468DA824"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08554615" w14:textId="77777777">
        <w:tc>
          <w:tcPr>
            <w:tcW w:w="1384" w:type="dxa"/>
            <w:vMerge/>
            <w:tcBorders>
              <w:left w:val="single" w:sz="12" w:space="0" w:color="auto"/>
            </w:tcBorders>
          </w:tcPr>
          <w:p w14:paraId="797BE913" w14:textId="77777777" w:rsidR="003B3105" w:rsidRDefault="003B3105" w:rsidP="001E533B">
            <w:pPr>
              <w:rPr>
                <w:rFonts w:ascii="新細明體" w:eastAsia="新細明體" w:hAnsi="新細明體"/>
              </w:rPr>
            </w:pPr>
          </w:p>
        </w:tc>
        <w:tc>
          <w:tcPr>
            <w:tcW w:w="1276" w:type="dxa"/>
            <w:vMerge/>
          </w:tcPr>
          <w:p w14:paraId="21A96694" w14:textId="77777777" w:rsidR="003B3105" w:rsidRDefault="003B3105" w:rsidP="001E533B">
            <w:pPr>
              <w:rPr>
                <w:rFonts w:ascii="新細明體" w:eastAsia="新細明體" w:hAnsi="新細明體"/>
              </w:rPr>
            </w:pPr>
          </w:p>
        </w:tc>
        <w:tc>
          <w:tcPr>
            <w:tcW w:w="5386" w:type="dxa"/>
            <w:tcBorders>
              <w:top w:val="nil"/>
              <w:bottom w:val="nil"/>
            </w:tcBorders>
          </w:tcPr>
          <w:p w14:paraId="7AD10C29"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t>(十五)辦理依證交所營業細則第七十五條之六、櫃檯買賣中心業務規則第四十五條之四及相關函示規定於公司同一營業據點開立二個以上交易帳戶者，是否於委託人名稱後附加開戶理由。其中對於全</w:t>
            </w:r>
            <w:r>
              <w:rPr>
                <w:rFonts w:ascii="新細明體" w:eastAsia="新細明體" w:hAnsi="新細明體" w:cs="新細明體" w:hint="eastAsia"/>
              </w:rPr>
              <w:lastRenderedPageBreak/>
              <w:t>權委託投資帳戶是否檢附委任人與受任人指示信函，並敘明開戶原因及名稱，帳戶名稱依第一個帳戶名稱加註第二個以上帳戶開戶原因；帳戶更名、註銷等作業亦同。</w:t>
            </w:r>
          </w:p>
        </w:tc>
        <w:tc>
          <w:tcPr>
            <w:tcW w:w="5387" w:type="dxa"/>
            <w:tcBorders>
              <w:top w:val="nil"/>
              <w:bottom w:val="nil"/>
            </w:tcBorders>
          </w:tcPr>
          <w:p w14:paraId="40CC7D47"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lastRenderedPageBreak/>
              <w:t>(十五)辦理依證交所營業細則第七十五條之六、櫃檯買賣中心業務規則第四十五條之四及相關函示規定於公司同一營業據點開立二個以上交易帳戶者，是否於委託人名稱後附加開戶理由。其中對於全</w:t>
            </w:r>
            <w:r>
              <w:rPr>
                <w:rFonts w:ascii="新細明體" w:eastAsia="新細明體" w:hAnsi="新細明體" w:cs="新細明體" w:hint="eastAsia"/>
              </w:rPr>
              <w:lastRenderedPageBreak/>
              <w:t>權委託投資帳戶是否檢附委任人與受任人指示信函，並敘明開戶原因及名稱，帳戶名稱依第一個帳戶名稱加註第二個以上帳戶開戶原因；帳戶更名、註銷等作業亦同。</w:t>
            </w:r>
          </w:p>
        </w:tc>
        <w:tc>
          <w:tcPr>
            <w:tcW w:w="2023" w:type="dxa"/>
            <w:vMerge/>
            <w:tcBorders>
              <w:right w:val="single" w:sz="12" w:space="0" w:color="auto"/>
            </w:tcBorders>
          </w:tcPr>
          <w:p w14:paraId="7FEED459"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5A90CB45" w14:textId="77777777">
        <w:tc>
          <w:tcPr>
            <w:tcW w:w="1384" w:type="dxa"/>
            <w:vMerge/>
            <w:tcBorders>
              <w:left w:val="single" w:sz="12" w:space="0" w:color="auto"/>
            </w:tcBorders>
          </w:tcPr>
          <w:p w14:paraId="4A6E4EE6" w14:textId="77777777" w:rsidR="003B3105" w:rsidRDefault="003B3105" w:rsidP="001E533B">
            <w:pPr>
              <w:rPr>
                <w:rFonts w:ascii="新細明體" w:eastAsia="新細明體" w:hAnsi="新細明體"/>
              </w:rPr>
            </w:pPr>
          </w:p>
        </w:tc>
        <w:tc>
          <w:tcPr>
            <w:tcW w:w="1276" w:type="dxa"/>
            <w:vMerge/>
          </w:tcPr>
          <w:p w14:paraId="04D59B09" w14:textId="77777777" w:rsidR="003B3105" w:rsidRDefault="003B3105" w:rsidP="001E533B">
            <w:pPr>
              <w:rPr>
                <w:rFonts w:ascii="新細明體" w:eastAsia="新細明體" w:hAnsi="新細明體"/>
              </w:rPr>
            </w:pPr>
          </w:p>
        </w:tc>
        <w:tc>
          <w:tcPr>
            <w:tcW w:w="5386" w:type="dxa"/>
            <w:tcBorders>
              <w:top w:val="nil"/>
              <w:bottom w:val="nil"/>
            </w:tcBorders>
          </w:tcPr>
          <w:p w14:paraId="11A954B5"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t>(十六)公司由總、分公司登錄開戶經辦人員跨營業據點辦理開戶之前置作業時，是否依證交所106年11月1日臺證輔字第1060019339號函辦理。</w:t>
            </w:r>
          </w:p>
        </w:tc>
        <w:tc>
          <w:tcPr>
            <w:tcW w:w="5387" w:type="dxa"/>
            <w:tcBorders>
              <w:top w:val="nil"/>
              <w:bottom w:val="nil"/>
            </w:tcBorders>
          </w:tcPr>
          <w:p w14:paraId="28234C38"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t>(十六)公司由總、分公司登錄開戶經辦人員跨營業據點辦理開戶之前置作業時，是否依證交所106年11月1日臺證輔字第1060019339號函辦理。</w:t>
            </w:r>
          </w:p>
        </w:tc>
        <w:tc>
          <w:tcPr>
            <w:tcW w:w="2023" w:type="dxa"/>
            <w:vMerge/>
            <w:tcBorders>
              <w:right w:val="single" w:sz="12" w:space="0" w:color="auto"/>
            </w:tcBorders>
          </w:tcPr>
          <w:p w14:paraId="6D2FB71D"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106E9A8C" w14:textId="77777777">
        <w:tc>
          <w:tcPr>
            <w:tcW w:w="1384" w:type="dxa"/>
            <w:vMerge/>
            <w:tcBorders>
              <w:left w:val="single" w:sz="12" w:space="0" w:color="auto"/>
            </w:tcBorders>
          </w:tcPr>
          <w:p w14:paraId="7FD2FA18" w14:textId="77777777" w:rsidR="003B3105" w:rsidRDefault="003B3105" w:rsidP="001E533B">
            <w:pPr>
              <w:rPr>
                <w:rFonts w:ascii="新細明體" w:eastAsia="新細明體" w:hAnsi="新細明體"/>
              </w:rPr>
            </w:pPr>
          </w:p>
        </w:tc>
        <w:tc>
          <w:tcPr>
            <w:tcW w:w="1276" w:type="dxa"/>
            <w:vMerge/>
          </w:tcPr>
          <w:p w14:paraId="5BD1575D" w14:textId="77777777" w:rsidR="003B3105" w:rsidRDefault="003B3105" w:rsidP="001E533B">
            <w:pPr>
              <w:rPr>
                <w:rFonts w:ascii="新細明體" w:eastAsia="新細明體" w:hAnsi="新細明體"/>
              </w:rPr>
            </w:pPr>
          </w:p>
        </w:tc>
        <w:tc>
          <w:tcPr>
            <w:tcW w:w="5386" w:type="dxa"/>
            <w:tcBorders>
              <w:top w:val="nil"/>
              <w:bottom w:val="nil"/>
            </w:tcBorders>
          </w:tcPr>
          <w:p w14:paraId="09117350"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t>(十七)客戶是否檢附金融機構防制洗錢辦法規定辨識其(含實質受益人)身分之必要文件。</w:t>
            </w:r>
          </w:p>
        </w:tc>
        <w:tc>
          <w:tcPr>
            <w:tcW w:w="5387" w:type="dxa"/>
            <w:tcBorders>
              <w:top w:val="nil"/>
              <w:bottom w:val="nil"/>
            </w:tcBorders>
          </w:tcPr>
          <w:p w14:paraId="7D818672" w14:textId="77777777" w:rsidR="003B3105" w:rsidRPr="00F6439B" w:rsidRDefault="0027008E" w:rsidP="003B3105">
            <w:pPr>
              <w:spacing w:line="360" w:lineRule="exact"/>
              <w:ind w:left="702" w:hangingChars="270" w:hanging="702"/>
              <w:rPr>
                <w:rFonts w:ascii="新細明體" w:eastAsia="新細明體" w:hAnsi="新細明體" w:cs="新細明體"/>
              </w:rPr>
            </w:pPr>
            <w:r>
              <w:rPr>
                <w:rFonts w:ascii="新細明體" w:eastAsia="新細明體" w:hAnsi="新細明體" w:cs="新細明體" w:hint="eastAsia"/>
              </w:rPr>
              <w:t>(十七)客戶是否檢附金融機構防制洗錢辦法規定辨識其(含實質受益人)身分之必要文件。</w:t>
            </w:r>
          </w:p>
        </w:tc>
        <w:tc>
          <w:tcPr>
            <w:tcW w:w="2023" w:type="dxa"/>
            <w:vMerge/>
            <w:tcBorders>
              <w:right w:val="single" w:sz="12" w:space="0" w:color="auto"/>
            </w:tcBorders>
          </w:tcPr>
          <w:p w14:paraId="6D0FC111"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4AABF765" w14:textId="77777777">
        <w:tc>
          <w:tcPr>
            <w:tcW w:w="1384" w:type="dxa"/>
            <w:vMerge/>
            <w:tcBorders>
              <w:left w:val="single" w:sz="12" w:space="0" w:color="auto"/>
              <w:bottom w:val="single" w:sz="12" w:space="0" w:color="auto"/>
            </w:tcBorders>
          </w:tcPr>
          <w:p w14:paraId="0967528F" w14:textId="77777777" w:rsidR="003B3105" w:rsidRDefault="003B3105" w:rsidP="001E533B">
            <w:pPr>
              <w:rPr>
                <w:rFonts w:ascii="新細明體" w:eastAsia="新細明體" w:hAnsi="新細明體"/>
              </w:rPr>
            </w:pPr>
          </w:p>
        </w:tc>
        <w:tc>
          <w:tcPr>
            <w:tcW w:w="1276" w:type="dxa"/>
            <w:vMerge/>
            <w:tcBorders>
              <w:bottom w:val="single" w:sz="12" w:space="0" w:color="auto"/>
            </w:tcBorders>
          </w:tcPr>
          <w:p w14:paraId="5BD6DB17" w14:textId="77777777" w:rsidR="003B3105" w:rsidRDefault="003B3105" w:rsidP="001E533B">
            <w:pPr>
              <w:rPr>
                <w:rFonts w:ascii="新細明體" w:eastAsia="新細明體" w:hAnsi="新細明體"/>
              </w:rPr>
            </w:pPr>
          </w:p>
        </w:tc>
        <w:tc>
          <w:tcPr>
            <w:tcW w:w="5386" w:type="dxa"/>
            <w:tcBorders>
              <w:top w:val="nil"/>
              <w:bottom w:val="single" w:sz="12" w:space="0" w:color="auto"/>
            </w:tcBorders>
          </w:tcPr>
          <w:p w14:paraId="5C9FE276" w14:textId="126A04A8" w:rsidR="003B3105" w:rsidRPr="0068743F" w:rsidRDefault="0027008E" w:rsidP="0027008E">
            <w:pPr>
              <w:rPr>
                <w:rFonts w:ascii="新細明體" w:eastAsia="新細明體" w:hAnsi="新細明體" w:cs="新細明體"/>
              </w:rPr>
            </w:pPr>
            <w:r>
              <w:rPr>
                <w:rFonts w:ascii="新細明體" w:eastAsia="新細明體" w:hAnsi="新細明體" w:cs="新細明體" w:hint="eastAsia"/>
                <w:b/>
                <w:color w:val="FF0000"/>
              </w:rPr>
              <w:t>(刪除)</w:t>
            </w:r>
          </w:p>
        </w:tc>
        <w:tc>
          <w:tcPr>
            <w:tcW w:w="5387" w:type="dxa"/>
            <w:tcBorders>
              <w:top w:val="nil"/>
              <w:bottom w:val="single" w:sz="12" w:space="0" w:color="auto"/>
            </w:tcBorders>
          </w:tcPr>
          <w:p w14:paraId="7CBFB24A" w14:textId="08415A0E" w:rsidR="003B3105" w:rsidRPr="00F6439B" w:rsidRDefault="0027008E" w:rsidP="0027008E">
            <w:pPr>
              <w:spacing w:line="360" w:lineRule="exact"/>
              <w:ind w:left="703" w:hangingChars="270" w:hanging="703"/>
              <w:rPr>
                <w:rFonts w:ascii="新細明體" w:eastAsia="新細明體" w:hAnsi="新細明體" w:cs="新細明體"/>
              </w:rPr>
            </w:pPr>
            <w:r>
              <w:rPr>
                <w:rFonts w:ascii="新細明體" w:eastAsia="新細明體" w:hAnsi="新細明體" w:cs="新細明體" w:hint="eastAsia"/>
                <w:b/>
                <w:color w:val="FF0000"/>
              </w:rPr>
              <w:t>(十八)是否依金融機構防制洗錢辦法規定，對於現有客戶(含實質受益人)進行持續審查事宜，並依重要性及風險程度變動情況，更新客戶及實質受益人資訊。</w:t>
            </w:r>
          </w:p>
        </w:tc>
        <w:tc>
          <w:tcPr>
            <w:tcW w:w="2023" w:type="dxa"/>
            <w:vMerge/>
            <w:tcBorders>
              <w:bottom w:val="single" w:sz="12" w:space="0" w:color="auto"/>
              <w:right w:val="single" w:sz="12" w:space="0" w:color="auto"/>
            </w:tcBorders>
          </w:tcPr>
          <w:p w14:paraId="6127B086"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bl>
    <w:p w14:paraId="16C7968A" w14:textId="77777777" w:rsidR="00E87601" w:rsidRPr="00FB3CAF" w:rsidRDefault="00E87601">
      <w:pPr>
        <w:spacing w:line="360" w:lineRule="exact"/>
        <w:rPr>
          <w:rFonts w:ascii="新細明體" w:eastAsia="新細明體" w:hAnsi="新細明體" w:cs="Times New Roman"/>
        </w:rPr>
      </w:pPr>
    </w:p>
    <w:sectPr w:rsidR="00E87601" w:rsidRPr="00FB3CAF" w:rsidSect="00A24FFC">
      <w:pgSz w:w="16840" w:h="11907" w:orient="landscape" w:code="9"/>
      <w:pgMar w:top="720" w:right="720" w:bottom="720" w:left="720"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9F921" w14:textId="77777777" w:rsidR="00843AC4" w:rsidRDefault="00843AC4" w:rsidP="00E87601">
      <w:pPr>
        <w:spacing w:line="240" w:lineRule="auto"/>
      </w:pPr>
      <w:r>
        <w:separator/>
      </w:r>
    </w:p>
  </w:endnote>
  <w:endnote w:type="continuationSeparator" w:id="0">
    <w:p w14:paraId="0F09B8C3" w14:textId="77777777" w:rsidR="00843AC4" w:rsidRDefault="00843AC4" w:rsidP="00E87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FA0AF" w14:textId="77777777" w:rsidR="00843AC4" w:rsidRDefault="00843AC4" w:rsidP="00E87601">
      <w:pPr>
        <w:spacing w:line="240" w:lineRule="auto"/>
      </w:pPr>
      <w:r>
        <w:separator/>
      </w:r>
    </w:p>
  </w:footnote>
  <w:footnote w:type="continuationSeparator" w:id="0">
    <w:p w14:paraId="2324F077" w14:textId="77777777" w:rsidR="00843AC4" w:rsidRDefault="00843AC4" w:rsidP="00E876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718B"/>
    <w:multiLevelType w:val="multilevel"/>
    <w:tmpl w:val="508CA08A"/>
    <w:lvl w:ilvl="0">
      <w:start w:val="1"/>
      <w:numFmt w:val="taiwaneseCountingThousand"/>
      <w:lvlText w:val="（%1）"/>
      <w:lvlJc w:val="left"/>
      <w:pPr>
        <w:tabs>
          <w:tab w:val="num" w:pos="2672"/>
        </w:tabs>
        <w:ind w:left="2672" w:hanging="840"/>
      </w:pPr>
      <w:rPr>
        <w:rFonts w:cs="Times New Roman" w:hint="eastAsia"/>
      </w:rPr>
    </w:lvl>
    <w:lvl w:ilvl="1">
      <w:start w:val="1"/>
      <w:numFmt w:val="ideographTraditional"/>
      <w:lvlText w:val="%2、"/>
      <w:lvlJc w:val="left"/>
      <w:pPr>
        <w:tabs>
          <w:tab w:val="num" w:pos="2792"/>
        </w:tabs>
        <w:ind w:left="2792" w:hanging="480"/>
      </w:pPr>
      <w:rPr>
        <w:rFonts w:cs="Times New Roman"/>
      </w:rPr>
    </w:lvl>
    <w:lvl w:ilvl="2">
      <w:start w:val="1"/>
      <w:numFmt w:val="lowerRoman"/>
      <w:lvlText w:val="%3."/>
      <w:lvlJc w:val="right"/>
      <w:pPr>
        <w:tabs>
          <w:tab w:val="num" w:pos="3272"/>
        </w:tabs>
        <w:ind w:left="3272" w:hanging="480"/>
      </w:pPr>
      <w:rPr>
        <w:rFonts w:cs="Times New Roman"/>
      </w:rPr>
    </w:lvl>
    <w:lvl w:ilvl="3">
      <w:start w:val="1"/>
      <w:numFmt w:val="decimal"/>
      <w:lvlText w:val="%4."/>
      <w:lvlJc w:val="left"/>
      <w:pPr>
        <w:tabs>
          <w:tab w:val="num" w:pos="3752"/>
        </w:tabs>
        <w:ind w:left="3752" w:hanging="480"/>
      </w:pPr>
      <w:rPr>
        <w:rFonts w:cs="Times New Roman"/>
      </w:rPr>
    </w:lvl>
    <w:lvl w:ilvl="4">
      <w:start w:val="1"/>
      <w:numFmt w:val="ideographTraditional"/>
      <w:lvlText w:val="%5、"/>
      <w:lvlJc w:val="left"/>
      <w:pPr>
        <w:tabs>
          <w:tab w:val="num" w:pos="4232"/>
        </w:tabs>
        <w:ind w:left="4232" w:hanging="480"/>
      </w:pPr>
      <w:rPr>
        <w:rFonts w:cs="Times New Roman"/>
      </w:rPr>
    </w:lvl>
    <w:lvl w:ilvl="5">
      <w:start w:val="1"/>
      <w:numFmt w:val="lowerRoman"/>
      <w:lvlText w:val="%6."/>
      <w:lvlJc w:val="right"/>
      <w:pPr>
        <w:tabs>
          <w:tab w:val="num" w:pos="4712"/>
        </w:tabs>
        <w:ind w:left="4712" w:hanging="480"/>
      </w:pPr>
      <w:rPr>
        <w:rFonts w:cs="Times New Roman"/>
      </w:rPr>
    </w:lvl>
    <w:lvl w:ilvl="6">
      <w:start w:val="1"/>
      <w:numFmt w:val="decimal"/>
      <w:lvlText w:val="%7."/>
      <w:lvlJc w:val="left"/>
      <w:pPr>
        <w:tabs>
          <w:tab w:val="num" w:pos="5192"/>
        </w:tabs>
        <w:ind w:left="5192" w:hanging="480"/>
      </w:pPr>
      <w:rPr>
        <w:rFonts w:cs="Times New Roman"/>
      </w:rPr>
    </w:lvl>
    <w:lvl w:ilvl="7">
      <w:start w:val="1"/>
      <w:numFmt w:val="ideographTraditional"/>
      <w:lvlText w:val="%8、"/>
      <w:lvlJc w:val="left"/>
      <w:pPr>
        <w:tabs>
          <w:tab w:val="num" w:pos="5672"/>
        </w:tabs>
        <w:ind w:left="5672" w:hanging="480"/>
      </w:pPr>
      <w:rPr>
        <w:rFonts w:cs="Times New Roman"/>
      </w:rPr>
    </w:lvl>
    <w:lvl w:ilvl="8">
      <w:start w:val="1"/>
      <w:numFmt w:val="lowerRoman"/>
      <w:lvlText w:val="%9."/>
      <w:lvlJc w:val="right"/>
      <w:pPr>
        <w:tabs>
          <w:tab w:val="num" w:pos="6152"/>
        </w:tabs>
        <w:ind w:left="6152" w:hanging="480"/>
      </w:pPr>
      <w:rPr>
        <w:rFonts w:cs="Times New Roman"/>
      </w:rPr>
    </w:lvl>
  </w:abstractNum>
  <w:abstractNum w:abstractNumId="1" w15:restartNumberingAfterBreak="0">
    <w:nsid w:val="10DB4ADC"/>
    <w:multiLevelType w:val="singleLevel"/>
    <w:tmpl w:val="17EC2A1C"/>
    <w:lvl w:ilvl="0">
      <w:start w:val="1"/>
      <w:numFmt w:val="taiwaneseCountingThousand"/>
      <w:lvlText w:val="（%1）"/>
      <w:lvlJc w:val="left"/>
      <w:pPr>
        <w:tabs>
          <w:tab w:val="num" w:pos="904"/>
        </w:tabs>
        <w:ind w:left="904" w:hanging="876"/>
      </w:pPr>
      <w:rPr>
        <w:rFonts w:cs="Times New Roman" w:hint="eastAsia"/>
      </w:rPr>
    </w:lvl>
  </w:abstractNum>
  <w:abstractNum w:abstractNumId="2" w15:restartNumberingAfterBreak="0">
    <w:nsid w:val="122D758D"/>
    <w:multiLevelType w:val="singleLevel"/>
    <w:tmpl w:val="D83E8314"/>
    <w:lvl w:ilvl="0">
      <w:start w:val="1"/>
      <w:numFmt w:val="decimal"/>
      <w:lvlText w:val="%1."/>
      <w:lvlJc w:val="left"/>
      <w:pPr>
        <w:tabs>
          <w:tab w:val="num" w:pos="1007"/>
        </w:tabs>
        <w:ind w:left="1007" w:hanging="195"/>
      </w:pPr>
      <w:rPr>
        <w:rFonts w:ascii="新細明體" w:eastAsia="新細明體" w:cs="Times New Roman" w:hint="eastAsia"/>
        <w:color w:val="FF0000"/>
        <w:u w:val="single"/>
      </w:rPr>
    </w:lvl>
  </w:abstractNum>
  <w:abstractNum w:abstractNumId="3" w15:restartNumberingAfterBreak="0">
    <w:nsid w:val="136E18A7"/>
    <w:multiLevelType w:val="singleLevel"/>
    <w:tmpl w:val="F2BEE7CE"/>
    <w:lvl w:ilvl="0">
      <w:start w:val="1"/>
      <w:numFmt w:val="decimal"/>
      <w:lvlText w:val="%1."/>
      <w:lvlJc w:val="left"/>
      <w:pPr>
        <w:tabs>
          <w:tab w:val="num" w:pos="747"/>
        </w:tabs>
        <w:ind w:left="747" w:hanging="195"/>
      </w:pPr>
      <w:rPr>
        <w:rFonts w:cs="Times New Roman" w:hint="eastAsia"/>
      </w:rPr>
    </w:lvl>
  </w:abstractNum>
  <w:abstractNum w:abstractNumId="4" w15:restartNumberingAfterBreak="0">
    <w:nsid w:val="16975A5D"/>
    <w:multiLevelType w:val="singleLevel"/>
    <w:tmpl w:val="F5D6A108"/>
    <w:lvl w:ilvl="0">
      <w:start w:val="1"/>
      <w:numFmt w:val="taiwaneseCountingThousand"/>
      <w:lvlText w:val="（%1）"/>
      <w:lvlJc w:val="left"/>
      <w:pPr>
        <w:tabs>
          <w:tab w:val="num" w:pos="808"/>
        </w:tabs>
        <w:ind w:left="808" w:hanging="780"/>
      </w:pPr>
      <w:rPr>
        <w:rFonts w:cs="Times New Roman" w:hint="eastAsia"/>
      </w:rPr>
    </w:lvl>
  </w:abstractNum>
  <w:abstractNum w:abstractNumId="5" w15:restartNumberingAfterBreak="0">
    <w:nsid w:val="22B5442D"/>
    <w:multiLevelType w:val="singleLevel"/>
    <w:tmpl w:val="89702BA4"/>
    <w:lvl w:ilvl="0">
      <w:start w:val="1"/>
      <w:numFmt w:val="decimal"/>
      <w:lvlText w:val="%1."/>
      <w:lvlJc w:val="left"/>
      <w:pPr>
        <w:tabs>
          <w:tab w:val="num" w:pos="1084"/>
        </w:tabs>
        <w:ind w:left="1084" w:hanging="384"/>
      </w:pPr>
      <w:rPr>
        <w:rFonts w:ascii="新細明體" w:eastAsia="新細明體" w:cs="Times New Roman" w:hint="eastAsia"/>
      </w:rPr>
    </w:lvl>
  </w:abstractNum>
  <w:abstractNum w:abstractNumId="6" w15:restartNumberingAfterBreak="0">
    <w:nsid w:val="32EA67CF"/>
    <w:multiLevelType w:val="singleLevel"/>
    <w:tmpl w:val="60E831F0"/>
    <w:lvl w:ilvl="0">
      <w:start w:val="1"/>
      <w:numFmt w:val="decimal"/>
      <w:lvlText w:val="(%1)"/>
      <w:lvlJc w:val="left"/>
      <w:pPr>
        <w:tabs>
          <w:tab w:val="num" w:pos="1372"/>
        </w:tabs>
        <w:ind w:left="1372" w:hanging="504"/>
      </w:pPr>
      <w:rPr>
        <w:rFonts w:eastAsia="新細明體" w:cs="Times New Roman" w:hint="eastAsia"/>
        <w:color w:val="auto"/>
      </w:rPr>
    </w:lvl>
  </w:abstractNum>
  <w:abstractNum w:abstractNumId="7" w15:restartNumberingAfterBreak="0">
    <w:nsid w:val="3A41225B"/>
    <w:multiLevelType w:val="singleLevel"/>
    <w:tmpl w:val="5A4EFA4E"/>
    <w:lvl w:ilvl="0">
      <w:start w:val="1"/>
      <w:numFmt w:val="decimal"/>
      <w:lvlText w:val="%1."/>
      <w:lvlJc w:val="left"/>
      <w:pPr>
        <w:tabs>
          <w:tab w:val="num" w:pos="1108"/>
        </w:tabs>
        <w:ind w:left="1108" w:hanging="405"/>
      </w:pPr>
      <w:rPr>
        <w:rFonts w:cs="Times New Roman" w:hint="eastAsia"/>
      </w:rPr>
    </w:lvl>
  </w:abstractNum>
  <w:abstractNum w:abstractNumId="8" w15:restartNumberingAfterBreak="0">
    <w:nsid w:val="41CC78C5"/>
    <w:multiLevelType w:val="multilevel"/>
    <w:tmpl w:val="2E3AB76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9" w15:restartNumberingAfterBreak="0">
    <w:nsid w:val="52D33297"/>
    <w:multiLevelType w:val="singleLevel"/>
    <w:tmpl w:val="FAEE3386"/>
    <w:lvl w:ilvl="0">
      <w:start w:val="1"/>
      <w:numFmt w:val="decimal"/>
      <w:lvlText w:val="%1."/>
      <w:lvlJc w:val="left"/>
      <w:pPr>
        <w:tabs>
          <w:tab w:val="num" w:pos="877"/>
        </w:tabs>
        <w:ind w:left="877" w:hanging="195"/>
      </w:pPr>
      <w:rPr>
        <w:rFonts w:cs="Times New Roman" w:hint="eastAsia"/>
      </w:rPr>
    </w:lvl>
  </w:abstractNum>
  <w:abstractNum w:abstractNumId="10" w15:restartNumberingAfterBreak="0">
    <w:nsid w:val="5F307CEC"/>
    <w:multiLevelType w:val="singleLevel"/>
    <w:tmpl w:val="F5D6A108"/>
    <w:lvl w:ilvl="0">
      <w:start w:val="1"/>
      <w:numFmt w:val="taiwaneseCountingThousand"/>
      <w:lvlText w:val="（%1）"/>
      <w:lvlJc w:val="left"/>
      <w:pPr>
        <w:tabs>
          <w:tab w:val="num" w:pos="808"/>
        </w:tabs>
        <w:ind w:left="808" w:hanging="780"/>
      </w:pPr>
      <w:rPr>
        <w:rFonts w:cs="Times New Roman" w:hint="eastAsia"/>
      </w:rPr>
    </w:lvl>
  </w:abstractNum>
  <w:abstractNum w:abstractNumId="11" w15:restartNumberingAfterBreak="0">
    <w:nsid w:val="649E48F8"/>
    <w:multiLevelType w:val="multilevel"/>
    <w:tmpl w:val="64882E9C"/>
    <w:lvl w:ilvl="0">
      <w:start w:val="1"/>
      <w:numFmt w:val="taiwaneseCountingThousand"/>
      <w:suff w:val="nothing"/>
      <w:lvlText w:val="%1、"/>
      <w:lvlJc w:val="left"/>
      <w:pPr>
        <w:ind w:left="425" w:hanging="425"/>
      </w:pPr>
      <w:rPr>
        <w:rFonts w:cs="Times New Roman" w:hint="eastAsia"/>
      </w:rPr>
    </w:lvl>
    <w:lvl w:ilvl="1">
      <w:start w:val="1"/>
      <w:numFmt w:val="taiwaneseCountingThousand"/>
      <w:suff w:val="nothing"/>
      <w:lvlText w:val="(%2)"/>
      <w:lvlJc w:val="left"/>
      <w:pPr>
        <w:ind w:left="737" w:hanging="453"/>
      </w:pPr>
      <w:rPr>
        <w:rFonts w:cs="Times New Roman" w:hint="eastAsia"/>
      </w:rPr>
    </w:lvl>
    <w:lvl w:ilvl="2">
      <w:start w:val="1"/>
      <w:numFmt w:val="taiwaneseCountingThousand"/>
      <w:suff w:val="nothing"/>
      <w:lvlText w:val="第%3項"/>
      <w:lvlJc w:val="left"/>
      <w:pPr>
        <w:ind w:left="1418" w:hanging="567"/>
      </w:pPr>
      <w:rPr>
        <w:rFonts w:cs="Times New Roman" w:hint="eastAsia"/>
      </w:rPr>
    </w:lvl>
    <w:lvl w:ilvl="3">
      <w:start w:val="1"/>
      <w:numFmt w:val="none"/>
      <w:suff w:val="nothing"/>
      <w:lvlText w:val=""/>
      <w:lvlJc w:val="left"/>
      <w:pPr>
        <w:ind w:left="1984" w:hanging="708"/>
      </w:pPr>
      <w:rPr>
        <w:rFonts w:cs="Times New Roman" w:hint="eastAsia"/>
      </w:rPr>
    </w:lvl>
    <w:lvl w:ilvl="4">
      <w:start w:val="1"/>
      <w:numFmt w:val="none"/>
      <w:suff w:val="nothing"/>
      <w:lvlText w:val=""/>
      <w:lvlJc w:val="left"/>
      <w:pPr>
        <w:ind w:left="2551" w:hanging="850"/>
      </w:pPr>
      <w:rPr>
        <w:rFonts w:cs="Times New Roman" w:hint="eastAsia"/>
      </w:rPr>
    </w:lvl>
    <w:lvl w:ilvl="5">
      <w:start w:val="1"/>
      <w:numFmt w:val="none"/>
      <w:suff w:val="nothing"/>
      <w:lvlText w:val=""/>
      <w:lvlJc w:val="left"/>
      <w:pPr>
        <w:ind w:left="3260" w:hanging="1134"/>
      </w:pPr>
      <w:rPr>
        <w:rFonts w:cs="Times New Roman" w:hint="eastAsia"/>
      </w:rPr>
    </w:lvl>
    <w:lvl w:ilvl="6">
      <w:start w:val="1"/>
      <w:numFmt w:val="none"/>
      <w:suff w:val="nothing"/>
      <w:lvlText w:val=""/>
      <w:lvlJc w:val="left"/>
      <w:pPr>
        <w:ind w:left="3827" w:hanging="1276"/>
      </w:pPr>
      <w:rPr>
        <w:rFonts w:cs="Times New Roman" w:hint="eastAsia"/>
      </w:rPr>
    </w:lvl>
    <w:lvl w:ilvl="7">
      <w:start w:val="1"/>
      <w:numFmt w:val="none"/>
      <w:suff w:val="nothing"/>
      <w:lvlText w:val=""/>
      <w:lvlJc w:val="left"/>
      <w:pPr>
        <w:ind w:left="4394" w:hanging="1418"/>
      </w:pPr>
      <w:rPr>
        <w:rFonts w:cs="Times New Roman" w:hint="eastAsia"/>
      </w:rPr>
    </w:lvl>
    <w:lvl w:ilvl="8">
      <w:start w:val="1"/>
      <w:numFmt w:val="none"/>
      <w:suff w:val="nothing"/>
      <w:lvlText w:val=""/>
      <w:lvlJc w:val="left"/>
      <w:pPr>
        <w:ind w:left="5102" w:hanging="1700"/>
      </w:pPr>
      <w:rPr>
        <w:rFonts w:cs="Times New Roman" w:hint="eastAsia"/>
      </w:rPr>
    </w:lvl>
  </w:abstractNum>
  <w:abstractNum w:abstractNumId="12" w15:restartNumberingAfterBreak="0">
    <w:nsid w:val="661C7F9F"/>
    <w:multiLevelType w:val="singleLevel"/>
    <w:tmpl w:val="9A8A353E"/>
    <w:lvl w:ilvl="0">
      <w:start w:val="1"/>
      <w:numFmt w:val="taiwaneseCountingThousand"/>
      <w:lvlText w:val="（%1）"/>
      <w:lvlJc w:val="left"/>
      <w:pPr>
        <w:tabs>
          <w:tab w:val="num" w:pos="880"/>
        </w:tabs>
        <w:ind w:left="880" w:hanging="852"/>
      </w:pPr>
      <w:rPr>
        <w:rFonts w:cs="Times New Roman" w:hint="eastAsia"/>
      </w:rPr>
    </w:lvl>
  </w:abstractNum>
  <w:abstractNum w:abstractNumId="13" w15:restartNumberingAfterBreak="0">
    <w:nsid w:val="697D3FA8"/>
    <w:multiLevelType w:val="multilevel"/>
    <w:tmpl w:val="2E3AB76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6A1E3F23"/>
    <w:multiLevelType w:val="singleLevel"/>
    <w:tmpl w:val="D64468C4"/>
    <w:lvl w:ilvl="0">
      <w:start w:val="1"/>
      <w:numFmt w:val="decimal"/>
      <w:lvlText w:val="(%1)"/>
      <w:lvlJc w:val="left"/>
      <w:pPr>
        <w:tabs>
          <w:tab w:val="num" w:pos="1372"/>
        </w:tabs>
        <w:ind w:left="1372" w:hanging="504"/>
      </w:pPr>
      <w:rPr>
        <w:rFonts w:eastAsia="新細明體" w:cs="Times New Roman" w:hint="eastAsia"/>
        <w:color w:val="auto"/>
      </w:rPr>
    </w:lvl>
  </w:abstractNum>
  <w:abstractNum w:abstractNumId="15" w15:restartNumberingAfterBreak="0">
    <w:nsid w:val="6D1B63E2"/>
    <w:multiLevelType w:val="multilevel"/>
    <w:tmpl w:val="288627EA"/>
    <w:lvl w:ilvl="0">
      <w:start w:val="1"/>
      <w:numFmt w:val="taiwaneseCountingThousand"/>
      <w:lvlText w:val="(%1)"/>
      <w:lvlJc w:val="left"/>
      <w:pPr>
        <w:tabs>
          <w:tab w:val="num" w:pos="920"/>
        </w:tabs>
        <w:ind w:left="920" w:hanging="444"/>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6" w15:restartNumberingAfterBreak="0">
    <w:nsid w:val="6E487ECB"/>
    <w:multiLevelType w:val="singleLevel"/>
    <w:tmpl w:val="F230B57A"/>
    <w:lvl w:ilvl="0">
      <w:start w:val="1"/>
      <w:numFmt w:val="taiwaneseCountingThousand"/>
      <w:lvlText w:val="（%1）"/>
      <w:lvlJc w:val="left"/>
      <w:pPr>
        <w:tabs>
          <w:tab w:val="num" w:pos="796"/>
        </w:tabs>
        <w:ind w:left="796" w:hanging="768"/>
      </w:pPr>
      <w:rPr>
        <w:rFonts w:cs="Times New Roman" w:hint="eastAsia"/>
        <w:color w:val="auto"/>
      </w:rPr>
    </w:lvl>
  </w:abstractNum>
  <w:abstractNum w:abstractNumId="17" w15:restartNumberingAfterBreak="0">
    <w:nsid w:val="72822C94"/>
    <w:multiLevelType w:val="singleLevel"/>
    <w:tmpl w:val="BAB2CAD2"/>
    <w:lvl w:ilvl="0">
      <w:start w:val="1"/>
      <w:numFmt w:val="taiwaneseCountingThousand"/>
      <w:lvlText w:val="%1、"/>
      <w:lvlJc w:val="left"/>
      <w:pPr>
        <w:tabs>
          <w:tab w:val="num" w:pos="604"/>
        </w:tabs>
        <w:ind w:left="604" w:hanging="576"/>
      </w:pPr>
      <w:rPr>
        <w:rFonts w:cs="Times New Roman" w:hint="eastAsia"/>
      </w:rPr>
    </w:lvl>
  </w:abstractNum>
  <w:abstractNum w:abstractNumId="18" w15:restartNumberingAfterBreak="0">
    <w:nsid w:val="760272F7"/>
    <w:multiLevelType w:val="singleLevel"/>
    <w:tmpl w:val="7EA040BA"/>
    <w:lvl w:ilvl="0">
      <w:start w:val="1"/>
      <w:numFmt w:val="taiwaneseCountingThousand"/>
      <w:lvlText w:val="（%1）"/>
      <w:lvlJc w:val="left"/>
      <w:pPr>
        <w:tabs>
          <w:tab w:val="num" w:pos="780"/>
        </w:tabs>
        <w:ind w:left="780" w:hanging="780"/>
      </w:pPr>
      <w:rPr>
        <w:rFonts w:cs="Times New Roman" w:hint="eastAsia"/>
      </w:rPr>
    </w:lvl>
  </w:abstractNum>
  <w:abstractNum w:abstractNumId="19" w15:restartNumberingAfterBreak="0">
    <w:nsid w:val="7E166BE2"/>
    <w:multiLevelType w:val="multilevel"/>
    <w:tmpl w:val="878A2996"/>
    <w:lvl w:ilvl="0">
      <w:start w:val="1"/>
      <w:numFmt w:val="decimal"/>
      <w:lvlText w:val="(%1)"/>
      <w:lvlJc w:val="left"/>
      <w:pPr>
        <w:tabs>
          <w:tab w:val="num" w:pos="937"/>
        </w:tabs>
        <w:ind w:left="937" w:hanging="360"/>
      </w:pPr>
      <w:rPr>
        <w:rFonts w:cs="Times New Roman" w:hint="eastAsia"/>
      </w:rPr>
    </w:lvl>
    <w:lvl w:ilvl="1">
      <w:start w:val="1"/>
      <w:numFmt w:val="ideographTraditional"/>
      <w:lvlText w:val="%2、"/>
      <w:lvlJc w:val="left"/>
      <w:pPr>
        <w:tabs>
          <w:tab w:val="num" w:pos="1537"/>
        </w:tabs>
        <w:ind w:left="1537" w:hanging="480"/>
      </w:pPr>
      <w:rPr>
        <w:rFonts w:cs="Times New Roman"/>
      </w:rPr>
    </w:lvl>
    <w:lvl w:ilvl="2">
      <w:start w:val="1"/>
      <w:numFmt w:val="lowerRoman"/>
      <w:lvlText w:val="%3."/>
      <w:lvlJc w:val="right"/>
      <w:pPr>
        <w:tabs>
          <w:tab w:val="num" w:pos="2017"/>
        </w:tabs>
        <w:ind w:left="2017" w:hanging="480"/>
      </w:pPr>
      <w:rPr>
        <w:rFonts w:cs="Times New Roman"/>
      </w:rPr>
    </w:lvl>
    <w:lvl w:ilvl="3">
      <w:start w:val="1"/>
      <w:numFmt w:val="decimal"/>
      <w:lvlText w:val="%4."/>
      <w:lvlJc w:val="left"/>
      <w:pPr>
        <w:tabs>
          <w:tab w:val="num" w:pos="2497"/>
        </w:tabs>
        <w:ind w:left="2497" w:hanging="480"/>
      </w:pPr>
      <w:rPr>
        <w:rFonts w:cs="Times New Roman"/>
      </w:rPr>
    </w:lvl>
    <w:lvl w:ilvl="4">
      <w:start w:val="1"/>
      <w:numFmt w:val="ideographTraditional"/>
      <w:lvlText w:val="%5、"/>
      <w:lvlJc w:val="left"/>
      <w:pPr>
        <w:tabs>
          <w:tab w:val="num" w:pos="2977"/>
        </w:tabs>
        <w:ind w:left="2977" w:hanging="480"/>
      </w:pPr>
      <w:rPr>
        <w:rFonts w:cs="Times New Roman"/>
      </w:rPr>
    </w:lvl>
    <w:lvl w:ilvl="5">
      <w:start w:val="1"/>
      <w:numFmt w:val="lowerRoman"/>
      <w:lvlText w:val="%6."/>
      <w:lvlJc w:val="right"/>
      <w:pPr>
        <w:tabs>
          <w:tab w:val="num" w:pos="3457"/>
        </w:tabs>
        <w:ind w:left="3457" w:hanging="480"/>
      </w:pPr>
      <w:rPr>
        <w:rFonts w:cs="Times New Roman"/>
      </w:rPr>
    </w:lvl>
    <w:lvl w:ilvl="6">
      <w:start w:val="1"/>
      <w:numFmt w:val="decimal"/>
      <w:lvlText w:val="%7."/>
      <w:lvlJc w:val="left"/>
      <w:pPr>
        <w:tabs>
          <w:tab w:val="num" w:pos="3937"/>
        </w:tabs>
        <w:ind w:left="3937" w:hanging="480"/>
      </w:pPr>
      <w:rPr>
        <w:rFonts w:cs="Times New Roman"/>
      </w:rPr>
    </w:lvl>
    <w:lvl w:ilvl="7">
      <w:start w:val="1"/>
      <w:numFmt w:val="ideographTraditional"/>
      <w:lvlText w:val="%8、"/>
      <w:lvlJc w:val="left"/>
      <w:pPr>
        <w:tabs>
          <w:tab w:val="num" w:pos="4417"/>
        </w:tabs>
        <w:ind w:left="4417" w:hanging="480"/>
      </w:pPr>
      <w:rPr>
        <w:rFonts w:cs="Times New Roman"/>
      </w:rPr>
    </w:lvl>
    <w:lvl w:ilvl="8">
      <w:start w:val="1"/>
      <w:numFmt w:val="lowerRoman"/>
      <w:lvlText w:val="%9."/>
      <w:lvlJc w:val="right"/>
      <w:pPr>
        <w:tabs>
          <w:tab w:val="num" w:pos="4897"/>
        </w:tabs>
        <w:ind w:left="4897" w:hanging="480"/>
      </w:pPr>
      <w:rPr>
        <w:rFonts w:cs="Times New Roman"/>
      </w:rPr>
    </w:lvl>
  </w:abstractNum>
  <w:num w:numId="1" w16cid:durableId="1523323179">
    <w:abstractNumId w:val="8"/>
  </w:num>
  <w:num w:numId="2" w16cid:durableId="1449201050">
    <w:abstractNumId w:val="7"/>
  </w:num>
  <w:num w:numId="3" w16cid:durableId="208347645">
    <w:abstractNumId w:val="13"/>
  </w:num>
  <w:num w:numId="4" w16cid:durableId="209802461">
    <w:abstractNumId w:val="0"/>
  </w:num>
  <w:num w:numId="5" w16cid:durableId="1591350893">
    <w:abstractNumId w:val="11"/>
  </w:num>
  <w:num w:numId="6" w16cid:durableId="63066765">
    <w:abstractNumId w:val="2"/>
  </w:num>
  <w:num w:numId="7" w16cid:durableId="959992081">
    <w:abstractNumId w:val="4"/>
  </w:num>
  <w:num w:numId="8" w16cid:durableId="1154642517">
    <w:abstractNumId w:val="12"/>
  </w:num>
  <w:num w:numId="9" w16cid:durableId="2021077672">
    <w:abstractNumId w:val="16"/>
  </w:num>
  <w:num w:numId="10" w16cid:durableId="384792474">
    <w:abstractNumId w:val="5"/>
  </w:num>
  <w:num w:numId="11" w16cid:durableId="567425463">
    <w:abstractNumId w:val="17"/>
  </w:num>
  <w:num w:numId="12" w16cid:durableId="1531991681">
    <w:abstractNumId w:val="6"/>
  </w:num>
  <w:num w:numId="13" w16cid:durableId="1421877709">
    <w:abstractNumId w:val="1"/>
  </w:num>
  <w:num w:numId="14" w16cid:durableId="2089618171">
    <w:abstractNumId w:val="14"/>
  </w:num>
  <w:num w:numId="15" w16cid:durableId="2024432474">
    <w:abstractNumId w:val="15"/>
  </w:num>
  <w:num w:numId="16" w16cid:durableId="990906787">
    <w:abstractNumId w:val="19"/>
  </w:num>
  <w:num w:numId="17" w16cid:durableId="1963223195">
    <w:abstractNumId w:val="18"/>
  </w:num>
  <w:num w:numId="18" w16cid:durableId="1351878485">
    <w:abstractNumId w:val="9"/>
  </w:num>
  <w:num w:numId="19" w16cid:durableId="7486041">
    <w:abstractNumId w:val="3"/>
  </w:num>
  <w:num w:numId="20" w16cid:durableId="5700393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oNotTrackMoves/>
  <w:defaultTabStop w:val="480"/>
  <w:doNotHyphenateCaps/>
  <w:drawingGridHorizontalSpacing w:val="13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7601"/>
    <w:rsid w:val="000220A3"/>
    <w:rsid w:val="0003737B"/>
    <w:rsid w:val="0006487C"/>
    <w:rsid w:val="00081A5A"/>
    <w:rsid w:val="000852F4"/>
    <w:rsid w:val="000E2E57"/>
    <w:rsid w:val="001132A5"/>
    <w:rsid w:val="00115946"/>
    <w:rsid w:val="00155D75"/>
    <w:rsid w:val="001643B7"/>
    <w:rsid w:val="00164EC3"/>
    <w:rsid w:val="001812B0"/>
    <w:rsid w:val="001C0745"/>
    <w:rsid w:val="001E533B"/>
    <w:rsid w:val="00200AE8"/>
    <w:rsid w:val="00216524"/>
    <w:rsid w:val="00216A6E"/>
    <w:rsid w:val="002300E4"/>
    <w:rsid w:val="0025567C"/>
    <w:rsid w:val="0027008E"/>
    <w:rsid w:val="002A69AF"/>
    <w:rsid w:val="002B6B5B"/>
    <w:rsid w:val="002B7B8A"/>
    <w:rsid w:val="002D3036"/>
    <w:rsid w:val="002D3AE3"/>
    <w:rsid w:val="0030176E"/>
    <w:rsid w:val="0030391B"/>
    <w:rsid w:val="003042D6"/>
    <w:rsid w:val="0031289E"/>
    <w:rsid w:val="0032634F"/>
    <w:rsid w:val="00354E9A"/>
    <w:rsid w:val="00360CA1"/>
    <w:rsid w:val="003757E9"/>
    <w:rsid w:val="003948F0"/>
    <w:rsid w:val="003B3105"/>
    <w:rsid w:val="003B5A2D"/>
    <w:rsid w:val="003B7480"/>
    <w:rsid w:val="003B7771"/>
    <w:rsid w:val="003C4C66"/>
    <w:rsid w:val="00402508"/>
    <w:rsid w:val="0043298E"/>
    <w:rsid w:val="004331D4"/>
    <w:rsid w:val="004542BC"/>
    <w:rsid w:val="00456B35"/>
    <w:rsid w:val="00460ACD"/>
    <w:rsid w:val="00463342"/>
    <w:rsid w:val="0048793B"/>
    <w:rsid w:val="004A1319"/>
    <w:rsid w:val="004A29F0"/>
    <w:rsid w:val="004B19C0"/>
    <w:rsid w:val="004C3BE1"/>
    <w:rsid w:val="004E3C0D"/>
    <w:rsid w:val="00531E93"/>
    <w:rsid w:val="005352D5"/>
    <w:rsid w:val="005404DE"/>
    <w:rsid w:val="005716CE"/>
    <w:rsid w:val="0057303B"/>
    <w:rsid w:val="00587858"/>
    <w:rsid w:val="00590586"/>
    <w:rsid w:val="005A67E0"/>
    <w:rsid w:val="005B5700"/>
    <w:rsid w:val="005D293B"/>
    <w:rsid w:val="005E48B0"/>
    <w:rsid w:val="005E77C1"/>
    <w:rsid w:val="0061624E"/>
    <w:rsid w:val="00622D10"/>
    <w:rsid w:val="00651DC4"/>
    <w:rsid w:val="00667311"/>
    <w:rsid w:val="006736A2"/>
    <w:rsid w:val="00677A71"/>
    <w:rsid w:val="006862FE"/>
    <w:rsid w:val="0068743F"/>
    <w:rsid w:val="006906B7"/>
    <w:rsid w:val="006C109E"/>
    <w:rsid w:val="006E7D9E"/>
    <w:rsid w:val="00731EBA"/>
    <w:rsid w:val="0073748C"/>
    <w:rsid w:val="007631C0"/>
    <w:rsid w:val="007772E0"/>
    <w:rsid w:val="00787829"/>
    <w:rsid w:val="00797F9C"/>
    <w:rsid w:val="007A7FE5"/>
    <w:rsid w:val="007C280B"/>
    <w:rsid w:val="007C39F2"/>
    <w:rsid w:val="007D05DD"/>
    <w:rsid w:val="007E1E63"/>
    <w:rsid w:val="00820A8B"/>
    <w:rsid w:val="00843AC4"/>
    <w:rsid w:val="00894FE6"/>
    <w:rsid w:val="008F01FF"/>
    <w:rsid w:val="008F7C66"/>
    <w:rsid w:val="009017D2"/>
    <w:rsid w:val="00910034"/>
    <w:rsid w:val="009149AD"/>
    <w:rsid w:val="009210DF"/>
    <w:rsid w:val="00927933"/>
    <w:rsid w:val="00955B62"/>
    <w:rsid w:val="00970E02"/>
    <w:rsid w:val="00973423"/>
    <w:rsid w:val="00977DDF"/>
    <w:rsid w:val="009805CF"/>
    <w:rsid w:val="009C3809"/>
    <w:rsid w:val="009C653F"/>
    <w:rsid w:val="009E5975"/>
    <w:rsid w:val="009F093C"/>
    <w:rsid w:val="00A10FAE"/>
    <w:rsid w:val="00A24FFC"/>
    <w:rsid w:val="00A327CE"/>
    <w:rsid w:val="00A505EE"/>
    <w:rsid w:val="00A5751A"/>
    <w:rsid w:val="00A669C2"/>
    <w:rsid w:val="00A740AC"/>
    <w:rsid w:val="00A7490F"/>
    <w:rsid w:val="00A943E4"/>
    <w:rsid w:val="00AD1920"/>
    <w:rsid w:val="00AD7183"/>
    <w:rsid w:val="00B24B03"/>
    <w:rsid w:val="00B80849"/>
    <w:rsid w:val="00B85495"/>
    <w:rsid w:val="00BA3B85"/>
    <w:rsid w:val="00BD0555"/>
    <w:rsid w:val="00BD0E46"/>
    <w:rsid w:val="00BE1F83"/>
    <w:rsid w:val="00BF247F"/>
    <w:rsid w:val="00C26683"/>
    <w:rsid w:val="00C34F36"/>
    <w:rsid w:val="00C43033"/>
    <w:rsid w:val="00C6790C"/>
    <w:rsid w:val="00C85E8F"/>
    <w:rsid w:val="00C904D3"/>
    <w:rsid w:val="00CA515A"/>
    <w:rsid w:val="00CC593E"/>
    <w:rsid w:val="00CD0699"/>
    <w:rsid w:val="00CE4D28"/>
    <w:rsid w:val="00CE53D7"/>
    <w:rsid w:val="00CE74B4"/>
    <w:rsid w:val="00D03B05"/>
    <w:rsid w:val="00D10A56"/>
    <w:rsid w:val="00D25C08"/>
    <w:rsid w:val="00D348F3"/>
    <w:rsid w:val="00D73498"/>
    <w:rsid w:val="00DB54C8"/>
    <w:rsid w:val="00DB54EE"/>
    <w:rsid w:val="00DC16C9"/>
    <w:rsid w:val="00E055DE"/>
    <w:rsid w:val="00E17EAE"/>
    <w:rsid w:val="00E35783"/>
    <w:rsid w:val="00E520A8"/>
    <w:rsid w:val="00E6151B"/>
    <w:rsid w:val="00E8068F"/>
    <w:rsid w:val="00E87601"/>
    <w:rsid w:val="00EA2E15"/>
    <w:rsid w:val="00EB3A71"/>
    <w:rsid w:val="00EF791F"/>
    <w:rsid w:val="00F02C37"/>
    <w:rsid w:val="00F2266B"/>
    <w:rsid w:val="00F237EE"/>
    <w:rsid w:val="00F247E4"/>
    <w:rsid w:val="00F35FDD"/>
    <w:rsid w:val="00F56FAD"/>
    <w:rsid w:val="00F6439B"/>
    <w:rsid w:val="00F86396"/>
    <w:rsid w:val="00FA5967"/>
    <w:rsid w:val="00FA7BF5"/>
    <w:rsid w:val="00FB3CAF"/>
    <w:rsid w:val="00FD5445"/>
    <w:rsid w:val="00FE0FC0"/>
    <w:rsid w:val="00FE6622"/>
    <w:rsid w:val="00FF65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E67795"/>
  <w15:chartTrackingRefBased/>
  <w15:docId w15:val="{69DD0655-20AA-4718-9CC8-9D7D56B45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napToGrid w:val="0"/>
      <w:spacing w:line="360" w:lineRule="atLeast"/>
      <w:jc w:val="both"/>
    </w:pPr>
    <w:rPr>
      <w:rFonts w:ascii="標楷體" w:eastAsia="標楷體" w:hAnsi="Times New Roman" w:cs="標楷體"/>
      <w:spacing w:val="10"/>
      <w:kern w:val="2"/>
      <w:sz w:val="24"/>
      <w:szCs w:val="24"/>
    </w:rPr>
  </w:style>
  <w:style w:type="paragraph" w:styleId="1">
    <w:name w:val="heading 1"/>
    <w:basedOn w:val="a"/>
    <w:next w:val="a"/>
    <w:link w:val="10"/>
    <w:uiPriority w:val="99"/>
    <w:qFormat/>
    <w:pPr>
      <w:spacing w:after="120"/>
      <w:jc w:val="center"/>
      <w:outlineLvl w:val="0"/>
    </w:pPr>
    <w:rPr>
      <w:rFonts w:hAnsi="Arial"/>
      <w:b/>
      <w:bCs/>
      <w:kern w:val="52"/>
      <w:sz w:val="36"/>
      <w:szCs w:val="36"/>
    </w:rPr>
  </w:style>
  <w:style w:type="paragraph" w:styleId="2">
    <w:name w:val="heading 2"/>
    <w:basedOn w:val="a"/>
    <w:next w:val="a"/>
    <w:link w:val="20"/>
    <w:uiPriority w:val="99"/>
    <w:qFormat/>
    <w:pPr>
      <w:keepNext/>
      <w:spacing w:line="720" w:lineRule="auto"/>
      <w:outlineLvl w:val="1"/>
    </w:pPr>
    <w:rPr>
      <w:rFonts w:ascii="Arial" w:hAnsi="Arial" w:cs="Arial"/>
      <w:b/>
      <w:bCs/>
      <w:sz w:val="48"/>
      <w:szCs w:val="48"/>
    </w:rPr>
  </w:style>
  <w:style w:type="paragraph" w:styleId="3">
    <w:name w:val="heading 3"/>
    <w:basedOn w:val="a"/>
    <w:next w:val="a"/>
    <w:link w:val="30"/>
    <w:uiPriority w:val="99"/>
    <w:qFormat/>
    <w:pPr>
      <w:keepNext/>
      <w:spacing w:line="720" w:lineRule="auto"/>
      <w:outlineLvl w:val="2"/>
    </w:pPr>
    <w:rPr>
      <w:rFonts w:ascii="Arial" w:hAnsi="Arial" w:cs="Arial"/>
      <w:b/>
      <w:bCs/>
      <w:sz w:val="36"/>
      <w:szCs w:val="36"/>
    </w:rPr>
  </w:style>
  <w:style w:type="paragraph" w:styleId="4">
    <w:name w:val="heading 4"/>
    <w:basedOn w:val="a"/>
    <w:next w:val="a0"/>
    <w:link w:val="40"/>
    <w:uiPriority w:val="99"/>
    <w:qFormat/>
    <w:pPr>
      <w:keepNext/>
      <w:adjustRightInd w:val="0"/>
      <w:snapToGrid/>
      <w:spacing w:line="720" w:lineRule="atLeast"/>
      <w:jc w:val="left"/>
      <w:textAlignment w:val="baseline"/>
      <w:outlineLvl w:val="3"/>
    </w:pPr>
    <w:rPr>
      <w:rFonts w:ascii="Arial" w:eastAsia="新細明體" w:hAnsi="Arial" w:cs="Arial"/>
      <w:spacing w:val="0"/>
      <w:kern w:val="0"/>
      <w:sz w:val="36"/>
      <w:szCs w:val="36"/>
    </w:rPr>
  </w:style>
  <w:style w:type="paragraph" w:styleId="5">
    <w:name w:val="heading 5"/>
    <w:basedOn w:val="a"/>
    <w:next w:val="a0"/>
    <w:link w:val="50"/>
    <w:uiPriority w:val="99"/>
    <w:qFormat/>
    <w:pPr>
      <w:keepNext/>
      <w:adjustRightInd w:val="0"/>
      <w:snapToGrid/>
      <w:spacing w:line="720" w:lineRule="atLeast"/>
      <w:jc w:val="left"/>
      <w:textAlignment w:val="baseline"/>
      <w:outlineLvl w:val="4"/>
    </w:pPr>
    <w:rPr>
      <w:rFonts w:ascii="Arial" w:eastAsia="新細明體" w:hAnsi="Arial" w:cs="Arial"/>
      <w:b/>
      <w:bCs/>
      <w:spacing w:val="0"/>
      <w:kern w:val="0"/>
      <w:sz w:val="36"/>
      <w:szCs w:val="36"/>
    </w:rPr>
  </w:style>
  <w:style w:type="paragraph" w:styleId="6">
    <w:name w:val="heading 6"/>
    <w:basedOn w:val="a"/>
    <w:next w:val="a0"/>
    <w:link w:val="60"/>
    <w:uiPriority w:val="99"/>
    <w:qFormat/>
    <w:pPr>
      <w:keepNext/>
      <w:adjustRightInd w:val="0"/>
      <w:snapToGrid/>
      <w:spacing w:line="720" w:lineRule="atLeast"/>
      <w:jc w:val="left"/>
      <w:textAlignment w:val="baseline"/>
      <w:outlineLvl w:val="5"/>
    </w:pPr>
    <w:rPr>
      <w:rFonts w:ascii="Arial" w:eastAsia="新細明體" w:hAnsi="Arial" w:cs="Arial"/>
      <w:spacing w:val="0"/>
      <w:kern w:val="0"/>
      <w:sz w:val="36"/>
      <w:szCs w:val="36"/>
    </w:rPr>
  </w:style>
  <w:style w:type="paragraph" w:styleId="7">
    <w:name w:val="heading 7"/>
    <w:basedOn w:val="a"/>
    <w:next w:val="a0"/>
    <w:link w:val="70"/>
    <w:uiPriority w:val="99"/>
    <w:qFormat/>
    <w:pPr>
      <w:keepNext/>
      <w:adjustRightInd w:val="0"/>
      <w:snapToGrid/>
      <w:spacing w:line="720" w:lineRule="atLeast"/>
      <w:jc w:val="left"/>
      <w:textAlignment w:val="baseline"/>
      <w:outlineLvl w:val="6"/>
    </w:pPr>
    <w:rPr>
      <w:rFonts w:ascii="Arial" w:eastAsia="新細明體" w:hAnsi="Arial" w:cs="Arial"/>
      <w:b/>
      <w:bCs/>
      <w:spacing w:val="0"/>
      <w:kern w:val="0"/>
      <w:sz w:val="36"/>
      <w:szCs w:val="36"/>
    </w:rPr>
  </w:style>
  <w:style w:type="paragraph" w:styleId="8">
    <w:name w:val="heading 8"/>
    <w:basedOn w:val="a"/>
    <w:next w:val="a0"/>
    <w:link w:val="80"/>
    <w:uiPriority w:val="99"/>
    <w:qFormat/>
    <w:pPr>
      <w:keepNext/>
      <w:adjustRightInd w:val="0"/>
      <w:snapToGrid/>
      <w:spacing w:line="720" w:lineRule="atLeast"/>
      <w:jc w:val="left"/>
      <w:textAlignment w:val="baseline"/>
      <w:outlineLvl w:val="7"/>
    </w:pPr>
    <w:rPr>
      <w:rFonts w:ascii="Arial" w:eastAsia="新細明體" w:hAnsi="Arial" w:cs="Arial"/>
      <w:spacing w:val="0"/>
      <w:kern w:val="0"/>
      <w:sz w:val="36"/>
      <w:szCs w:val="36"/>
    </w:rPr>
  </w:style>
  <w:style w:type="paragraph" w:styleId="9">
    <w:name w:val="heading 9"/>
    <w:basedOn w:val="a"/>
    <w:next w:val="a0"/>
    <w:link w:val="90"/>
    <w:uiPriority w:val="99"/>
    <w:qFormat/>
    <w:pPr>
      <w:keepNext/>
      <w:adjustRightInd w:val="0"/>
      <w:snapToGrid/>
      <w:spacing w:line="720" w:lineRule="atLeast"/>
      <w:jc w:val="left"/>
      <w:textAlignment w:val="baseline"/>
      <w:outlineLvl w:val="8"/>
    </w:pPr>
    <w:rPr>
      <w:rFonts w:ascii="Arial" w:eastAsia="新細明體" w:hAnsi="Arial" w:cs="Arial"/>
      <w:spacing w:val="0"/>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link w:val="1"/>
    <w:uiPriority w:val="9"/>
    <w:locked/>
    <w:rPr>
      <w:rFonts w:ascii="Cambria" w:eastAsia="新細明體" w:hAnsi="Cambria" w:cs="Times New Roman"/>
      <w:b/>
      <w:bCs/>
      <w:spacing w:val="10"/>
      <w:kern w:val="52"/>
      <w:sz w:val="52"/>
      <w:szCs w:val="52"/>
    </w:rPr>
  </w:style>
  <w:style w:type="character" w:customStyle="1" w:styleId="20">
    <w:name w:val="標題 2 字元"/>
    <w:link w:val="2"/>
    <w:uiPriority w:val="9"/>
    <w:semiHidden/>
    <w:locked/>
    <w:rPr>
      <w:rFonts w:ascii="Cambria" w:eastAsia="新細明體" w:hAnsi="Cambria" w:cs="Times New Roman"/>
      <w:b/>
      <w:bCs/>
      <w:spacing w:val="10"/>
      <w:sz w:val="48"/>
      <w:szCs w:val="48"/>
    </w:rPr>
  </w:style>
  <w:style w:type="character" w:customStyle="1" w:styleId="30">
    <w:name w:val="標題 3 字元"/>
    <w:link w:val="3"/>
    <w:uiPriority w:val="9"/>
    <w:semiHidden/>
    <w:locked/>
    <w:rPr>
      <w:rFonts w:ascii="Cambria" w:eastAsia="新細明體" w:hAnsi="Cambria" w:cs="Times New Roman"/>
      <w:b/>
      <w:bCs/>
      <w:spacing w:val="10"/>
      <w:sz w:val="36"/>
      <w:szCs w:val="36"/>
    </w:rPr>
  </w:style>
  <w:style w:type="character" w:customStyle="1" w:styleId="40">
    <w:name w:val="標題 4 字元"/>
    <w:link w:val="4"/>
    <w:uiPriority w:val="9"/>
    <w:semiHidden/>
    <w:locked/>
    <w:rPr>
      <w:rFonts w:ascii="Cambria" w:eastAsia="新細明體" w:hAnsi="Cambria" w:cs="Times New Roman"/>
      <w:spacing w:val="10"/>
      <w:sz w:val="36"/>
      <w:szCs w:val="36"/>
    </w:rPr>
  </w:style>
  <w:style w:type="character" w:customStyle="1" w:styleId="50">
    <w:name w:val="標題 5 字元"/>
    <w:link w:val="5"/>
    <w:uiPriority w:val="9"/>
    <w:semiHidden/>
    <w:locked/>
    <w:rPr>
      <w:rFonts w:ascii="Cambria" w:eastAsia="新細明體" w:hAnsi="Cambria" w:cs="Times New Roman"/>
      <w:b/>
      <w:bCs/>
      <w:spacing w:val="10"/>
      <w:sz w:val="36"/>
      <w:szCs w:val="36"/>
    </w:rPr>
  </w:style>
  <w:style w:type="character" w:customStyle="1" w:styleId="60">
    <w:name w:val="標題 6 字元"/>
    <w:link w:val="6"/>
    <w:uiPriority w:val="9"/>
    <w:semiHidden/>
    <w:locked/>
    <w:rPr>
      <w:rFonts w:ascii="Cambria" w:eastAsia="新細明體" w:hAnsi="Cambria" w:cs="Times New Roman"/>
      <w:spacing w:val="10"/>
      <w:sz w:val="36"/>
      <w:szCs w:val="36"/>
    </w:rPr>
  </w:style>
  <w:style w:type="character" w:customStyle="1" w:styleId="70">
    <w:name w:val="標題 7 字元"/>
    <w:link w:val="7"/>
    <w:uiPriority w:val="9"/>
    <w:semiHidden/>
    <w:locked/>
    <w:rPr>
      <w:rFonts w:ascii="Cambria" w:eastAsia="新細明體" w:hAnsi="Cambria" w:cs="Times New Roman"/>
      <w:b/>
      <w:bCs/>
      <w:spacing w:val="10"/>
      <w:sz w:val="36"/>
      <w:szCs w:val="36"/>
    </w:rPr>
  </w:style>
  <w:style w:type="character" w:customStyle="1" w:styleId="80">
    <w:name w:val="標題 8 字元"/>
    <w:link w:val="8"/>
    <w:uiPriority w:val="9"/>
    <w:semiHidden/>
    <w:locked/>
    <w:rPr>
      <w:rFonts w:ascii="Cambria" w:eastAsia="新細明體" w:hAnsi="Cambria" w:cs="Times New Roman"/>
      <w:spacing w:val="10"/>
      <w:sz w:val="36"/>
      <w:szCs w:val="36"/>
    </w:rPr>
  </w:style>
  <w:style w:type="character" w:customStyle="1" w:styleId="90">
    <w:name w:val="標題 9 字元"/>
    <w:link w:val="9"/>
    <w:uiPriority w:val="9"/>
    <w:semiHidden/>
    <w:locked/>
    <w:rPr>
      <w:rFonts w:ascii="Cambria" w:eastAsia="新細明體" w:hAnsi="Cambria" w:cs="Times New Roman"/>
      <w:spacing w:val="10"/>
      <w:sz w:val="36"/>
      <w:szCs w:val="36"/>
    </w:rPr>
  </w:style>
  <w:style w:type="paragraph" w:styleId="a0">
    <w:name w:val="Normal Indent"/>
    <w:basedOn w:val="a"/>
    <w:uiPriority w:val="99"/>
    <w:pPr>
      <w:ind w:left="480"/>
    </w:pPr>
  </w:style>
  <w:style w:type="paragraph" w:styleId="a4">
    <w:name w:val="Block Text"/>
    <w:basedOn w:val="a"/>
    <w:uiPriority w:val="99"/>
    <w:pPr>
      <w:ind w:left="758" w:right="28" w:hanging="730"/>
    </w:pPr>
    <w:rPr>
      <w:rFonts w:ascii="新細明體" w:eastAsia="新細明體" w:cs="新細明體"/>
      <w:spacing w:val="24"/>
    </w:rPr>
  </w:style>
  <w:style w:type="paragraph" w:styleId="21">
    <w:name w:val="Body Text 2"/>
    <w:basedOn w:val="a"/>
    <w:link w:val="22"/>
    <w:uiPriority w:val="99"/>
    <w:pPr>
      <w:spacing w:line="360" w:lineRule="exact"/>
    </w:pPr>
    <w:rPr>
      <w:rFonts w:ascii="新細明體" w:eastAsia="新細明體" w:cs="新細明體"/>
      <w:color w:val="0000FF"/>
      <w:u w:val="single"/>
    </w:rPr>
  </w:style>
  <w:style w:type="character" w:customStyle="1" w:styleId="22">
    <w:name w:val="本文 2 字元"/>
    <w:link w:val="21"/>
    <w:uiPriority w:val="99"/>
    <w:semiHidden/>
    <w:locked/>
    <w:rPr>
      <w:rFonts w:ascii="標楷體" w:eastAsia="標楷體" w:hAnsi="Times New Roman" w:cs="標楷體"/>
      <w:spacing w:val="10"/>
      <w:sz w:val="24"/>
      <w:szCs w:val="24"/>
    </w:rPr>
  </w:style>
  <w:style w:type="paragraph" w:styleId="a5">
    <w:name w:val="Body Text"/>
    <w:basedOn w:val="a"/>
    <w:link w:val="a6"/>
    <w:uiPriority w:val="99"/>
    <w:pPr>
      <w:ind w:right="28"/>
    </w:pPr>
    <w:rPr>
      <w:rFonts w:ascii="新細明體" w:eastAsia="新細明體" w:cs="新細明體"/>
    </w:rPr>
  </w:style>
  <w:style w:type="character" w:customStyle="1" w:styleId="a6">
    <w:name w:val="本文 字元"/>
    <w:link w:val="a5"/>
    <w:uiPriority w:val="99"/>
    <w:semiHidden/>
    <w:locked/>
    <w:rPr>
      <w:rFonts w:ascii="標楷體" w:eastAsia="標楷體" w:hAnsi="Times New Roman" w:cs="標楷體"/>
      <w:spacing w:val="10"/>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jc w:val="left"/>
    </w:pPr>
    <w:rPr>
      <w:rFonts w:ascii="細明體" w:eastAsia="細明體" w:hAnsi="Courier New" w:cs="細明體"/>
      <w:color w:val="008000"/>
      <w:spacing w:val="0"/>
      <w:kern w:val="0"/>
      <w:sz w:val="20"/>
      <w:szCs w:val="20"/>
    </w:rPr>
  </w:style>
  <w:style w:type="character" w:customStyle="1" w:styleId="HTML0">
    <w:name w:val="HTML 預設格式 字元"/>
    <w:link w:val="HTML"/>
    <w:uiPriority w:val="99"/>
    <w:semiHidden/>
    <w:locked/>
    <w:rPr>
      <w:rFonts w:ascii="Courier New" w:eastAsia="標楷體" w:hAnsi="Courier New" w:cs="Courier New"/>
      <w:spacing w:val="10"/>
      <w:sz w:val="20"/>
      <w:szCs w:val="20"/>
    </w:rPr>
  </w:style>
  <w:style w:type="paragraph" w:styleId="a7">
    <w:name w:val="footer"/>
    <w:basedOn w:val="a"/>
    <w:link w:val="a8"/>
    <w:uiPriority w:val="99"/>
    <w:pPr>
      <w:tabs>
        <w:tab w:val="center" w:pos="4153"/>
        <w:tab w:val="right" w:pos="8306"/>
      </w:tabs>
    </w:pPr>
    <w:rPr>
      <w:sz w:val="20"/>
      <w:szCs w:val="20"/>
    </w:rPr>
  </w:style>
  <w:style w:type="character" w:customStyle="1" w:styleId="a8">
    <w:name w:val="頁尾 字元"/>
    <w:link w:val="a7"/>
    <w:uiPriority w:val="99"/>
    <w:semiHidden/>
    <w:locked/>
    <w:rPr>
      <w:rFonts w:ascii="標楷體" w:eastAsia="標楷體" w:hAnsi="Times New Roman" w:cs="標楷體"/>
      <w:spacing w:val="10"/>
      <w:sz w:val="20"/>
      <w:szCs w:val="20"/>
    </w:rPr>
  </w:style>
  <w:style w:type="character" w:styleId="a9">
    <w:name w:val="page number"/>
    <w:uiPriority w:val="99"/>
    <w:rPr>
      <w:rFonts w:cs="Times New Roman"/>
    </w:rPr>
  </w:style>
  <w:style w:type="paragraph" w:styleId="23">
    <w:name w:val="Body Text Indent 2"/>
    <w:basedOn w:val="a"/>
    <w:link w:val="24"/>
    <w:uiPriority w:val="99"/>
    <w:pPr>
      <w:spacing w:before="240" w:line="288" w:lineRule="auto"/>
      <w:ind w:left="1118" w:hanging="402"/>
    </w:pPr>
    <w:rPr>
      <w:rFonts w:hAnsi="標楷體"/>
      <w:spacing w:val="0"/>
    </w:rPr>
  </w:style>
  <w:style w:type="character" w:customStyle="1" w:styleId="24">
    <w:name w:val="本文縮排 2 字元"/>
    <w:link w:val="23"/>
    <w:uiPriority w:val="99"/>
    <w:semiHidden/>
    <w:locked/>
    <w:rPr>
      <w:rFonts w:ascii="標楷體" w:eastAsia="標楷體" w:hAnsi="Times New Roman" w:cs="標楷體"/>
      <w:spacing w:val="10"/>
      <w:sz w:val="24"/>
      <w:szCs w:val="24"/>
    </w:rPr>
  </w:style>
  <w:style w:type="paragraph" w:styleId="31">
    <w:name w:val="Body Text Indent 3"/>
    <w:basedOn w:val="a"/>
    <w:link w:val="32"/>
    <w:uiPriority w:val="99"/>
    <w:pPr>
      <w:spacing w:line="360" w:lineRule="exact"/>
      <w:ind w:left="862" w:hanging="862"/>
    </w:pPr>
    <w:rPr>
      <w:rFonts w:ascii="新細明體" w:eastAsia="新細明體" w:cs="新細明體"/>
      <w:u w:val="single"/>
    </w:rPr>
  </w:style>
  <w:style w:type="character" w:customStyle="1" w:styleId="32">
    <w:name w:val="本文縮排 3 字元"/>
    <w:link w:val="31"/>
    <w:uiPriority w:val="99"/>
    <w:semiHidden/>
    <w:locked/>
    <w:rPr>
      <w:rFonts w:ascii="標楷體" w:eastAsia="標楷體" w:hAnsi="Times New Roman" w:cs="標楷體"/>
      <w:spacing w:val="10"/>
      <w:sz w:val="16"/>
      <w:szCs w:val="16"/>
    </w:rPr>
  </w:style>
  <w:style w:type="paragraph" w:styleId="aa">
    <w:name w:val="header"/>
    <w:basedOn w:val="a"/>
    <w:link w:val="ab"/>
    <w:uiPriority w:val="99"/>
    <w:pPr>
      <w:tabs>
        <w:tab w:val="center" w:pos="4153"/>
        <w:tab w:val="right" w:pos="8306"/>
      </w:tabs>
    </w:pPr>
    <w:rPr>
      <w:sz w:val="20"/>
      <w:szCs w:val="20"/>
    </w:rPr>
  </w:style>
  <w:style w:type="character" w:customStyle="1" w:styleId="ab">
    <w:name w:val="頁首 字元"/>
    <w:link w:val="aa"/>
    <w:uiPriority w:val="99"/>
    <w:semiHidden/>
    <w:locked/>
    <w:rPr>
      <w:rFonts w:ascii="標楷體" w:eastAsia="標楷體" w:hAnsi="Times New Roman" w:cs="標楷體"/>
      <w:spacing w:val="10"/>
      <w:sz w:val="20"/>
      <w:szCs w:val="20"/>
    </w:rPr>
  </w:style>
  <w:style w:type="table" w:styleId="ac">
    <w:name w:val="Table Grid"/>
    <w:basedOn w:val="a2"/>
    <w:uiPriority w:val="59"/>
    <w:rsid w:val="00A24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0EADB-4AC3-491B-98F7-B418BE3AA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361</Words>
  <Characters>2058</Characters>
  <Application>Microsoft Office Word</Application>
  <DocSecurity>0</DocSecurity>
  <Lines>17</Lines>
  <Paragraphs>4</Paragraphs>
  <ScaleCrop>false</ScaleCrop>
  <Company>Hewlett-Packard Company</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證券商內部控制制度標準規範─內部控制制度修訂對照表（97年度）</dc:title>
  <dc:subject/>
  <dc:creator>0753</dc:creator>
  <cp:keywords/>
  <cp:lastModifiedBy>陳泓志</cp:lastModifiedBy>
  <cp:revision>14</cp:revision>
  <cp:lastPrinted>2004-03-09T19:20:00Z</cp:lastPrinted>
  <dcterms:created xsi:type="dcterms:W3CDTF">2025-04-18T10:47:00Z</dcterms:created>
  <dcterms:modified xsi:type="dcterms:W3CDTF">2025-12-03T02:55:00Z</dcterms:modified>
</cp:coreProperties>
</file>