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3"/>
        <w:gridCol w:w="4853"/>
        <w:gridCol w:w="4854"/>
      </w:tblGrid>
      <w:tr w:rsidR="00206453" w14:paraId="3E12E702" w14:textId="77777777" w:rsidTr="00206453">
        <w:tc>
          <w:tcPr>
            <w:tcW w:w="4853" w:type="dxa"/>
          </w:tcPr>
          <w:p w14:paraId="483A5315" w14:textId="77777777" w:rsidR="00206453" w:rsidRDefault="00206453" w:rsidP="00A3347B">
            <w:pPr>
              <w:spacing w:line="300" w:lineRule="auto"/>
              <w:jc w:val="center"/>
              <w:rPr>
                <w:rFonts w:ascii="新細明體" w:hAnsi="新細明體"/>
                <w:color w:val="000000" w:themeColor="text1"/>
                <w:spacing w:val="24"/>
              </w:rPr>
            </w:pPr>
          </w:p>
        </w:tc>
        <w:tc>
          <w:tcPr>
            <w:tcW w:w="4853" w:type="dxa"/>
          </w:tcPr>
          <w:p w14:paraId="0092359C" w14:textId="77777777" w:rsidR="00206453" w:rsidRDefault="00206453" w:rsidP="00A3347B">
            <w:pPr>
              <w:spacing w:line="300" w:lineRule="auto"/>
              <w:jc w:val="center"/>
              <w:rPr>
                <w:rFonts w:ascii="新細明體" w:hAnsi="新細明體"/>
                <w:color w:val="000000" w:themeColor="text1"/>
                <w:spacing w:val="24"/>
              </w:rPr>
            </w:pPr>
            <w:r w:rsidRPr="00367148">
              <w:rPr>
                <w:rFonts w:hint="eastAsia"/>
                <w:color w:val="000000" w:themeColor="text1"/>
                <w:spacing w:val="24"/>
                <w:u w:val="single"/>
              </w:rPr>
              <w:t xml:space="preserve">　　　　　　</w:t>
            </w:r>
            <w:bookmarkStart w:id="0" w:name="Std_Type2"/>
            <w:r w:rsidRPr="00367148">
              <w:rPr>
                <w:rFonts w:hint="eastAsia"/>
                <w:color w:val="000000" w:themeColor="text1"/>
                <w:spacing w:val="24"/>
                <w:u w:val="single"/>
              </w:rPr>
              <w:t>證券</w:t>
            </w:r>
            <w:bookmarkEnd w:id="0"/>
            <w:r w:rsidRPr="00367148">
              <w:rPr>
                <w:rFonts w:hint="eastAsia"/>
                <w:color w:val="000000" w:themeColor="text1"/>
                <w:spacing w:val="24"/>
                <w:u w:val="single"/>
              </w:rPr>
              <w:t>股份有限公司</w:t>
            </w:r>
          </w:p>
        </w:tc>
        <w:tc>
          <w:tcPr>
            <w:tcW w:w="4854" w:type="dxa"/>
          </w:tcPr>
          <w:p w14:paraId="041F4125" w14:textId="77777777" w:rsidR="00206453" w:rsidRDefault="00206453" w:rsidP="00A3347B">
            <w:pPr>
              <w:spacing w:line="300" w:lineRule="auto"/>
              <w:jc w:val="center"/>
              <w:rPr>
                <w:rFonts w:ascii="新細明體" w:hAnsi="新細明體"/>
                <w:color w:val="000000" w:themeColor="text1"/>
                <w:spacing w:val="24"/>
              </w:rPr>
            </w:pPr>
          </w:p>
        </w:tc>
      </w:tr>
      <w:tr w:rsidR="00206453" w14:paraId="28981C51" w14:textId="77777777" w:rsidTr="00206453">
        <w:tc>
          <w:tcPr>
            <w:tcW w:w="4853" w:type="dxa"/>
          </w:tcPr>
          <w:p w14:paraId="76351066" w14:textId="77777777" w:rsidR="00206453" w:rsidRDefault="00206453" w:rsidP="00A3347B">
            <w:pPr>
              <w:spacing w:line="300" w:lineRule="auto"/>
              <w:jc w:val="center"/>
              <w:rPr>
                <w:rFonts w:ascii="新細明體" w:hAnsi="新細明體"/>
                <w:color w:val="000000" w:themeColor="text1"/>
                <w:spacing w:val="24"/>
              </w:rPr>
            </w:pPr>
          </w:p>
        </w:tc>
        <w:tc>
          <w:tcPr>
            <w:tcW w:w="4853" w:type="dxa"/>
          </w:tcPr>
          <w:p w14:paraId="6CC2FD62" w14:textId="77777777" w:rsidR="00206453" w:rsidRPr="00206453" w:rsidRDefault="00206453" w:rsidP="00206453">
            <w:pPr>
              <w:spacing w:line="400" w:lineRule="exact"/>
              <w:jc w:val="center"/>
              <w:rPr>
                <w:rFonts w:ascii="新細明體" w:hAnsi="新細明體"/>
                <w:color w:val="000000" w:themeColor="text1"/>
                <w:spacing w:val="24"/>
                <w:u w:val="single"/>
              </w:rPr>
            </w:pPr>
            <w:r>
              <w:rPr>
                <w:rFonts w:ascii="新細明體" w:hAnsi="新細明體" w:hint="eastAsia"/>
                <w:color w:val="000000" w:themeColor="text1"/>
              </w:rPr>
              <w:t xml:space="preserve">業務及收入循環：經紀－集中、櫃檯 </w:t>
            </w:r>
          </w:p>
        </w:tc>
        <w:tc>
          <w:tcPr>
            <w:tcW w:w="4854" w:type="dxa"/>
          </w:tcPr>
          <w:p w14:paraId="0F7F7AD6" w14:textId="77777777" w:rsidR="00206453" w:rsidRDefault="00206453" w:rsidP="00A3347B">
            <w:pPr>
              <w:spacing w:line="300" w:lineRule="auto"/>
              <w:jc w:val="center"/>
              <w:rPr>
                <w:rFonts w:ascii="新細明體" w:hAnsi="新細明體"/>
                <w:color w:val="000000" w:themeColor="text1"/>
                <w:spacing w:val="24"/>
              </w:rPr>
            </w:pPr>
          </w:p>
        </w:tc>
      </w:tr>
      <w:tr w:rsidR="00206453" w14:paraId="7B92E060" w14:textId="77777777" w:rsidTr="00206453">
        <w:tc>
          <w:tcPr>
            <w:tcW w:w="4853" w:type="dxa"/>
          </w:tcPr>
          <w:p w14:paraId="6E830838" w14:textId="77777777" w:rsidR="00206453" w:rsidRDefault="00206453" w:rsidP="00206453">
            <w:pPr>
              <w:spacing w:line="300" w:lineRule="auto"/>
              <w:rPr>
                <w:rFonts w:ascii="新細明體" w:hAnsi="新細明體"/>
                <w:color w:val="000000" w:themeColor="text1"/>
                <w:spacing w:val="24"/>
              </w:rPr>
            </w:pPr>
            <w:r>
              <w:rPr>
                <w:rFonts w:ascii="新細明體" w:hAnsi="新細明體" w:hint="eastAsia"/>
                <w:color w:val="000000" w:themeColor="text1"/>
                <w:spacing w:val="24"/>
              </w:rPr>
              <w:t>作業週期：（每週至少查核乙次）</w:t>
            </w:r>
          </w:p>
        </w:tc>
        <w:tc>
          <w:tcPr>
            <w:tcW w:w="4853" w:type="dxa"/>
          </w:tcPr>
          <w:p w14:paraId="33DF4069" w14:textId="77777777" w:rsidR="00206453" w:rsidRDefault="00206453" w:rsidP="00A3347B">
            <w:pPr>
              <w:spacing w:line="300" w:lineRule="auto"/>
              <w:jc w:val="center"/>
              <w:rPr>
                <w:rFonts w:ascii="新細明體" w:hAnsi="新細明體"/>
                <w:color w:val="000000" w:themeColor="text1"/>
                <w:spacing w:val="24"/>
              </w:rPr>
            </w:pPr>
            <w:r w:rsidRPr="00367148">
              <w:rPr>
                <w:rFonts w:hint="eastAsia"/>
                <w:color w:val="000000" w:themeColor="text1"/>
                <w:spacing w:val="60"/>
                <w:u w:val="single"/>
              </w:rPr>
              <w:t>開戶與帳戶管理查核明細表</w:t>
            </w:r>
          </w:p>
        </w:tc>
        <w:tc>
          <w:tcPr>
            <w:tcW w:w="4854" w:type="dxa"/>
          </w:tcPr>
          <w:p w14:paraId="16B6BD8F" w14:textId="77777777" w:rsidR="00206453" w:rsidRDefault="00206453" w:rsidP="00A3347B">
            <w:pPr>
              <w:spacing w:line="300" w:lineRule="auto"/>
              <w:jc w:val="center"/>
              <w:rPr>
                <w:rFonts w:ascii="新細明體" w:hAnsi="新細明體"/>
                <w:color w:val="000000" w:themeColor="text1"/>
                <w:spacing w:val="24"/>
              </w:rPr>
            </w:pPr>
          </w:p>
        </w:tc>
      </w:tr>
    </w:tbl>
    <w:tbl>
      <w:tblPr>
        <w:tblW w:w="150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9383"/>
        <w:gridCol w:w="851"/>
        <w:gridCol w:w="850"/>
        <w:gridCol w:w="709"/>
        <w:gridCol w:w="1276"/>
      </w:tblGrid>
      <w:tr w:rsidR="00367148" w:rsidRPr="00367148" w14:paraId="6DA32183" w14:textId="77777777" w:rsidTr="00B77A59">
        <w:trPr>
          <w:cantSplit/>
          <w:trHeight w:hRule="exact" w:val="522"/>
          <w:tblHeader/>
        </w:trPr>
        <w:tc>
          <w:tcPr>
            <w:tcW w:w="1985" w:type="dxa"/>
            <w:vMerge w:val="restart"/>
            <w:tcBorders>
              <w:top w:val="single" w:sz="12" w:space="0" w:color="auto"/>
              <w:left w:val="single" w:sz="12" w:space="0" w:color="auto"/>
            </w:tcBorders>
            <w:vAlign w:val="center"/>
          </w:tcPr>
          <w:p w14:paraId="4CB6C360" w14:textId="77777777" w:rsidR="00A1667A" w:rsidRPr="00367148" w:rsidRDefault="00A1667A" w:rsidP="00647C22">
            <w:pPr>
              <w:spacing w:line="320" w:lineRule="atLeast"/>
              <w:jc w:val="center"/>
              <w:rPr>
                <w:rFonts w:ascii="新細明體" w:hAnsi="新細明體"/>
                <w:color w:val="000000" w:themeColor="text1"/>
              </w:rPr>
            </w:pPr>
            <w:r w:rsidRPr="00367148">
              <w:rPr>
                <w:rFonts w:ascii="新細明體" w:hAnsi="新細明體" w:hint="eastAsia"/>
                <w:color w:val="000000" w:themeColor="text1"/>
              </w:rPr>
              <w:t>項</w:t>
            </w:r>
            <w:r w:rsidRPr="00367148">
              <w:rPr>
                <w:rFonts w:ascii="新細明體" w:hAnsi="新細明體"/>
                <w:color w:val="000000" w:themeColor="text1"/>
              </w:rPr>
              <w:t xml:space="preserve">     </w:t>
            </w:r>
            <w:r w:rsidRPr="00367148">
              <w:rPr>
                <w:rFonts w:ascii="新細明體" w:hAnsi="新細明體" w:hint="eastAsia"/>
                <w:color w:val="000000" w:themeColor="text1"/>
              </w:rPr>
              <w:t>目</w:t>
            </w:r>
          </w:p>
        </w:tc>
        <w:tc>
          <w:tcPr>
            <w:tcW w:w="9383" w:type="dxa"/>
            <w:vMerge w:val="restart"/>
            <w:tcBorders>
              <w:top w:val="single" w:sz="12" w:space="0" w:color="auto"/>
            </w:tcBorders>
            <w:vAlign w:val="center"/>
          </w:tcPr>
          <w:p w14:paraId="1A72277F" w14:textId="77777777" w:rsidR="00A1667A" w:rsidRPr="00367148" w:rsidRDefault="00A1667A" w:rsidP="00647C22">
            <w:pPr>
              <w:spacing w:line="320" w:lineRule="atLeast"/>
              <w:jc w:val="center"/>
              <w:rPr>
                <w:rFonts w:ascii="新細明體" w:hAnsi="新細明體"/>
                <w:color w:val="000000" w:themeColor="text1"/>
              </w:rPr>
            </w:pPr>
            <w:r w:rsidRPr="00367148">
              <w:rPr>
                <w:rFonts w:ascii="新細明體" w:hAnsi="新細明體" w:hint="eastAsia"/>
                <w:color w:val="000000" w:themeColor="text1"/>
              </w:rPr>
              <w:t>查</w:t>
            </w:r>
            <w:r w:rsidRPr="00367148">
              <w:rPr>
                <w:rFonts w:ascii="新細明體" w:hAnsi="新細明體"/>
                <w:color w:val="000000" w:themeColor="text1"/>
              </w:rPr>
              <w:t xml:space="preserve">          </w:t>
            </w:r>
            <w:r w:rsidRPr="00367148">
              <w:rPr>
                <w:rFonts w:ascii="新細明體" w:hAnsi="新細明體" w:hint="eastAsia"/>
                <w:color w:val="000000" w:themeColor="text1"/>
              </w:rPr>
              <w:t>核</w:t>
            </w:r>
            <w:r w:rsidRPr="00367148">
              <w:rPr>
                <w:rFonts w:ascii="新細明體" w:hAnsi="新細明體"/>
                <w:color w:val="000000" w:themeColor="text1"/>
              </w:rPr>
              <w:t xml:space="preserve">          </w:t>
            </w:r>
            <w:r w:rsidRPr="00367148">
              <w:rPr>
                <w:rFonts w:ascii="新細明體" w:hAnsi="新細明體" w:hint="eastAsia"/>
                <w:color w:val="000000" w:themeColor="text1"/>
              </w:rPr>
              <w:t>程</w:t>
            </w:r>
            <w:r w:rsidRPr="00367148">
              <w:rPr>
                <w:rFonts w:ascii="新細明體" w:hAnsi="新細明體"/>
                <w:color w:val="000000" w:themeColor="text1"/>
              </w:rPr>
              <w:t xml:space="preserve">          </w:t>
            </w:r>
            <w:r w:rsidRPr="00367148">
              <w:rPr>
                <w:rFonts w:ascii="新細明體" w:hAnsi="新細明體" w:hint="eastAsia"/>
                <w:color w:val="000000" w:themeColor="text1"/>
              </w:rPr>
              <w:t>序</w:t>
            </w:r>
          </w:p>
        </w:tc>
        <w:tc>
          <w:tcPr>
            <w:tcW w:w="2410" w:type="dxa"/>
            <w:gridSpan w:val="3"/>
            <w:tcBorders>
              <w:top w:val="single" w:sz="12" w:space="0" w:color="auto"/>
            </w:tcBorders>
            <w:vAlign w:val="center"/>
          </w:tcPr>
          <w:p w14:paraId="28620303" w14:textId="77777777" w:rsidR="00A1667A" w:rsidRPr="00367148" w:rsidRDefault="00A1667A" w:rsidP="008600C2">
            <w:pPr>
              <w:spacing w:line="280" w:lineRule="exact"/>
              <w:jc w:val="center"/>
              <w:rPr>
                <w:rFonts w:ascii="新細明體" w:hAnsi="新細明體"/>
                <w:color w:val="000000" w:themeColor="text1"/>
                <w:spacing w:val="60"/>
                <w:sz w:val="18"/>
                <w:szCs w:val="18"/>
              </w:rPr>
            </w:pPr>
            <w:r w:rsidRPr="00367148">
              <w:rPr>
                <w:rFonts w:ascii="新細明體" w:hAnsi="新細明體" w:hint="eastAsia"/>
                <w:color w:val="000000" w:themeColor="text1"/>
                <w:spacing w:val="60"/>
                <w:sz w:val="18"/>
                <w:szCs w:val="18"/>
              </w:rPr>
              <w:t>查核結果</w:t>
            </w:r>
          </w:p>
        </w:tc>
        <w:tc>
          <w:tcPr>
            <w:tcW w:w="1276" w:type="dxa"/>
            <w:vMerge w:val="restart"/>
            <w:tcBorders>
              <w:top w:val="single" w:sz="12" w:space="0" w:color="auto"/>
              <w:right w:val="single" w:sz="12" w:space="0" w:color="auto"/>
            </w:tcBorders>
            <w:vAlign w:val="center"/>
          </w:tcPr>
          <w:p w14:paraId="531A55B1" w14:textId="77777777" w:rsidR="007A0E65" w:rsidRPr="00367148" w:rsidRDefault="00A1667A" w:rsidP="005E3DFF">
            <w:pPr>
              <w:spacing w:line="320" w:lineRule="atLeast"/>
              <w:jc w:val="center"/>
              <w:rPr>
                <w:rFonts w:ascii="新細明體" w:hAnsi="新細明體"/>
                <w:color w:val="000000" w:themeColor="text1"/>
                <w:spacing w:val="60"/>
              </w:rPr>
            </w:pPr>
            <w:r w:rsidRPr="00367148">
              <w:rPr>
                <w:rFonts w:ascii="新細明體" w:hAnsi="新細明體" w:hint="eastAsia"/>
                <w:color w:val="000000" w:themeColor="text1"/>
                <w:spacing w:val="60"/>
              </w:rPr>
              <w:t>底稿</w:t>
            </w:r>
          </w:p>
          <w:p w14:paraId="34564BB5" w14:textId="77777777" w:rsidR="00A1667A" w:rsidRPr="00367148" w:rsidRDefault="00A1667A" w:rsidP="005E3DFF">
            <w:pPr>
              <w:spacing w:line="320" w:lineRule="atLeast"/>
              <w:jc w:val="center"/>
              <w:rPr>
                <w:rFonts w:ascii="新細明體" w:hAnsi="新細明體"/>
                <w:color w:val="000000" w:themeColor="text1"/>
              </w:rPr>
            </w:pPr>
            <w:r w:rsidRPr="00367148">
              <w:rPr>
                <w:rFonts w:ascii="新細明體" w:hAnsi="新細明體" w:hint="eastAsia"/>
                <w:color w:val="000000" w:themeColor="text1"/>
                <w:spacing w:val="60"/>
              </w:rPr>
              <w:t>索引</w:t>
            </w:r>
          </w:p>
        </w:tc>
      </w:tr>
      <w:tr w:rsidR="00367148" w:rsidRPr="00367148" w14:paraId="2353D3C7" w14:textId="77777777" w:rsidTr="00B77A59">
        <w:trPr>
          <w:cantSplit/>
          <w:trHeight w:hRule="exact" w:val="402"/>
          <w:tblHeader/>
        </w:trPr>
        <w:tc>
          <w:tcPr>
            <w:tcW w:w="1985" w:type="dxa"/>
            <w:vMerge/>
            <w:tcBorders>
              <w:left w:val="single" w:sz="12" w:space="0" w:color="auto"/>
            </w:tcBorders>
          </w:tcPr>
          <w:p w14:paraId="264998BA" w14:textId="77777777" w:rsidR="00A1667A" w:rsidRPr="00367148" w:rsidRDefault="00A1667A" w:rsidP="00647C22">
            <w:pPr>
              <w:rPr>
                <w:rFonts w:ascii="新細明體" w:hAnsi="新細明體"/>
                <w:color w:val="000000" w:themeColor="text1"/>
              </w:rPr>
            </w:pPr>
          </w:p>
        </w:tc>
        <w:tc>
          <w:tcPr>
            <w:tcW w:w="9383" w:type="dxa"/>
            <w:vMerge/>
          </w:tcPr>
          <w:p w14:paraId="7074CE0A" w14:textId="77777777" w:rsidR="00A1667A" w:rsidRPr="00367148" w:rsidRDefault="00A1667A" w:rsidP="00647C22">
            <w:pPr>
              <w:rPr>
                <w:rFonts w:ascii="新細明體" w:hAnsi="新細明體"/>
                <w:color w:val="000000" w:themeColor="text1"/>
              </w:rPr>
            </w:pPr>
          </w:p>
        </w:tc>
        <w:tc>
          <w:tcPr>
            <w:tcW w:w="851" w:type="dxa"/>
          </w:tcPr>
          <w:p w14:paraId="4C1157DC" w14:textId="77777777" w:rsidR="00A1667A" w:rsidRPr="00367148" w:rsidRDefault="00A1667A" w:rsidP="008600C2">
            <w:pPr>
              <w:spacing w:line="280" w:lineRule="exact"/>
              <w:jc w:val="center"/>
              <w:rPr>
                <w:rFonts w:ascii="新細明體" w:hAnsi="新細明體"/>
                <w:color w:val="000000" w:themeColor="text1"/>
                <w:sz w:val="18"/>
                <w:szCs w:val="18"/>
              </w:rPr>
            </w:pPr>
            <w:r w:rsidRPr="00367148">
              <w:rPr>
                <w:rFonts w:ascii="新細明體" w:hAnsi="新細明體" w:hint="eastAsia"/>
                <w:color w:val="000000" w:themeColor="text1"/>
                <w:sz w:val="18"/>
                <w:szCs w:val="18"/>
              </w:rPr>
              <w:t>是</w:t>
            </w:r>
          </w:p>
        </w:tc>
        <w:tc>
          <w:tcPr>
            <w:tcW w:w="850" w:type="dxa"/>
          </w:tcPr>
          <w:p w14:paraId="50646112" w14:textId="77777777" w:rsidR="00A1667A" w:rsidRPr="00367148" w:rsidRDefault="00A1667A" w:rsidP="008600C2">
            <w:pPr>
              <w:spacing w:line="280" w:lineRule="exact"/>
              <w:jc w:val="center"/>
              <w:rPr>
                <w:rFonts w:ascii="新細明體" w:hAnsi="新細明體"/>
                <w:color w:val="000000" w:themeColor="text1"/>
                <w:sz w:val="18"/>
                <w:szCs w:val="18"/>
              </w:rPr>
            </w:pPr>
            <w:r w:rsidRPr="00367148">
              <w:rPr>
                <w:rFonts w:ascii="新細明體" w:hAnsi="新細明體" w:hint="eastAsia"/>
                <w:color w:val="000000" w:themeColor="text1"/>
                <w:sz w:val="18"/>
                <w:szCs w:val="18"/>
              </w:rPr>
              <w:t>否</w:t>
            </w:r>
          </w:p>
        </w:tc>
        <w:tc>
          <w:tcPr>
            <w:tcW w:w="709" w:type="dxa"/>
          </w:tcPr>
          <w:p w14:paraId="35ECDAB0" w14:textId="77777777" w:rsidR="00A1667A" w:rsidRPr="00367148" w:rsidRDefault="00A1667A" w:rsidP="008600C2">
            <w:pPr>
              <w:spacing w:line="280" w:lineRule="exact"/>
              <w:jc w:val="center"/>
              <w:rPr>
                <w:rFonts w:ascii="新細明體" w:hAnsi="新細明體"/>
                <w:color w:val="000000" w:themeColor="text1"/>
                <w:sz w:val="18"/>
                <w:szCs w:val="18"/>
              </w:rPr>
            </w:pPr>
            <w:r w:rsidRPr="00367148">
              <w:rPr>
                <w:rFonts w:ascii="新細明體" w:hAnsi="新細明體" w:hint="eastAsia"/>
                <w:color w:val="000000" w:themeColor="text1"/>
                <w:sz w:val="18"/>
                <w:szCs w:val="18"/>
              </w:rPr>
              <w:t>不適用</w:t>
            </w:r>
          </w:p>
        </w:tc>
        <w:tc>
          <w:tcPr>
            <w:tcW w:w="1276" w:type="dxa"/>
            <w:vMerge/>
            <w:tcBorders>
              <w:right w:val="single" w:sz="12" w:space="0" w:color="auto"/>
            </w:tcBorders>
          </w:tcPr>
          <w:p w14:paraId="5A8E6209" w14:textId="77777777" w:rsidR="00A1667A" w:rsidRPr="00367148" w:rsidRDefault="00A1667A" w:rsidP="00647C22">
            <w:pPr>
              <w:rPr>
                <w:rFonts w:ascii="新細明體" w:hAnsi="新細明體"/>
                <w:color w:val="000000" w:themeColor="text1"/>
              </w:rPr>
            </w:pPr>
          </w:p>
        </w:tc>
      </w:tr>
      <w:tr w:rsidR="00367148" w:rsidRPr="00367148" w14:paraId="50A38076" w14:textId="77777777" w:rsidTr="00260A68">
        <w:trPr>
          <w:trHeight w:val="489"/>
        </w:trPr>
        <w:tc>
          <w:tcPr>
            <w:tcW w:w="1985" w:type="dxa"/>
            <w:tcBorders>
              <w:left w:val="single" w:sz="12" w:space="0" w:color="auto"/>
            </w:tcBorders>
          </w:tcPr>
          <w:p w14:paraId="61F05155" w14:textId="77777777" w:rsidR="00A1667A" w:rsidRPr="00367148" w:rsidRDefault="00B77A59" w:rsidP="00A76D09">
            <w:pPr>
              <w:spacing w:line="420" w:lineRule="exact"/>
              <w:jc w:val="both"/>
              <w:rPr>
                <w:rFonts w:ascii="新細明體" w:hAnsi="新細明體"/>
                <w:color w:val="000000" w:themeColor="text1"/>
              </w:rPr>
            </w:pPr>
            <w:r>
              <w:rPr>
                <w:rFonts w:ascii="新細明體" w:hAnsi="新細明體" w:hint="eastAsia"/>
                <w:color w:val="000000" w:themeColor="text1"/>
                <w:spacing w:val="12"/>
              </w:rPr>
              <w:t>(FA-11110-W)</w:t>
            </w:r>
          </w:p>
          <w:p w14:paraId="5B6D1420" w14:textId="77777777" w:rsidR="00A1667A" w:rsidRPr="00367148" w:rsidRDefault="00B77A59" w:rsidP="00A76D09">
            <w:pPr>
              <w:spacing w:line="420" w:lineRule="exact"/>
              <w:jc w:val="both"/>
              <w:rPr>
                <w:rFonts w:ascii="新細明體" w:hAnsi="新細明體"/>
                <w:color w:val="000000" w:themeColor="text1"/>
              </w:rPr>
            </w:pPr>
            <w:r>
              <w:rPr>
                <w:rFonts w:ascii="新細明體" w:hAnsi="新細明體" w:hint="eastAsia"/>
                <w:color w:val="000000" w:themeColor="text1"/>
                <w:spacing w:val="12"/>
              </w:rPr>
              <w:t>普通交易帳戶：開戶手續及審核作業</w:t>
            </w:r>
          </w:p>
        </w:tc>
        <w:tc>
          <w:tcPr>
            <w:tcW w:w="9383" w:type="dxa"/>
          </w:tcPr>
          <w:p w14:paraId="02A9FF33" w14:textId="77777777" w:rsidR="00D35D76" w:rsidRDefault="00000000">
            <w:pPr>
              <w:ind w:left="449" w:hangingChars="187" w:hanging="449"/>
            </w:pPr>
            <w:r>
              <w:t>一、開戶契約之填寫內容、附件及審查程序是否完整且符合規定。</w:t>
            </w:r>
          </w:p>
          <w:p w14:paraId="4EAFE666" w14:textId="77777777" w:rsidR="00D35D76" w:rsidRDefault="00000000">
            <w:pPr>
              <w:ind w:left="449" w:hangingChars="187" w:hanging="449"/>
            </w:pPr>
            <w:r>
              <w:t>二、客戶是否無不得開戶之情事。</w:t>
            </w:r>
          </w:p>
          <w:p w14:paraId="4D26AA9A" w14:textId="77777777" w:rsidR="00D35D76" w:rsidRDefault="00000000">
            <w:pPr>
              <w:ind w:left="449" w:hangingChars="187" w:hanging="449"/>
            </w:pPr>
            <w:r>
              <w:t>三、依規得代理開戶但須函證者：</w:t>
            </w:r>
          </w:p>
          <w:p w14:paraId="5F6BB4BA" w14:textId="77777777" w:rsidR="00D35D76" w:rsidRDefault="00000000">
            <w:pPr>
              <w:ind w:leftChars="99" w:left="639" w:hangingChars="167" w:hanging="401"/>
            </w:pPr>
            <w:r>
              <w:t>(</w:t>
            </w:r>
            <w:r>
              <w:t>一</w:t>
            </w:r>
            <w:r>
              <w:t>)</w:t>
            </w:r>
            <w:r>
              <w:t>代理開戶之客戶名義非屬自然人者（境外外國人及公司於自己公司所設錯帳處理專戶除外），是否以雙掛號函證客戶依法登記所在地地址，查證有無授權開戶。</w:t>
            </w:r>
          </w:p>
          <w:p w14:paraId="42013B28" w14:textId="77777777" w:rsidR="00D35D76" w:rsidRDefault="00000000">
            <w:pPr>
              <w:ind w:leftChars="99" w:left="639" w:hangingChars="167" w:hanging="401"/>
            </w:pPr>
            <w:r>
              <w:t>(</w:t>
            </w:r>
            <w:r>
              <w:t>二</w:t>
            </w:r>
            <w:r>
              <w:t>)</w:t>
            </w:r>
            <w:r>
              <w:t>函覆結果是否無冒用開戶之情事。</w:t>
            </w:r>
          </w:p>
          <w:p w14:paraId="44474379" w14:textId="77777777" w:rsidR="00D35D76" w:rsidRDefault="00000000">
            <w:pPr>
              <w:ind w:left="449" w:hangingChars="187" w:hanging="449"/>
            </w:pPr>
            <w:r>
              <w:t>四、內部人員開戶：</w:t>
            </w:r>
          </w:p>
          <w:p w14:paraId="7CF45FE8" w14:textId="77777777" w:rsidR="00D35D76" w:rsidRDefault="00000000">
            <w:pPr>
              <w:ind w:leftChars="99" w:left="639" w:hangingChars="167" w:hanging="401"/>
            </w:pPr>
            <w:r>
              <w:t>(</w:t>
            </w:r>
            <w:r>
              <w:t>一</w:t>
            </w:r>
            <w:r>
              <w:t>)</w:t>
            </w:r>
            <w:r>
              <w:t>開戶帳號是否與其他客戶區分。</w:t>
            </w:r>
          </w:p>
          <w:p w14:paraId="46103726" w14:textId="77777777" w:rsidR="00D35D76" w:rsidRDefault="00000000">
            <w:pPr>
              <w:ind w:leftChars="99" w:left="639" w:hangingChars="167" w:hanging="401"/>
            </w:pPr>
            <w:r>
              <w:t>(</w:t>
            </w:r>
            <w:r>
              <w:t>二</w:t>
            </w:r>
            <w:r>
              <w:t>)</w:t>
            </w:r>
            <w:r>
              <w:t>原已開立之普通交易帳戶是否已註銷。</w:t>
            </w:r>
          </w:p>
          <w:p w14:paraId="77208DFC" w14:textId="77777777" w:rsidR="00D35D76" w:rsidRDefault="00000000">
            <w:pPr>
              <w:ind w:left="449" w:hangingChars="187" w:hanging="449"/>
            </w:pPr>
            <w:r>
              <w:t>五、公司受理非當面開戶，是否依相關規定及公司內部控制制度規範辦理。</w:t>
            </w:r>
          </w:p>
          <w:p w14:paraId="36F3ECF1" w14:textId="77777777" w:rsidR="00D35D76" w:rsidRDefault="00000000">
            <w:pPr>
              <w:ind w:left="449" w:hangingChars="187" w:hanging="449"/>
            </w:pPr>
            <w:r>
              <w:t>六、客戶採通信或電子化方式辦理開戶者，是否依「證券商受理線上開戶委託人身分認證及額度分級管理標準」辦理。</w:t>
            </w:r>
          </w:p>
          <w:p w14:paraId="46D59EB6" w14:textId="77777777" w:rsidR="00D35D76" w:rsidRDefault="00000000">
            <w:pPr>
              <w:ind w:left="449" w:hangingChars="187" w:hanging="449"/>
            </w:pPr>
            <w:r>
              <w:t>七、</w:t>
            </w:r>
            <w:r>
              <w:t>(</w:t>
            </w:r>
            <w:r>
              <w:t>刪除</w:t>
            </w:r>
            <w:r>
              <w:t>)</w:t>
            </w:r>
          </w:p>
          <w:p w14:paraId="0C3678B3" w14:textId="77777777" w:rsidR="00D35D76" w:rsidRDefault="00000000">
            <w:pPr>
              <w:ind w:left="449" w:hangingChars="187" w:hanging="449"/>
            </w:pPr>
            <w:r>
              <w:t>八、客戶為非法人團體者，開戶是否符合相關規定。</w:t>
            </w:r>
          </w:p>
          <w:p w14:paraId="20C11092" w14:textId="77777777" w:rsidR="00D35D76" w:rsidRDefault="00000000">
            <w:pPr>
              <w:ind w:left="449" w:hangingChars="187" w:hanging="449"/>
            </w:pPr>
            <w:r>
              <w:t>九、公司與客戶訂立契約時，是否有適當之人員審核簽約程序及客戶所提供資訊之完整性後，始得辦理。上開契約重要內容之說明，應依「金融服務業提供金融商品或服務前說明契約重要內容及揭露風險辦法」規定辦理。</w:t>
            </w:r>
          </w:p>
          <w:p w14:paraId="29A56497" w14:textId="77777777" w:rsidR="00D35D76" w:rsidRDefault="00000000">
            <w:pPr>
              <w:ind w:left="449" w:hangingChars="187" w:hanging="449"/>
            </w:pPr>
            <w:r>
              <w:t>十、客戶親臨櫃檯或開戶人員陪同營業員親至客戶處辦理開戶事宜，如透過電子載具提供電子契約書及相關文件供投資人審閱簽署，是否依證交所</w:t>
            </w:r>
            <w:r>
              <w:t>104</w:t>
            </w:r>
            <w:r>
              <w:t>年</w:t>
            </w:r>
            <w:r>
              <w:t>11</w:t>
            </w:r>
            <w:r>
              <w:t>月</w:t>
            </w:r>
            <w:r>
              <w:t>6</w:t>
            </w:r>
            <w:r>
              <w:t>日臺證輔字第</w:t>
            </w:r>
            <w:r>
              <w:t>1040022107</w:t>
            </w:r>
            <w:r>
              <w:t>號函之規定辦理。</w:t>
            </w:r>
          </w:p>
          <w:p w14:paraId="4910CD7F" w14:textId="77777777" w:rsidR="00D35D76" w:rsidRDefault="00000000">
            <w:pPr>
              <w:ind w:left="703" w:hangingChars="293" w:hanging="703"/>
            </w:pPr>
            <w:r>
              <w:t>十一、辦理依規於公司同一營業據點開立二個以上交易帳戶者，是否於委託人名稱後附加開戶理由。其中對於全權委託投資帳戶是否檢附委任人與受任人指示信函，並</w:t>
            </w:r>
            <w:r>
              <w:lastRenderedPageBreak/>
              <w:t>敘明開戶原因及名稱，帳戶名稱依第一個帳戶名稱加註第二個以上帳戶開戶原因；帳戶更名、註銷等作業亦同。</w:t>
            </w:r>
          </w:p>
          <w:p w14:paraId="24A85668" w14:textId="77777777" w:rsidR="00D35D76" w:rsidRDefault="00000000">
            <w:pPr>
              <w:ind w:left="703" w:hangingChars="293" w:hanging="703"/>
            </w:pPr>
            <w:r>
              <w:t>十二、公司由總、分公司登錄開戶經辦人員跨營業據點辦理開戶之前置作業時，是否依證交所</w:t>
            </w:r>
            <w:r>
              <w:t>106</w:t>
            </w:r>
            <w:r>
              <w:t>年</w:t>
            </w:r>
            <w:r>
              <w:t>11</w:t>
            </w:r>
            <w:r>
              <w:t>月</w:t>
            </w:r>
            <w:r>
              <w:t>1</w:t>
            </w:r>
            <w:r>
              <w:t>日臺證輔字第</w:t>
            </w:r>
            <w:r>
              <w:t>1060019339</w:t>
            </w:r>
            <w:r>
              <w:t>號函辦理。</w:t>
            </w:r>
          </w:p>
          <w:p w14:paraId="6907A261" w14:textId="77777777" w:rsidR="00D35D76" w:rsidRDefault="00000000">
            <w:pPr>
              <w:ind w:left="703" w:hangingChars="293" w:hanging="703"/>
            </w:pPr>
            <w:r>
              <w:t>十三、客戶是否檢附金融機構防制洗錢辦法規定辨識其</w:t>
            </w:r>
            <w:r>
              <w:t>(</w:t>
            </w:r>
            <w:r>
              <w:t>含實質受益人</w:t>
            </w:r>
            <w:r>
              <w:t>)</w:t>
            </w:r>
            <w:r>
              <w:t>身分之必要文件。</w:t>
            </w:r>
          </w:p>
          <w:p w14:paraId="64ED51D5" w14:textId="77777777" w:rsidR="00D35D76" w:rsidRDefault="00000000">
            <w:pPr>
              <w:ind w:left="703" w:hangingChars="293" w:hanging="703"/>
            </w:pPr>
            <w:r w:rsidRPr="00095FA0">
              <w:rPr>
                <w:strike/>
                <w:color w:val="FF0000"/>
              </w:rPr>
              <w:t>十四、是否依金融機構防制洗錢辦法規定，對於現有客戶</w:t>
            </w:r>
            <w:r w:rsidRPr="00095FA0">
              <w:rPr>
                <w:strike/>
                <w:color w:val="FF0000"/>
              </w:rPr>
              <w:t>(</w:t>
            </w:r>
            <w:r w:rsidRPr="00095FA0">
              <w:rPr>
                <w:strike/>
                <w:color w:val="FF0000"/>
              </w:rPr>
              <w:t>含實質受益人</w:t>
            </w:r>
            <w:r w:rsidRPr="00095FA0">
              <w:rPr>
                <w:strike/>
                <w:color w:val="FF0000"/>
              </w:rPr>
              <w:t>)</w:t>
            </w:r>
            <w:r w:rsidRPr="00095FA0">
              <w:rPr>
                <w:strike/>
                <w:color w:val="FF0000"/>
              </w:rPr>
              <w:t>進行持續審查事宜，並依重要性及風險程度變動情況，更新客戶及實質受益人資訊。</w:t>
            </w:r>
          </w:p>
        </w:tc>
        <w:tc>
          <w:tcPr>
            <w:tcW w:w="851" w:type="dxa"/>
          </w:tcPr>
          <w:p w14:paraId="7F69361C" w14:textId="77777777" w:rsidR="00A1667A" w:rsidRPr="00367148" w:rsidRDefault="00A1667A" w:rsidP="00647C22">
            <w:pPr>
              <w:spacing w:line="260" w:lineRule="exact"/>
              <w:jc w:val="center"/>
              <w:rPr>
                <w:rFonts w:ascii="新細明體" w:hAnsi="新細明體"/>
                <w:dstrike/>
                <w:color w:val="000000" w:themeColor="text1"/>
                <w:spacing w:val="24"/>
              </w:rPr>
            </w:pPr>
          </w:p>
        </w:tc>
        <w:tc>
          <w:tcPr>
            <w:tcW w:w="850" w:type="dxa"/>
          </w:tcPr>
          <w:p w14:paraId="024DD94B" w14:textId="77777777" w:rsidR="00A1667A" w:rsidRPr="00367148" w:rsidRDefault="00A1667A" w:rsidP="00647C22">
            <w:pPr>
              <w:spacing w:line="260" w:lineRule="exact"/>
              <w:jc w:val="center"/>
              <w:rPr>
                <w:rFonts w:ascii="新細明體" w:hAnsi="新細明體"/>
                <w:dstrike/>
                <w:color w:val="000000" w:themeColor="text1"/>
                <w:spacing w:val="24"/>
              </w:rPr>
            </w:pPr>
          </w:p>
        </w:tc>
        <w:tc>
          <w:tcPr>
            <w:tcW w:w="709" w:type="dxa"/>
          </w:tcPr>
          <w:p w14:paraId="7F95D54E" w14:textId="77777777" w:rsidR="00A1667A" w:rsidRPr="00367148" w:rsidRDefault="00A1667A" w:rsidP="00647C22">
            <w:pPr>
              <w:spacing w:line="260" w:lineRule="exact"/>
              <w:jc w:val="center"/>
              <w:rPr>
                <w:rFonts w:ascii="新細明體" w:hAnsi="新細明體"/>
                <w:dstrike/>
                <w:color w:val="000000" w:themeColor="text1"/>
                <w:spacing w:val="24"/>
              </w:rPr>
            </w:pPr>
          </w:p>
        </w:tc>
        <w:tc>
          <w:tcPr>
            <w:tcW w:w="1276" w:type="dxa"/>
            <w:tcBorders>
              <w:right w:val="single" w:sz="12" w:space="0" w:color="auto"/>
            </w:tcBorders>
          </w:tcPr>
          <w:p w14:paraId="322500FC" w14:textId="77777777" w:rsidR="00A1667A" w:rsidRPr="00367148" w:rsidRDefault="00A1667A" w:rsidP="00647C22">
            <w:pPr>
              <w:spacing w:line="260" w:lineRule="exact"/>
              <w:rPr>
                <w:rFonts w:ascii="新細明體" w:hAnsi="新細明體"/>
                <w:color w:val="000000" w:themeColor="text1"/>
              </w:rPr>
            </w:pPr>
          </w:p>
        </w:tc>
      </w:tr>
      <w:tr w:rsidR="00367148" w:rsidRPr="00367148" w14:paraId="072E8CD0" w14:textId="77777777" w:rsidTr="00455A5F">
        <w:trPr>
          <w:cantSplit/>
        </w:trPr>
        <w:tc>
          <w:tcPr>
            <w:tcW w:w="15054" w:type="dxa"/>
            <w:gridSpan w:val="6"/>
            <w:tcBorders>
              <w:left w:val="single" w:sz="12" w:space="0" w:color="auto"/>
              <w:bottom w:val="single" w:sz="12" w:space="0" w:color="auto"/>
              <w:right w:val="single" w:sz="12" w:space="0" w:color="auto"/>
            </w:tcBorders>
          </w:tcPr>
          <w:p w14:paraId="2B84228F" w14:textId="77777777" w:rsidR="00A1667A" w:rsidRPr="00367148" w:rsidRDefault="00A1667A" w:rsidP="00647C22">
            <w:pPr>
              <w:ind w:firstLine="180"/>
              <w:rPr>
                <w:rFonts w:ascii="新細明體" w:hAnsi="新細明體"/>
                <w:color w:val="000000" w:themeColor="text1"/>
              </w:rPr>
            </w:pPr>
            <w:r w:rsidRPr="00367148">
              <w:rPr>
                <w:rFonts w:ascii="新細明體" w:hAnsi="新細明體" w:hint="eastAsia"/>
                <w:color w:val="000000" w:themeColor="text1"/>
                <w:spacing w:val="24"/>
              </w:rPr>
              <w:t>備</w:t>
            </w:r>
            <w:r w:rsidR="00055C99">
              <w:rPr>
                <w:rFonts w:ascii="新細明體" w:hAnsi="新細明體" w:hint="eastAsia"/>
                <w:color w:val="000000" w:themeColor="text1"/>
                <w:spacing w:val="24"/>
              </w:rPr>
              <w:t xml:space="preserve">  </w:t>
            </w:r>
            <w:proofErr w:type="gramStart"/>
            <w:r w:rsidRPr="00367148">
              <w:rPr>
                <w:rFonts w:ascii="新細明體" w:hAnsi="新細明體" w:hint="eastAsia"/>
                <w:color w:val="000000" w:themeColor="text1"/>
                <w:spacing w:val="24"/>
              </w:rPr>
              <w:t>註</w:t>
            </w:r>
            <w:proofErr w:type="gramEnd"/>
            <w:r w:rsidRPr="00367148">
              <w:rPr>
                <w:rFonts w:ascii="新細明體" w:hAnsi="新細明體" w:hint="eastAsia"/>
                <w:color w:val="000000" w:themeColor="text1"/>
                <w:spacing w:val="24"/>
              </w:rPr>
              <w:t>：</w:t>
            </w:r>
          </w:p>
        </w:tc>
      </w:tr>
    </w:tbl>
    <w:p w14:paraId="1FDCB845" w14:textId="77777777" w:rsidR="00A24670" w:rsidRPr="00EF3852" w:rsidRDefault="00A3347B" w:rsidP="00EF3852">
      <w:pPr>
        <w:spacing w:beforeLines="50" w:before="180"/>
        <w:rPr>
          <w:rFonts w:ascii="新細明體" w:hAnsi="新細明體"/>
          <w:color w:val="000000" w:themeColor="text1"/>
          <w:spacing w:val="24"/>
          <w:u w:val="single"/>
        </w:rPr>
      </w:pPr>
      <w:r w:rsidRPr="00367148">
        <w:rPr>
          <w:rFonts w:ascii="新細明體" w:hAnsi="新細明體" w:hint="eastAsia"/>
          <w:color w:val="000000" w:themeColor="text1"/>
          <w:spacing w:val="24"/>
        </w:rPr>
        <w:t xml:space="preserve">                                                        稽核人員</w:t>
      </w:r>
      <w:r w:rsidRPr="00367148">
        <w:rPr>
          <w:rFonts w:ascii="新細明體" w:hAnsi="新細明體"/>
          <w:color w:val="000000" w:themeColor="text1"/>
          <w:spacing w:val="24"/>
        </w:rPr>
        <w:t xml:space="preserve"> </w:t>
      </w:r>
      <w:r w:rsidRPr="00367148">
        <w:rPr>
          <w:rFonts w:ascii="新細明體" w:hAnsi="新細明體" w:hint="eastAsia"/>
          <w:color w:val="000000" w:themeColor="text1"/>
          <w:spacing w:val="24"/>
          <w:u w:val="single"/>
        </w:rPr>
        <w:t xml:space="preserve">　　　　</w:t>
      </w:r>
      <w:r w:rsidRPr="00367148">
        <w:rPr>
          <w:rFonts w:ascii="新細明體" w:hAnsi="新細明體"/>
          <w:color w:val="000000" w:themeColor="text1"/>
          <w:spacing w:val="24"/>
        </w:rPr>
        <w:t xml:space="preserve"> </w:t>
      </w:r>
      <w:r w:rsidRPr="00367148">
        <w:rPr>
          <w:rFonts w:ascii="新細明體" w:hAnsi="新細明體" w:hint="eastAsia"/>
          <w:color w:val="000000" w:themeColor="text1"/>
          <w:spacing w:val="24"/>
        </w:rPr>
        <w:t>日</w:t>
      </w:r>
      <w:r w:rsidRPr="00367148">
        <w:rPr>
          <w:rFonts w:ascii="新細明體" w:hAnsi="新細明體"/>
          <w:color w:val="000000" w:themeColor="text1"/>
          <w:spacing w:val="24"/>
        </w:rPr>
        <w:t xml:space="preserve"> </w:t>
      </w:r>
      <w:r w:rsidRPr="00367148">
        <w:rPr>
          <w:rFonts w:ascii="新細明體" w:hAnsi="新細明體" w:hint="eastAsia"/>
          <w:color w:val="000000" w:themeColor="text1"/>
          <w:spacing w:val="24"/>
        </w:rPr>
        <w:t>期</w:t>
      </w:r>
      <w:r w:rsidRPr="00367148">
        <w:rPr>
          <w:rFonts w:ascii="新細明體" w:hAnsi="新細明體"/>
          <w:color w:val="000000" w:themeColor="text1"/>
          <w:spacing w:val="24"/>
        </w:rPr>
        <w:t xml:space="preserve"> </w:t>
      </w:r>
      <w:r w:rsidRPr="00367148">
        <w:rPr>
          <w:rFonts w:ascii="新細明體" w:hAnsi="新細明體" w:hint="eastAsia"/>
          <w:color w:val="000000" w:themeColor="text1"/>
          <w:spacing w:val="24"/>
          <w:u w:val="single"/>
        </w:rPr>
        <w:t xml:space="preserve">　　　　</w:t>
      </w:r>
    </w:p>
    <w:sectPr w:rsidR="00A24670" w:rsidRPr="00EF3852" w:rsidSect="00284C2E">
      <w:pgSz w:w="16838" w:h="11906" w:orient="landscape"/>
      <w:pgMar w:top="680" w:right="1134" w:bottom="6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189BD" w14:textId="77777777" w:rsidR="002944CC" w:rsidRDefault="002944CC" w:rsidP="00D253DA">
      <w:r>
        <w:separator/>
      </w:r>
    </w:p>
  </w:endnote>
  <w:endnote w:type="continuationSeparator" w:id="0">
    <w:p w14:paraId="52B044D3" w14:textId="77777777" w:rsidR="002944CC" w:rsidRDefault="002944CC" w:rsidP="00D2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A3D18" w14:textId="77777777" w:rsidR="002944CC" w:rsidRDefault="002944CC" w:rsidP="00D253DA">
      <w:r>
        <w:separator/>
      </w:r>
    </w:p>
  </w:footnote>
  <w:footnote w:type="continuationSeparator" w:id="0">
    <w:p w14:paraId="214D59B0" w14:textId="77777777" w:rsidR="002944CC" w:rsidRDefault="002944CC" w:rsidP="00D253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F7583"/>
    <w:multiLevelType w:val="multilevel"/>
    <w:tmpl w:val="B5C28946"/>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021" w:hanging="454"/>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 w15:restartNumberingAfterBreak="0">
    <w:nsid w:val="166855BE"/>
    <w:multiLevelType w:val="hybridMultilevel"/>
    <w:tmpl w:val="66AE9476"/>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51C4F1A"/>
    <w:multiLevelType w:val="hybridMultilevel"/>
    <w:tmpl w:val="5880AAC6"/>
    <w:lvl w:ilvl="0" w:tplc="F20C35DA">
      <w:start w:val="1"/>
      <w:numFmt w:val="taiwaneseCountingThousand"/>
      <w:lvlText w:val="(%1)"/>
      <w:lvlJc w:val="left"/>
      <w:pPr>
        <w:ind w:left="483" w:hanging="48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3" w15:restartNumberingAfterBreak="0">
    <w:nsid w:val="26890CFE"/>
    <w:multiLevelType w:val="hybridMultilevel"/>
    <w:tmpl w:val="36083E86"/>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B3643E6"/>
    <w:multiLevelType w:val="hybridMultilevel"/>
    <w:tmpl w:val="5F26A6B6"/>
    <w:lvl w:ilvl="0" w:tplc="D674AFE4">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F5F3B5A"/>
    <w:multiLevelType w:val="hybridMultilevel"/>
    <w:tmpl w:val="40F0A44E"/>
    <w:lvl w:ilvl="0" w:tplc="A18C01C6">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4EB15F7"/>
    <w:multiLevelType w:val="multilevel"/>
    <w:tmpl w:val="9692EEF6"/>
    <w:lvl w:ilvl="0">
      <w:start w:val="1"/>
      <w:numFmt w:val="taiwaneseCountingThousand"/>
      <w:suff w:val="space"/>
      <w:lvlText w:val="(%1)"/>
      <w:lvlJc w:val="left"/>
      <w:pPr>
        <w:ind w:left="567" w:hanging="567"/>
      </w:pPr>
      <w:rPr>
        <w:rFonts w:hint="eastAsia"/>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7" w15:restartNumberingAfterBreak="0">
    <w:nsid w:val="5C057022"/>
    <w:multiLevelType w:val="hybridMultilevel"/>
    <w:tmpl w:val="309E970E"/>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0EE4CB6"/>
    <w:multiLevelType w:val="singleLevel"/>
    <w:tmpl w:val="23DE42CC"/>
    <w:lvl w:ilvl="0">
      <w:start w:val="1"/>
      <w:numFmt w:val="taiwaneseCountingThousand"/>
      <w:pStyle w:val="1"/>
      <w:lvlText w:val="(%1)"/>
      <w:lvlJc w:val="left"/>
      <w:pPr>
        <w:tabs>
          <w:tab w:val="num" w:pos="1230"/>
        </w:tabs>
        <w:ind w:left="340" w:firstLine="170"/>
      </w:pPr>
      <w:rPr>
        <w:rFonts w:ascii="Times New Roman" w:hAnsi="Times New Roman" w:cs="Times New Roman" w:hint="eastAsia"/>
      </w:rPr>
    </w:lvl>
  </w:abstractNum>
  <w:abstractNum w:abstractNumId="9" w15:restartNumberingAfterBreak="0">
    <w:nsid w:val="615723B5"/>
    <w:multiLevelType w:val="hybridMultilevel"/>
    <w:tmpl w:val="3EB89878"/>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833986210">
    <w:abstractNumId w:val="8"/>
  </w:num>
  <w:num w:numId="2" w16cid:durableId="1140803734">
    <w:abstractNumId w:val="0"/>
  </w:num>
  <w:num w:numId="3" w16cid:durableId="118762223">
    <w:abstractNumId w:val="2"/>
  </w:num>
  <w:num w:numId="4" w16cid:durableId="696395036">
    <w:abstractNumId w:val="4"/>
  </w:num>
  <w:num w:numId="5" w16cid:durableId="1778286075">
    <w:abstractNumId w:val="5"/>
  </w:num>
  <w:num w:numId="6" w16cid:durableId="1070345503">
    <w:abstractNumId w:val="6"/>
  </w:num>
  <w:num w:numId="7" w16cid:durableId="414210760">
    <w:abstractNumId w:val="9"/>
  </w:num>
  <w:num w:numId="8" w16cid:durableId="2114980009">
    <w:abstractNumId w:val="7"/>
  </w:num>
  <w:num w:numId="9" w16cid:durableId="985864830">
    <w:abstractNumId w:val="3"/>
  </w:num>
  <w:num w:numId="10" w16cid:durableId="19724025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161"/>
    <w:rsid w:val="00012DB3"/>
    <w:rsid w:val="00013A9E"/>
    <w:rsid w:val="000216E6"/>
    <w:rsid w:val="00021C10"/>
    <w:rsid w:val="00034BB9"/>
    <w:rsid w:val="00055C99"/>
    <w:rsid w:val="00060168"/>
    <w:rsid w:val="00061E81"/>
    <w:rsid w:val="00071F35"/>
    <w:rsid w:val="000731FA"/>
    <w:rsid w:val="000733BF"/>
    <w:rsid w:val="000738D8"/>
    <w:rsid w:val="00075AC3"/>
    <w:rsid w:val="00085A58"/>
    <w:rsid w:val="00092406"/>
    <w:rsid w:val="00095FA0"/>
    <w:rsid w:val="00096F14"/>
    <w:rsid w:val="000A4AF2"/>
    <w:rsid w:val="000B1084"/>
    <w:rsid w:val="000B3E18"/>
    <w:rsid w:val="000B750B"/>
    <w:rsid w:val="000B7B71"/>
    <w:rsid w:val="000B7D5B"/>
    <w:rsid w:val="000C0D07"/>
    <w:rsid w:val="000C45D4"/>
    <w:rsid w:val="000D6B17"/>
    <w:rsid w:val="000D6E5B"/>
    <w:rsid w:val="000F37DD"/>
    <w:rsid w:val="0011220A"/>
    <w:rsid w:val="0011623D"/>
    <w:rsid w:val="00116AF7"/>
    <w:rsid w:val="00120188"/>
    <w:rsid w:val="00122D16"/>
    <w:rsid w:val="00125530"/>
    <w:rsid w:val="001267E4"/>
    <w:rsid w:val="00133DF6"/>
    <w:rsid w:val="00134ECA"/>
    <w:rsid w:val="00137DF7"/>
    <w:rsid w:val="00151762"/>
    <w:rsid w:val="00160E83"/>
    <w:rsid w:val="001635E1"/>
    <w:rsid w:val="00182897"/>
    <w:rsid w:val="00182FD3"/>
    <w:rsid w:val="00190BC6"/>
    <w:rsid w:val="001A1FD8"/>
    <w:rsid w:val="001A2FF1"/>
    <w:rsid w:val="001B4BE3"/>
    <w:rsid w:val="001C3E48"/>
    <w:rsid w:val="001C4E28"/>
    <w:rsid w:val="001D7FAD"/>
    <w:rsid w:val="001F12B7"/>
    <w:rsid w:val="002021CF"/>
    <w:rsid w:val="00206453"/>
    <w:rsid w:val="00207834"/>
    <w:rsid w:val="00230C9D"/>
    <w:rsid w:val="00234AA8"/>
    <w:rsid w:val="002376FA"/>
    <w:rsid w:val="002432F4"/>
    <w:rsid w:val="00243EA1"/>
    <w:rsid w:val="00245C15"/>
    <w:rsid w:val="00250198"/>
    <w:rsid w:val="0025675C"/>
    <w:rsid w:val="00260A68"/>
    <w:rsid w:val="00267873"/>
    <w:rsid w:val="00273D15"/>
    <w:rsid w:val="0027434F"/>
    <w:rsid w:val="0027590B"/>
    <w:rsid w:val="00284C2E"/>
    <w:rsid w:val="002944CC"/>
    <w:rsid w:val="00296A8C"/>
    <w:rsid w:val="002A03D0"/>
    <w:rsid w:val="002A1FF7"/>
    <w:rsid w:val="002A4796"/>
    <w:rsid w:val="002B134A"/>
    <w:rsid w:val="002B16A5"/>
    <w:rsid w:val="002B1B2A"/>
    <w:rsid w:val="002B4A98"/>
    <w:rsid w:val="002B50E6"/>
    <w:rsid w:val="002B69AD"/>
    <w:rsid w:val="002C3D1B"/>
    <w:rsid w:val="002C755D"/>
    <w:rsid w:val="002D06ED"/>
    <w:rsid w:val="002D51F4"/>
    <w:rsid w:val="002D5539"/>
    <w:rsid w:val="002F16DD"/>
    <w:rsid w:val="002F2436"/>
    <w:rsid w:val="002F2DFA"/>
    <w:rsid w:val="002F49F3"/>
    <w:rsid w:val="002F57B7"/>
    <w:rsid w:val="00300623"/>
    <w:rsid w:val="00300C57"/>
    <w:rsid w:val="00303D7E"/>
    <w:rsid w:val="003133E1"/>
    <w:rsid w:val="0031403A"/>
    <w:rsid w:val="00314CE7"/>
    <w:rsid w:val="00317A96"/>
    <w:rsid w:val="00317ACD"/>
    <w:rsid w:val="00325E5A"/>
    <w:rsid w:val="00334B18"/>
    <w:rsid w:val="00344123"/>
    <w:rsid w:val="00351611"/>
    <w:rsid w:val="00353B28"/>
    <w:rsid w:val="00367148"/>
    <w:rsid w:val="00374E0E"/>
    <w:rsid w:val="00382874"/>
    <w:rsid w:val="003A7FBE"/>
    <w:rsid w:val="003B26ED"/>
    <w:rsid w:val="003B5E07"/>
    <w:rsid w:val="003C20BF"/>
    <w:rsid w:val="003C754B"/>
    <w:rsid w:val="003C789F"/>
    <w:rsid w:val="003D0C59"/>
    <w:rsid w:val="003D2115"/>
    <w:rsid w:val="003E5F61"/>
    <w:rsid w:val="00400E6D"/>
    <w:rsid w:val="00410F98"/>
    <w:rsid w:val="0041457C"/>
    <w:rsid w:val="004229A3"/>
    <w:rsid w:val="00431812"/>
    <w:rsid w:val="0043293A"/>
    <w:rsid w:val="00440574"/>
    <w:rsid w:val="00440CF8"/>
    <w:rsid w:val="00444456"/>
    <w:rsid w:val="00455A5F"/>
    <w:rsid w:val="00474B4E"/>
    <w:rsid w:val="00481DE6"/>
    <w:rsid w:val="00483844"/>
    <w:rsid w:val="004A4B59"/>
    <w:rsid w:val="004A7E9E"/>
    <w:rsid w:val="004B2CD0"/>
    <w:rsid w:val="004C0F9A"/>
    <w:rsid w:val="004E16DF"/>
    <w:rsid w:val="004E330A"/>
    <w:rsid w:val="00502095"/>
    <w:rsid w:val="005034CB"/>
    <w:rsid w:val="005044EC"/>
    <w:rsid w:val="005200FE"/>
    <w:rsid w:val="005240E1"/>
    <w:rsid w:val="005327E8"/>
    <w:rsid w:val="00537B07"/>
    <w:rsid w:val="0054342D"/>
    <w:rsid w:val="0055469E"/>
    <w:rsid w:val="005610BC"/>
    <w:rsid w:val="0057123A"/>
    <w:rsid w:val="005715B0"/>
    <w:rsid w:val="00585C65"/>
    <w:rsid w:val="0059082B"/>
    <w:rsid w:val="005A204F"/>
    <w:rsid w:val="005A51E2"/>
    <w:rsid w:val="005C35E5"/>
    <w:rsid w:val="005D49C9"/>
    <w:rsid w:val="005D5E4D"/>
    <w:rsid w:val="005E0E2C"/>
    <w:rsid w:val="005E344C"/>
    <w:rsid w:val="005E3DFF"/>
    <w:rsid w:val="005F1322"/>
    <w:rsid w:val="005F5945"/>
    <w:rsid w:val="005F594B"/>
    <w:rsid w:val="005F73D1"/>
    <w:rsid w:val="00600DA5"/>
    <w:rsid w:val="00601E8C"/>
    <w:rsid w:val="006176E2"/>
    <w:rsid w:val="00647C22"/>
    <w:rsid w:val="00657C60"/>
    <w:rsid w:val="00661D33"/>
    <w:rsid w:val="00662526"/>
    <w:rsid w:val="00664E6D"/>
    <w:rsid w:val="00666D6E"/>
    <w:rsid w:val="0067139E"/>
    <w:rsid w:val="00677DAF"/>
    <w:rsid w:val="0069488D"/>
    <w:rsid w:val="0069784E"/>
    <w:rsid w:val="006A6D65"/>
    <w:rsid w:val="006B1C94"/>
    <w:rsid w:val="006B786D"/>
    <w:rsid w:val="006C4D07"/>
    <w:rsid w:val="006C63F0"/>
    <w:rsid w:val="006D034B"/>
    <w:rsid w:val="006D1078"/>
    <w:rsid w:val="006D27EC"/>
    <w:rsid w:val="00702D71"/>
    <w:rsid w:val="00711873"/>
    <w:rsid w:val="007266FF"/>
    <w:rsid w:val="007404A6"/>
    <w:rsid w:val="00751823"/>
    <w:rsid w:val="00753702"/>
    <w:rsid w:val="00753B5B"/>
    <w:rsid w:val="007665A4"/>
    <w:rsid w:val="0077161A"/>
    <w:rsid w:val="0077362B"/>
    <w:rsid w:val="00792CFF"/>
    <w:rsid w:val="00793B17"/>
    <w:rsid w:val="007A0E65"/>
    <w:rsid w:val="007B1EE6"/>
    <w:rsid w:val="007D24BE"/>
    <w:rsid w:val="007F35FA"/>
    <w:rsid w:val="007F638D"/>
    <w:rsid w:val="00810B5C"/>
    <w:rsid w:val="00820E2B"/>
    <w:rsid w:val="008264EC"/>
    <w:rsid w:val="00826633"/>
    <w:rsid w:val="00840E30"/>
    <w:rsid w:val="00843649"/>
    <w:rsid w:val="00844012"/>
    <w:rsid w:val="008456DF"/>
    <w:rsid w:val="00847DBC"/>
    <w:rsid w:val="0085118D"/>
    <w:rsid w:val="008600C2"/>
    <w:rsid w:val="0087330A"/>
    <w:rsid w:val="00877707"/>
    <w:rsid w:val="00881A04"/>
    <w:rsid w:val="008A727F"/>
    <w:rsid w:val="008B3EB3"/>
    <w:rsid w:val="008B4360"/>
    <w:rsid w:val="008C286B"/>
    <w:rsid w:val="008D1A0D"/>
    <w:rsid w:val="008D1EDA"/>
    <w:rsid w:val="008D4C3F"/>
    <w:rsid w:val="008D7020"/>
    <w:rsid w:val="008E17AE"/>
    <w:rsid w:val="008E2D90"/>
    <w:rsid w:val="008E43D1"/>
    <w:rsid w:val="009019BC"/>
    <w:rsid w:val="00902C35"/>
    <w:rsid w:val="009206D6"/>
    <w:rsid w:val="00927700"/>
    <w:rsid w:val="009305F6"/>
    <w:rsid w:val="00931E26"/>
    <w:rsid w:val="00941D42"/>
    <w:rsid w:val="00945C4A"/>
    <w:rsid w:val="00951604"/>
    <w:rsid w:val="00953424"/>
    <w:rsid w:val="00962BEB"/>
    <w:rsid w:val="00966363"/>
    <w:rsid w:val="00967E27"/>
    <w:rsid w:val="00970379"/>
    <w:rsid w:val="00971361"/>
    <w:rsid w:val="00987B0B"/>
    <w:rsid w:val="00987CC2"/>
    <w:rsid w:val="00994361"/>
    <w:rsid w:val="0099688B"/>
    <w:rsid w:val="009A180A"/>
    <w:rsid w:val="009A2B04"/>
    <w:rsid w:val="009B03EA"/>
    <w:rsid w:val="009B24C9"/>
    <w:rsid w:val="009C01DC"/>
    <w:rsid w:val="009C3B4E"/>
    <w:rsid w:val="009D2746"/>
    <w:rsid w:val="009D77E5"/>
    <w:rsid w:val="009E5794"/>
    <w:rsid w:val="00A13C80"/>
    <w:rsid w:val="00A1667A"/>
    <w:rsid w:val="00A24670"/>
    <w:rsid w:val="00A3098D"/>
    <w:rsid w:val="00A3347B"/>
    <w:rsid w:val="00A56900"/>
    <w:rsid w:val="00A569AD"/>
    <w:rsid w:val="00A573EC"/>
    <w:rsid w:val="00A600C1"/>
    <w:rsid w:val="00A60430"/>
    <w:rsid w:val="00A609E7"/>
    <w:rsid w:val="00A63D32"/>
    <w:rsid w:val="00A6543F"/>
    <w:rsid w:val="00A70465"/>
    <w:rsid w:val="00A72293"/>
    <w:rsid w:val="00A740E4"/>
    <w:rsid w:val="00A76418"/>
    <w:rsid w:val="00A7655D"/>
    <w:rsid w:val="00A76D09"/>
    <w:rsid w:val="00A77465"/>
    <w:rsid w:val="00A804B1"/>
    <w:rsid w:val="00A863BF"/>
    <w:rsid w:val="00AA60EC"/>
    <w:rsid w:val="00AB5EAE"/>
    <w:rsid w:val="00AB60C4"/>
    <w:rsid w:val="00AC2A52"/>
    <w:rsid w:val="00AD06BC"/>
    <w:rsid w:val="00AF5854"/>
    <w:rsid w:val="00AF63DE"/>
    <w:rsid w:val="00B110D2"/>
    <w:rsid w:val="00B1653A"/>
    <w:rsid w:val="00B177BF"/>
    <w:rsid w:val="00B27F48"/>
    <w:rsid w:val="00B332DA"/>
    <w:rsid w:val="00B336AA"/>
    <w:rsid w:val="00B37227"/>
    <w:rsid w:val="00B40BE3"/>
    <w:rsid w:val="00B43B3A"/>
    <w:rsid w:val="00B43B6E"/>
    <w:rsid w:val="00B47D8F"/>
    <w:rsid w:val="00B55802"/>
    <w:rsid w:val="00B60AB9"/>
    <w:rsid w:val="00B650E1"/>
    <w:rsid w:val="00B65AC9"/>
    <w:rsid w:val="00B713D7"/>
    <w:rsid w:val="00B71A4F"/>
    <w:rsid w:val="00B71AE8"/>
    <w:rsid w:val="00B771F2"/>
    <w:rsid w:val="00B77A59"/>
    <w:rsid w:val="00B936DF"/>
    <w:rsid w:val="00BB1876"/>
    <w:rsid w:val="00BC1BED"/>
    <w:rsid w:val="00BC5D94"/>
    <w:rsid w:val="00BD63B1"/>
    <w:rsid w:val="00BE01E6"/>
    <w:rsid w:val="00BE0615"/>
    <w:rsid w:val="00C01E50"/>
    <w:rsid w:val="00C02697"/>
    <w:rsid w:val="00C038B3"/>
    <w:rsid w:val="00C051C5"/>
    <w:rsid w:val="00C06685"/>
    <w:rsid w:val="00C10899"/>
    <w:rsid w:val="00C12943"/>
    <w:rsid w:val="00C13A56"/>
    <w:rsid w:val="00C40023"/>
    <w:rsid w:val="00C43224"/>
    <w:rsid w:val="00C502E5"/>
    <w:rsid w:val="00C54497"/>
    <w:rsid w:val="00C55D61"/>
    <w:rsid w:val="00C618D2"/>
    <w:rsid w:val="00C666C3"/>
    <w:rsid w:val="00C7577C"/>
    <w:rsid w:val="00C77171"/>
    <w:rsid w:val="00C80CB7"/>
    <w:rsid w:val="00C92619"/>
    <w:rsid w:val="00C9551B"/>
    <w:rsid w:val="00C97BBC"/>
    <w:rsid w:val="00CB0A40"/>
    <w:rsid w:val="00CB1E82"/>
    <w:rsid w:val="00CC0247"/>
    <w:rsid w:val="00CC1D26"/>
    <w:rsid w:val="00CE0B3B"/>
    <w:rsid w:val="00CE0FA0"/>
    <w:rsid w:val="00CE6BE7"/>
    <w:rsid w:val="00CF41F2"/>
    <w:rsid w:val="00CF7E52"/>
    <w:rsid w:val="00D0103E"/>
    <w:rsid w:val="00D054DE"/>
    <w:rsid w:val="00D13E9F"/>
    <w:rsid w:val="00D20DE0"/>
    <w:rsid w:val="00D248DD"/>
    <w:rsid w:val="00D253DA"/>
    <w:rsid w:val="00D32657"/>
    <w:rsid w:val="00D33667"/>
    <w:rsid w:val="00D35D76"/>
    <w:rsid w:val="00D4653E"/>
    <w:rsid w:val="00D5018B"/>
    <w:rsid w:val="00D56F20"/>
    <w:rsid w:val="00D61AE4"/>
    <w:rsid w:val="00D62635"/>
    <w:rsid w:val="00D70D5F"/>
    <w:rsid w:val="00D710C8"/>
    <w:rsid w:val="00D7301A"/>
    <w:rsid w:val="00D7596F"/>
    <w:rsid w:val="00D8204E"/>
    <w:rsid w:val="00D84D70"/>
    <w:rsid w:val="00DA0161"/>
    <w:rsid w:val="00DA0F1B"/>
    <w:rsid w:val="00DC040D"/>
    <w:rsid w:val="00DC6263"/>
    <w:rsid w:val="00DC6402"/>
    <w:rsid w:val="00DE027C"/>
    <w:rsid w:val="00DE4BDD"/>
    <w:rsid w:val="00E025C9"/>
    <w:rsid w:val="00E02BA5"/>
    <w:rsid w:val="00E0414A"/>
    <w:rsid w:val="00E04C37"/>
    <w:rsid w:val="00E04E52"/>
    <w:rsid w:val="00E10468"/>
    <w:rsid w:val="00E23984"/>
    <w:rsid w:val="00E26F65"/>
    <w:rsid w:val="00E32A97"/>
    <w:rsid w:val="00E42EE1"/>
    <w:rsid w:val="00E44E4E"/>
    <w:rsid w:val="00E5074E"/>
    <w:rsid w:val="00E56C42"/>
    <w:rsid w:val="00E755B9"/>
    <w:rsid w:val="00E941A9"/>
    <w:rsid w:val="00E97905"/>
    <w:rsid w:val="00EA0AA8"/>
    <w:rsid w:val="00EA7651"/>
    <w:rsid w:val="00EB45B5"/>
    <w:rsid w:val="00EB5D6D"/>
    <w:rsid w:val="00EC52A4"/>
    <w:rsid w:val="00EC64A2"/>
    <w:rsid w:val="00EC6C66"/>
    <w:rsid w:val="00ED24D4"/>
    <w:rsid w:val="00EE229C"/>
    <w:rsid w:val="00EE23B9"/>
    <w:rsid w:val="00EE3D47"/>
    <w:rsid w:val="00EE7565"/>
    <w:rsid w:val="00EF3852"/>
    <w:rsid w:val="00F02A55"/>
    <w:rsid w:val="00F166BA"/>
    <w:rsid w:val="00F23467"/>
    <w:rsid w:val="00F30173"/>
    <w:rsid w:val="00F449D4"/>
    <w:rsid w:val="00F46A33"/>
    <w:rsid w:val="00F47776"/>
    <w:rsid w:val="00F47FFD"/>
    <w:rsid w:val="00F63C22"/>
    <w:rsid w:val="00F65344"/>
    <w:rsid w:val="00F65EF0"/>
    <w:rsid w:val="00F706F6"/>
    <w:rsid w:val="00F73C25"/>
    <w:rsid w:val="00F82344"/>
    <w:rsid w:val="00F92384"/>
    <w:rsid w:val="00FA16AB"/>
    <w:rsid w:val="00FC6183"/>
    <w:rsid w:val="00FC6F5D"/>
    <w:rsid w:val="00FD13E8"/>
    <w:rsid w:val="00FD6918"/>
    <w:rsid w:val="00FE465A"/>
    <w:rsid w:val="00FF560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D2A87"/>
  <w15:chartTrackingRefBased/>
  <w15:docId w15:val="{55023042-2EA0-4443-9AA4-B220539BE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0161"/>
    <w:pPr>
      <w:widowControl w:val="0"/>
    </w:pPr>
    <w:rPr>
      <w:rFonts w:ascii="Times New Roman" w:hAnsi="Times New Roman"/>
      <w:kern w:val="2"/>
      <w:sz w:val="24"/>
    </w:rPr>
  </w:style>
  <w:style w:type="paragraph" w:styleId="10">
    <w:name w:val="heading 1"/>
    <w:basedOn w:val="a"/>
    <w:next w:val="a"/>
    <w:link w:val="11"/>
    <w:uiPriority w:val="99"/>
    <w:qFormat/>
    <w:rsid w:val="00A3347B"/>
    <w:pPr>
      <w:snapToGrid w:val="0"/>
      <w:spacing w:after="120" w:line="360" w:lineRule="atLeast"/>
      <w:jc w:val="center"/>
      <w:outlineLvl w:val="0"/>
    </w:pPr>
    <w:rPr>
      <w:rFonts w:ascii="標楷體" w:eastAsia="標楷體" w:hAnsi="Arial"/>
      <w:b/>
      <w:bCs/>
      <w:spacing w:val="10"/>
      <w:kern w:val="52"/>
      <w:sz w:val="36"/>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53DA"/>
    <w:pPr>
      <w:tabs>
        <w:tab w:val="center" w:pos="4153"/>
        <w:tab w:val="right" w:pos="8306"/>
      </w:tabs>
      <w:snapToGrid w:val="0"/>
    </w:pPr>
    <w:rPr>
      <w:kern w:val="0"/>
      <w:sz w:val="20"/>
      <w:lang w:val="x-none" w:eastAsia="x-none"/>
    </w:rPr>
  </w:style>
  <w:style w:type="character" w:customStyle="1" w:styleId="a4">
    <w:name w:val="頁首 字元"/>
    <w:link w:val="a3"/>
    <w:uiPriority w:val="99"/>
    <w:rsid w:val="00D253DA"/>
    <w:rPr>
      <w:rFonts w:ascii="Times New Roman" w:eastAsia="新細明體" w:hAnsi="Times New Roman" w:cs="Times New Roman"/>
      <w:sz w:val="20"/>
      <w:szCs w:val="20"/>
    </w:rPr>
  </w:style>
  <w:style w:type="paragraph" w:styleId="a5">
    <w:name w:val="footer"/>
    <w:basedOn w:val="a"/>
    <w:link w:val="a6"/>
    <w:uiPriority w:val="99"/>
    <w:unhideWhenUsed/>
    <w:rsid w:val="00D253DA"/>
    <w:pPr>
      <w:tabs>
        <w:tab w:val="center" w:pos="4153"/>
        <w:tab w:val="right" w:pos="8306"/>
      </w:tabs>
      <w:snapToGrid w:val="0"/>
    </w:pPr>
    <w:rPr>
      <w:kern w:val="0"/>
      <w:sz w:val="20"/>
      <w:lang w:val="x-none" w:eastAsia="x-none"/>
    </w:rPr>
  </w:style>
  <w:style w:type="character" w:customStyle="1" w:styleId="a6">
    <w:name w:val="頁尾 字元"/>
    <w:link w:val="a5"/>
    <w:uiPriority w:val="99"/>
    <w:rsid w:val="00D253DA"/>
    <w:rPr>
      <w:rFonts w:ascii="Times New Roman" w:eastAsia="新細明體" w:hAnsi="Times New Roman" w:cs="Times New Roman"/>
      <w:sz w:val="20"/>
      <w:szCs w:val="20"/>
    </w:rPr>
  </w:style>
  <w:style w:type="paragraph" w:styleId="a7">
    <w:name w:val="Balloon Text"/>
    <w:basedOn w:val="a"/>
    <w:link w:val="a8"/>
    <w:uiPriority w:val="99"/>
    <w:semiHidden/>
    <w:unhideWhenUsed/>
    <w:rsid w:val="000B3E18"/>
    <w:rPr>
      <w:rFonts w:ascii="Cambria" w:hAnsi="Cambria"/>
      <w:kern w:val="0"/>
      <w:sz w:val="18"/>
      <w:szCs w:val="18"/>
      <w:lang w:val="x-none" w:eastAsia="x-none"/>
    </w:rPr>
  </w:style>
  <w:style w:type="character" w:customStyle="1" w:styleId="a8">
    <w:name w:val="註解方塊文字 字元"/>
    <w:link w:val="a7"/>
    <w:uiPriority w:val="99"/>
    <w:semiHidden/>
    <w:rsid w:val="000B3E18"/>
    <w:rPr>
      <w:rFonts w:ascii="Cambria" w:eastAsia="新細明體" w:hAnsi="Cambria" w:cs="Times New Roman"/>
      <w:sz w:val="18"/>
      <w:szCs w:val="18"/>
    </w:rPr>
  </w:style>
  <w:style w:type="character" w:styleId="a9">
    <w:name w:val="annotation reference"/>
    <w:uiPriority w:val="99"/>
    <w:semiHidden/>
    <w:unhideWhenUsed/>
    <w:rsid w:val="005E0E2C"/>
    <w:rPr>
      <w:sz w:val="18"/>
      <w:szCs w:val="18"/>
    </w:rPr>
  </w:style>
  <w:style w:type="paragraph" w:styleId="aa">
    <w:name w:val="annotation text"/>
    <w:basedOn w:val="a"/>
    <w:link w:val="ab"/>
    <w:uiPriority w:val="99"/>
    <w:semiHidden/>
    <w:unhideWhenUsed/>
    <w:rsid w:val="005E0E2C"/>
    <w:rPr>
      <w:kern w:val="0"/>
      <w:sz w:val="20"/>
      <w:lang w:val="x-none" w:eastAsia="x-none"/>
    </w:rPr>
  </w:style>
  <w:style w:type="character" w:customStyle="1" w:styleId="ab">
    <w:name w:val="註解文字 字元"/>
    <w:link w:val="aa"/>
    <w:uiPriority w:val="99"/>
    <w:semiHidden/>
    <w:rsid w:val="005E0E2C"/>
    <w:rPr>
      <w:rFonts w:ascii="Times New Roman" w:eastAsia="新細明體" w:hAnsi="Times New Roman" w:cs="Times New Roman"/>
      <w:szCs w:val="20"/>
    </w:rPr>
  </w:style>
  <w:style w:type="paragraph" w:styleId="ac">
    <w:name w:val="annotation subject"/>
    <w:basedOn w:val="aa"/>
    <w:next w:val="aa"/>
    <w:link w:val="ad"/>
    <w:uiPriority w:val="99"/>
    <w:semiHidden/>
    <w:unhideWhenUsed/>
    <w:rsid w:val="005E0E2C"/>
    <w:rPr>
      <w:b/>
      <w:bCs/>
    </w:rPr>
  </w:style>
  <w:style w:type="character" w:customStyle="1" w:styleId="ad">
    <w:name w:val="註解主旨 字元"/>
    <w:link w:val="ac"/>
    <w:uiPriority w:val="99"/>
    <w:semiHidden/>
    <w:rsid w:val="005E0E2C"/>
    <w:rPr>
      <w:rFonts w:ascii="Times New Roman" w:eastAsia="新細明體" w:hAnsi="Times New Roman" w:cs="Times New Roman"/>
      <w:b/>
      <w:bCs/>
      <w:szCs w:val="20"/>
    </w:rPr>
  </w:style>
  <w:style w:type="character" w:customStyle="1" w:styleId="11">
    <w:name w:val="標題 1 字元"/>
    <w:link w:val="10"/>
    <w:uiPriority w:val="99"/>
    <w:rsid w:val="00A3347B"/>
    <w:rPr>
      <w:rFonts w:ascii="標楷體" w:eastAsia="標楷體" w:hAnsi="Arial" w:cs="標楷體"/>
      <w:b/>
      <w:bCs/>
      <w:spacing w:val="10"/>
      <w:kern w:val="52"/>
      <w:sz w:val="36"/>
      <w:szCs w:val="36"/>
    </w:rPr>
  </w:style>
  <w:style w:type="paragraph" w:styleId="HTML">
    <w:name w:val="HTML Preformatted"/>
    <w:basedOn w:val="a"/>
    <w:link w:val="HTML0"/>
    <w:uiPriority w:val="99"/>
    <w:rsid w:val="00A3347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olor w:val="008000"/>
      <w:kern w:val="0"/>
      <w:sz w:val="20"/>
      <w:lang w:val="x-none" w:eastAsia="x-none"/>
    </w:rPr>
  </w:style>
  <w:style w:type="character" w:customStyle="1" w:styleId="HTML0">
    <w:name w:val="HTML 預設格式 字元"/>
    <w:link w:val="HTML"/>
    <w:uiPriority w:val="99"/>
    <w:rsid w:val="00A3347B"/>
    <w:rPr>
      <w:rFonts w:ascii="細明體" w:eastAsia="細明體" w:hAnsi="Courier New" w:cs="細明體"/>
      <w:color w:val="008000"/>
    </w:rPr>
  </w:style>
  <w:style w:type="paragraph" w:styleId="ae">
    <w:name w:val="Plain Text"/>
    <w:basedOn w:val="a"/>
    <w:link w:val="af"/>
    <w:rsid w:val="00A3347B"/>
    <w:pPr>
      <w:tabs>
        <w:tab w:val="left" w:pos="1077"/>
      </w:tabs>
      <w:spacing w:line="420" w:lineRule="exact"/>
      <w:ind w:left="1077" w:right="57" w:hanging="567"/>
      <w:jc w:val="both"/>
    </w:pPr>
    <w:rPr>
      <w:rFonts w:ascii="Arial" w:hAnsi="Arial"/>
      <w:spacing w:val="24"/>
      <w:szCs w:val="24"/>
      <w:lang w:val="x-none" w:eastAsia="x-none"/>
    </w:rPr>
  </w:style>
  <w:style w:type="character" w:customStyle="1" w:styleId="af">
    <w:name w:val="純文字 字元"/>
    <w:link w:val="ae"/>
    <w:rsid w:val="00A3347B"/>
    <w:rPr>
      <w:rFonts w:ascii="Arial" w:hAnsi="Arial" w:cs="Arial"/>
      <w:spacing w:val="24"/>
      <w:kern w:val="2"/>
      <w:sz w:val="24"/>
      <w:szCs w:val="24"/>
    </w:rPr>
  </w:style>
  <w:style w:type="paragraph" w:customStyle="1" w:styleId="1">
    <w:name w:val="內控1"/>
    <w:basedOn w:val="ae"/>
    <w:rsid w:val="00A3347B"/>
    <w:pPr>
      <w:numPr>
        <w:numId w:val="1"/>
      </w:numPr>
      <w:spacing w:line="400" w:lineRule="exact"/>
    </w:pPr>
  </w:style>
  <w:style w:type="paragraph" w:styleId="af0">
    <w:name w:val="List Paragraph"/>
    <w:basedOn w:val="a"/>
    <w:uiPriority w:val="34"/>
    <w:qFormat/>
    <w:rsid w:val="000D6B17"/>
    <w:pPr>
      <w:ind w:leftChars="200" w:left="480"/>
    </w:pPr>
  </w:style>
  <w:style w:type="table" w:styleId="af1">
    <w:name w:val="Table Grid"/>
    <w:basedOn w:val="a1"/>
    <w:uiPriority w:val="59"/>
    <w:rsid w:val="00206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160</Words>
  <Characters>917</Characters>
  <Application>Microsoft Office Word</Application>
  <DocSecurity>0</DocSecurity>
  <Lines>7</Lines>
  <Paragraphs>2</Paragraphs>
  <ScaleCrop>false</ScaleCrop>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KGI</dc:creator>
  <cp:keywords/>
  <cp:lastModifiedBy>陳泓志</cp:lastModifiedBy>
  <cp:revision>26</cp:revision>
  <cp:lastPrinted>2018-07-17T03:11:00Z</cp:lastPrinted>
  <dcterms:created xsi:type="dcterms:W3CDTF">2025-05-04T09:28:00Z</dcterms:created>
  <dcterms:modified xsi:type="dcterms:W3CDTF">2025-11-20T11:10:00Z</dcterms:modified>
</cp:coreProperties>
</file>