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4F3" w14:textId="5358313F"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shd w:val="clear" w:color="auto" w:fill="auto"/>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shd w:val="clear" w:color="auto" w:fill="auto"/>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shd w:val="clear" w:color="auto" w:fill="auto"/>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shd w:val="clear" w:color="auto" w:fill="auto"/>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shd w:val="clear" w:color="auto" w:fill="auto"/>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shd w:val="clear" w:color="auto" w:fill="auto"/>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AC-17010</w:t>
            </w:r>
          </w:p>
        </w:tc>
        <w:tc>
          <w:tcPr>
            <w:tcW w:w="1276" w:type="dxa"/>
            <w:vMerge w:val="restart"/>
            <w:tcBorders>
              <w:top w:val="single" w:sz="12" w:space="0" w:color="auto"/>
            </w:tcBorders>
            <w:shd w:val="clear" w:color="auto" w:fill="auto"/>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網路安全管理之稽核</w:t>
            </w:r>
          </w:p>
          <w:p w14:paraId="67D61F46"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1C7ABC4A"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shd w:val="clear" w:color="auto" w:fill="auto"/>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5387" w:type="dxa"/>
            <w:tcBorders>
              <w:top w:val="single" w:sz="12" w:space="0" w:color="auto"/>
              <w:bottom w:val="nil"/>
            </w:tcBorders>
            <w:shd w:val="clear" w:color="auto" w:fill="auto"/>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2023" w:type="dxa"/>
            <w:vMerge w:val="restart"/>
            <w:tcBorders>
              <w:top w:val="single" w:sz="12" w:space="0" w:color="auto"/>
              <w:right w:val="single" w:sz="12" w:space="0" w:color="auto"/>
            </w:tcBorders>
            <w:shd w:val="clear" w:color="auto" w:fill="auto"/>
          </w:tcPr>
          <w:p w14:paraId="217DBB1D" w14:textId="5199FB0F"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1.調整用字一致性及範例，避免使用安全性不足之協議； 2.調整用字一致性； 3.調整用字一致性； 4.增訂上網連線管控機制規定； 5.調整用字一致性； 6.參酌「證券商辦理資通系統資通安全評估作業程序」，增訂情資評估及處理之規定。</w:t>
            </w:r>
          </w:p>
        </w:tc>
      </w:tr>
      <w:tr w:rsidR="003B3105" w:rsidRPr="00F6439B" w14:paraId="2BC6EC63" w14:textId="77777777">
        <w:tc>
          <w:tcPr>
            <w:tcW w:w="1384" w:type="dxa"/>
            <w:vMerge/>
            <w:tcBorders>
              <w:left w:val="single" w:sz="12" w:space="0" w:color="auto"/>
            </w:tcBorders>
            <w:shd w:val="clear" w:color="auto" w:fill="auto"/>
          </w:tcPr>
          <w:p w14:paraId="209BBC6A" w14:textId="77777777" w:rsidR="003B3105" w:rsidRDefault="003B3105" w:rsidP="001E533B">
            <w:pPr>
              <w:rPr>
                <w:rFonts w:ascii="新細明體" w:eastAsia="新細明體" w:hAnsi="新細明體"/>
              </w:rPr>
            </w:pPr>
          </w:p>
        </w:tc>
        <w:tc>
          <w:tcPr>
            <w:tcW w:w="1276" w:type="dxa"/>
            <w:vMerge/>
            <w:shd w:val="clear" w:color="auto" w:fill="auto"/>
          </w:tcPr>
          <w:p w14:paraId="1197E29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ADC5130" w14:textId="19549BD4"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適用網際網路下單證券商，另1~7、13~15、20~28、40、41項並適用於所有證券商</w:t>
            </w:r>
          </w:p>
        </w:tc>
        <w:tc>
          <w:tcPr>
            <w:tcW w:w="5387" w:type="dxa"/>
            <w:tcBorders>
              <w:top w:val="nil"/>
              <w:bottom w:val="nil"/>
            </w:tcBorders>
            <w:shd w:val="clear" w:color="auto" w:fill="auto"/>
          </w:tcPr>
          <w:p w14:paraId="412356DC" w14:textId="5DEAC3E5"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適用網際網路下單證券商，另1~7、13~15、20~28、40、41項並適用於所有證券商</w:t>
            </w:r>
          </w:p>
        </w:tc>
        <w:tc>
          <w:tcPr>
            <w:tcW w:w="2023" w:type="dxa"/>
            <w:vMerge/>
            <w:tcBorders>
              <w:right w:val="single" w:sz="12" w:space="0" w:color="auto"/>
            </w:tcBorders>
            <w:shd w:val="clear" w:color="auto" w:fill="auto"/>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C9EF1B" w14:textId="77777777">
        <w:tc>
          <w:tcPr>
            <w:tcW w:w="1384" w:type="dxa"/>
            <w:vMerge/>
            <w:tcBorders>
              <w:left w:val="single" w:sz="12" w:space="0" w:color="auto"/>
            </w:tcBorders>
            <w:shd w:val="clear" w:color="auto" w:fill="auto"/>
          </w:tcPr>
          <w:p w14:paraId="2B962007" w14:textId="77777777" w:rsidR="003B3105" w:rsidRDefault="003B3105" w:rsidP="001E533B">
            <w:pPr>
              <w:rPr>
                <w:rFonts w:ascii="新細明體" w:eastAsia="新細明體" w:hAnsi="新細明體"/>
              </w:rPr>
            </w:pPr>
          </w:p>
        </w:tc>
        <w:tc>
          <w:tcPr>
            <w:tcW w:w="1276" w:type="dxa"/>
            <w:vMerge/>
            <w:shd w:val="clear" w:color="auto" w:fill="auto"/>
          </w:tcPr>
          <w:p w14:paraId="3957686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94D630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(一)網路安全管理</w:t>
            </w:r>
          </w:p>
        </w:tc>
        <w:tc>
          <w:tcPr>
            <w:tcW w:w="5387" w:type="dxa"/>
            <w:tcBorders>
              <w:top w:val="nil"/>
              <w:bottom w:val="nil"/>
            </w:tcBorders>
            <w:shd w:val="clear" w:color="auto" w:fill="auto"/>
          </w:tcPr>
          <w:p w14:paraId="58DBF58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(一)網路安全管理</w:t>
            </w:r>
          </w:p>
        </w:tc>
        <w:tc>
          <w:tcPr>
            <w:tcW w:w="2023" w:type="dxa"/>
            <w:vMerge/>
            <w:tcBorders>
              <w:right w:val="single" w:sz="12" w:space="0" w:color="auto"/>
            </w:tcBorders>
            <w:shd w:val="clear" w:color="auto" w:fill="auto"/>
          </w:tcPr>
          <w:p w14:paraId="09681A6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DBDF17" w14:textId="77777777">
        <w:tc>
          <w:tcPr>
            <w:tcW w:w="1384" w:type="dxa"/>
            <w:vMerge/>
            <w:tcBorders>
              <w:left w:val="single" w:sz="12" w:space="0" w:color="auto"/>
            </w:tcBorders>
            <w:shd w:val="clear" w:color="auto" w:fill="auto"/>
          </w:tcPr>
          <w:p w14:paraId="52E6CB27" w14:textId="77777777" w:rsidR="003B3105" w:rsidRDefault="003B3105" w:rsidP="001E533B">
            <w:pPr>
              <w:rPr>
                <w:rFonts w:ascii="新細明體" w:eastAsia="新細明體" w:hAnsi="新細明體"/>
              </w:rPr>
            </w:pPr>
          </w:p>
        </w:tc>
        <w:tc>
          <w:tcPr>
            <w:tcW w:w="1276" w:type="dxa"/>
            <w:vMerge/>
            <w:shd w:val="clear" w:color="auto" w:fill="auto"/>
          </w:tcPr>
          <w:p w14:paraId="7B0C8A2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B1DFFF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1.是否定期評估自身網路系統安全(例如：作業系統、網站伺服器、瀏覽器、防火牆及防毒版本等)，並留存相關紀錄。</w:t>
            </w:r>
          </w:p>
        </w:tc>
        <w:tc>
          <w:tcPr>
            <w:tcW w:w="5387" w:type="dxa"/>
            <w:tcBorders>
              <w:top w:val="nil"/>
              <w:bottom w:val="nil"/>
            </w:tcBorders>
            <w:shd w:val="clear" w:color="auto" w:fill="auto"/>
          </w:tcPr>
          <w:p w14:paraId="38F0BCD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1.是否定期評估自身網路系統安全(例如：作業系統、網站伺服器、瀏覽器、防火牆及防毒版本等)，並留存相關紀錄。</w:t>
            </w:r>
          </w:p>
        </w:tc>
        <w:tc>
          <w:tcPr>
            <w:tcW w:w="2023" w:type="dxa"/>
            <w:vMerge/>
            <w:tcBorders>
              <w:right w:val="single" w:sz="12" w:space="0" w:color="auto"/>
            </w:tcBorders>
            <w:shd w:val="clear" w:color="auto" w:fill="auto"/>
          </w:tcPr>
          <w:p w14:paraId="068A048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512851" w14:textId="77777777">
        <w:tc>
          <w:tcPr>
            <w:tcW w:w="1384" w:type="dxa"/>
            <w:vMerge/>
            <w:tcBorders>
              <w:left w:val="single" w:sz="12" w:space="0" w:color="auto"/>
            </w:tcBorders>
            <w:shd w:val="clear" w:color="auto" w:fill="auto"/>
          </w:tcPr>
          <w:p w14:paraId="490A7CD3" w14:textId="77777777" w:rsidR="003B3105" w:rsidRDefault="003B3105" w:rsidP="001E533B">
            <w:pPr>
              <w:rPr>
                <w:rFonts w:ascii="新細明體" w:eastAsia="新細明體" w:hAnsi="新細明體"/>
              </w:rPr>
            </w:pPr>
          </w:p>
        </w:tc>
        <w:tc>
          <w:tcPr>
            <w:tcW w:w="1276" w:type="dxa"/>
            <w:vMerge/>
            <w:shd w:val="clear" w:color="auto" w:fill="auto"/>
          </w:tcPr>
          <w:p w14:paraId="3263941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1348C8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2.是否定期或適時修補網路運作環境及作業系統之安全漏洞（含伺服器、攜帶型、個人端及營業處所內供投資人共用之電腦等），並留存相關文件。</w:t>
            </w:r>
          </w:p>
        </w:tc>
        <w:tc>
          <w:tcPr>
            <w:tcW w:w="5387" w:type="dxa"/>
            <w:tcBorders>
              <w:top w:val="nil"/>
              <w:bottom w:val="nil"/>
            </w:tcBorders>
            <w:shd w:val="clear" w:color="auto" w:fill="auto"/>
          </w:tcPr>
          <w:p w14:paraId="4800A31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2.是否定期或適時修補網路運作環境及作業系統之安全漏洞（含伺服器、攜帶型、個人端及營業處所內供投資人共用之電腦等），並留存相關文件。</w:t>
            </w:r>
          </w:p>
        </w:tc>
        <w:tc>
          <w:tcPr>
            <w:tcW w:w="2023" w:type="dxa"/>
            <w:vMerge/>
            <w:tcBorders>
              <w:right w:val="single" w:sz="12" w:space="0" w:color="auto"/>
            </w:tcBorders>
            <w:shd w:val="clear" w:color="auto" w:fill="auto"/>
          </w:tcPr>
          <w:p w14:paraId="5B7C6C3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0CDE00" w14:textId="77777777">
        <w:tc>
          <w:tcPr>
            <w:tcW w:w="1384" w:type="dxa"/>
            <w:vMerge/>
            <w:tcBorders>
              <w:left w:val="single" w:sz="12" w:space="0" w:color="auto"/>
            </w:tcBorders>
            <w:shd w:val="clear" w:color="auto" w:fill="auto"/>
          </w:tcPr>
          <w:p w14:paraId="77848231" w14:textId="77777777" w:rsidR="003B3105" w:rsidRDefault="003B3105" w:rsidP="001E533B">
            <w:pPr>
              <w:rPr>
                <w:rFonts w:ascii="新細明體" w:eastAsia="新細明體" w:hAnsi="新細明體"/>
              </w:rPr>
            </w:pPr>
          </w:p>
        </w:tc>
        <w:tc>
          <w:tcPr>
            <w:tcW w:w="1276" w:type="dxa"/>
            <w:vMerge/>
            <w:shd w:val="clear" w:color="auto" w:fill="auto"/>
          </w:tcPr>
          <w:p w14:paraId="318378A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BB96DD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3.有關電腦網路安全(如資訊安全政策宣導、防範網路駭客入侵事件、電腦防毒等)之事項是否隨時對內部公告。</w:t>
            </w:r>
          </w:p>
        </w:tc>
        <w:tc>
          <w:tcPr>
            <w:tcW w:w="5387" w:type="dxa"/>
            <w:tcBorders>
              <w:top w:val="nil"/>
              <w:bottom w:val="nil"/>
            </w:tcBorders>
            <w:shd w:val="clear" w:color="auto" w:fill="auto"/>
          </w:tcPr>
          <w:p w14:paraId="33B6FD7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3.有關電腦網路安全(如資訊安全政策宣導、防範網路駭客入侵事件、電腦防毒等)之事項是否隨時對內部公告。</w:t>
            </w:r>
          </w:p>
        </w:tc>
        <w:tc>
          <w:tcPr>
            <w:tcW w:w="2023" w:type="dxa"/>
            <w:vMerge/>
            <w:tcBorders>
              <w:right w:val="single" w:sz="12" w:space="0" w:color="auto"/>
            </w:tcBorders>
            <w:shd w:val="clear" w:color="auto" w:fill="auto"/>
          </w:tcPr>
          <w:p w14:paraId="0E2762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D968A5" w14:textId="77777777">
        <w:tc>
          <w:tcPr>
            <w:tcW w:w="1384" w:type="dxa"/>
            <w:vMerge/>
            <w:tcBorders>
              <w:left w:val="single" w:sz="12" w:space="0" w:color="auto"/>
            </w:tcBorders>
            <w:shd w:val="clear" w:color="auto" w:fill="auto"/>
          </w:tcPr>
          <w:p w14:paraId="40AD5CEC" w14:textId="77777777" w:rsidR="003B3105" w:rsidRDefault="003B3105" w:rsidP="001E533B">
            <w:pPr>
              <w:rPr>
                <w:rFonts w:ascii="新細明體" w:eastAsia="新細明體" w:hAnsi="新細明體"/>
              </w:rPr>
            </w:pPr>
          </w:p>
        </w:tc>
        <w:tc>
          <w:tcPr>
            <w:tcW w:w="1276" w:type="dxa"/>
            <w:vMerge/>
            <w:shd w:val="clear" w:color="auto" w:fill="auto"/>
          </w:tcPr>
          <w:p w14:paraId="55D2A90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DABE6A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4.是否使用生命週期終止(End of Service, EOS/End of Life, EOL)之軟體及網路設備，且於到期前擬定汰除計畫，並視情況建立補償性措施。</w:t>
            </w:r>
          </w:p>
        </w:tc>
        <w:tc>
          <w:tcPr>
            <w:tcW w:w="5387" w:type="dxa"/>
            <w:tcBorders>
              <w:top w:val="nil"/>
              <w:bottom w:val="nil"/>
            </w:tcBorders>
            <w:shd w:val="clear" w:color="auto" w:fill="auto"/>
          </w:tcPr>
          <w:p w14:paraId="16BBB45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4.是否使用生命週期終止(End of Service, EOS/End of Life, EOL)之軟體及網路設備，且於到期前擬定汰除計畫，並視情況建立補償性措施。</w:t>
            </w:r>
          </w:p>
        </w:tc>
        <w:tc>
          <w:tcPr>
            <w:tcW w:w="2023" w:type="dxa"/>
            <w:vMerge/>
            <w:tcBorders>
              <w:right w:val="single" w:sz="12" w:space="0" w:color="auto"/>
            </w:tcBorders>
            <w:shd w:val="clear" w:color="auto" w:fill="auto"/>
          </w:tcPr>
          <w:p w14:paraId="3A01244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394C93" w14:textId="77777777">
        <w:tc>
          <w:tcPr>
            <w:tcW w:w="1384" w:type="dxa"/>
            <w:vMerge/>
            <w:tcBorders>
              <w:left w:val="single" w:sz="12" w:space="0" w:color="auto"/>
            </w:tcBorders>
            <w:shd w:val="clear" w:color="auto" w:fill="auto"/>
          </w:tcPr>
          <w:p w14:paraId="27906C44" w14:textId="77777777" w:rsidR="003B3105" w:rsidRDefault="003B3105" w:rsidP="001E533B">
            <w:pPr>
              <w:rPr>
                <w:rFonts w:ascii="新細明體" w:eastAsia="新細明體" w:hAnsi="新細明體"/>
              </w:rPr>
            </w:pPr>
          </w:p>
        </w:tc>
        <w:tc>
          <w:tcPr>
            <w:tcW w:w="1276" w:type="dxa"/>
            <w:vMerge/>
            <w:shd w:val="clear" w:color="auto" w:fill="auto"/>
          </w:tcPr>
          <w:p w14:paraId="6A963CE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0AA44D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5.是否建立防火牆，並設專人管理，且防火牆進出紀錄及其備份是否至少保存三年。</w:t>
            </w:r>
          </w:p>
        </w:tc>
        <w:tc>
          <w:tcPr>
            <w:tcW w:w="5387" w:type="dxa"/>
            <w:tcBorders>
              <w:top w:val="nil"/>
              <w:bottom w:val="nil"/>
            </w:tcBorders>
            <w:shd w:val="clear" w:color="auto" w:fill="auto"/>
          </w:tcPr>
          <w:p w14:paraId="3F20331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5.是否建立防火牆，並設專人管理，且防火牆進出紀錄及其備份是否至少保存三年。</w:t>
            </w:r>
          </w:p>
        </w:tc>
        <w:tc>
          <w:tcPr>
            <w:tcW w:w="2023" w:type="dxa"/>
            <w:vMerge/>
            <w:tcBorders>
              <w:right w:val="single" w:sz="12" w:space="0" w:color="auto"/>
            </w:tcBorders>
            <w:shd w:val="clear" w:color="auto" w:fill="auto"/>
          </w:tcPr>
          <w:p w14:paraId="5155CA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E4510F" w14:textId="77777777">
        <w:tc>
          <w:tcPr>
            <w:tcW w:w="1384" w:type="dxa"/>
            <w:vMerge/>
            <w:tcBorders>
              <w:left w:val="single" w:sz="12" w:space="0" w:color="auto"/>
            </w:tcBorders>
            <w:shd w:val="clear" w:color="auto" w:fill="auto"/>
          </w:tcPr>
          <w:p w14:paraId="283BA0C2" w14:textId="77777777" w:rsidR="003B3105" w:rsidRDefault="003B3105" w:rsidP="001E533B">
            <w:pPr>
              <w:rPr>
                <w:rFonts w:ascii="新細明體" w:eastAsia="新細明體" w:hAnsi="新細明體"/>
              </w:rPr>
            </w:pPr>
          </w:p>
        </w:tc>
        <w:tc>
          <w:tcPr>
            <w:tcW w:w="1276" w:type="dxa"/>
            <w:vMerge/>
            <w:shd w:val="clear" w:color="auto" w:fill="auto"/>
          </w:tcPr>
          <w:p w14:paraId="129307E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DA2B8B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6.防火牆系統之設定是否經權責主管之核准。</w:t>
            </w:r>
          </w:p>
        </w:tc>
        <w:tc>
          <w:tcPr>
            <w:tcW w:w="5387" w:type="dxa"/>
            <w:tcBorders>
              <w:top w:val="nil"/>
              <w:bottom w:val="nil"/>
            </w:tcBorders>
            <w:shd w:val="clear" w:color="auto" w:fill="auto"/>
          </w:tcPr>
          <w:p w14:paraId="56959DE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6.防火牆系統之設定是否經權責主管之核准。</w:t>
            </w:r>
          </w:p>
        </w:tc>
        <w:tc>
          <w:tcPr>
            <w:tcW w:w="2023" w:type="dxa"/>
            <w:vMerge/>
            <w:tcBorders>
              <w:right w:val="single" w:sz="12" w:space="0" w:color="auto"/>
            </w:tcBorders>
            <w:shd w:val="clear" w:color="auto" w:fill="auto"/>
          </w:tcPr>
          <w:p w14:paraId="44D8453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DE6B7B3" w14:textId="77777777">
        <w:tc>
          <w:tcPr>
            <w:tcW w:w="1384" w:type="dxa"/>
            <w:vMerge/>
            <w:tcBorders>
              <w:left w:val="single" w:sz="12" w:space="0" w:color="auto"/>
            </w:tcBorders>
            <w:shd w:val="clear" w:color="auto" w:fill="auto"/>
          </w:tcPr>
          <w:p w14:paraId="4D066C83" w14:textId="77777777" w:rsidR="003B3105" w:rsidRDefault="003B3105" w:rsidP="001E533B">
            <w:pPr>
              <w:rPr>
                <w:rFonts w:ascii="新細明體" w:eastAsia="新細明體" w:hAnsi="新細明體"/>
              </w:rPr>
            </w:pPr>
          </w:p>
        </w:tc>
        <w:tc>
          <w:tcPr>
            <w:tcW w:w="1276" w:type="dxa"/>
            <w:vMerge/>
            <w:shd w:val="clear" w:color="auto" w:fill="auto"/>
          </w:tcPr>
          <w:p w14:paraId="0A7DC30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5B0549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7.公司建立網路設備規則是否以最小授權及正面表列為原則。</w:t>
            </w:r>
          </w:p>
        </w:tc>
        <w:tc>
          <w:tcPr>
            <w:tcW w:w="5387" w:type="dxa"/>
            <w:tcBorders>
              <w:top w:val="nil"/>
              <w:bottom w:val="nil"/>
            </w:tcBorders>
            <w:shd w:val="clear" w:color="auto" w:fill="auto"/>
          </w:tcPr>
          <w:p w14:paraId="28A9E54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7.公司建立網路設備規則是否以最小授權及正面表列為原則。</w:t>
            </w:r>
          </w:p>
        </w:tc>
        <w:tc>
          <w:tcPr>
            <w:tcW w:w="2023" w:type="dxa"/>
            <w:vMerge/>
            <w:tcBorders>
              <w:right w:val="single" w:sz="12" w:space="0" w:color="auto"/>
            </w:tcBorders>
            <w:shd w:val="clear" w:color="auto" w:fill="auto"/>
          </w:tcPr>
          <w:p w14:paraId="18CE502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B7D4FB" w14:textId="77777777">
        <w:tc>
          <w:tcPr>
            <w:tcW w:w="1384" w:type="dxa"/>
            <w:vMerge/>
            <w:tcBorders>
              <w:left w:val="single" w:sz="12" w:space="0" w:color="auto"/>
            </w:tcBorders>
            <w:shd w:val="clear" w:color="auto" w:fill="auto"/>
          </w:tcPr>
          <w:p w14:paraId="57221056" w14:textId="77777777" w:rsidR="003B3105" w:rsidRDefault="003B3105" w:rsidP="001E533B">
            <w:pPr>
              <w:rPr>
                <w:rFonts w:ascii="新細明體" w:eastAsia="新細明體" w:hAnsi="新細明體"/>
              </w:rPr>
            </w:pPr>
          </w:p>
        </w:tc>
        <w:tc>
          <w:tcPr>
            <w:tcW w:w="1276" w:type="dxa"/>
            <w:vMerge/>
            <w:shd w:val="clear" w:color="auto" w:fill="auto"/>
          </w:tcPr>
          <w:p w14:paraId="50D9A9E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958DE8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8.網</w:t>
            </w:r>
            <w:r>
              <w:rPr>
                <w:rFonts w:ascii="新細明體" w:eastAsia="新細明體" w:hAnsi="新細明體" w:cs="新細明體" w:hint="eastAsia"/>
                <w:b/>
                <w:color w:val="FF0000"/>
                <w:u w:val="single"/>
              </w:rPr>
              <w:t>際網</w:t>
            </w:r>
            <w:r>
              <w:rPr>
                <w:rFonts w:ascii="新細明體" w:eastAsia="新細明體" w:hAnsi="新細明體" w:cs="新細明體" w:hint="eastAsia"/>
              </w:rPr>
              <w:t>路下單畫面是否採加密方式(例</w:t>
            </w:r>
            <w:r>
              <w:rPr>
                <w:rFonts w:ascii="新細明體" w:eastAsia="新細明體" w:hAnsi="新細明體" w:cs="新細明體" w:hint="eastAsia"/>
              </w:rPr>
              <w:lastRenderedPageBreak/>
              <w:t>如：</w:t>
            </w:r>
            <w:r>
              <w:rPr>
                <w:rFonts w:ascii="新細明體" w:eastAsia="新細明體" w:hAnsi="新細明體" w:cs="新細明體" w:hint="eastAsia"/>
                <w:b/>
                <w:color w:val="FF0000"/>
                <w:u w:val="single"/>
              </w:rPr>
              <w:t>TL</w:t>
            </w:r>
            <w:r>
              <w:rPr>
                <w:rFonts w:ascii="新細明體" w:eastAsia="新細明體" w:hAnsi="新細明體" w:cs="新細明體" w:hint="eastAsia"/>
              </w:rPr>
              <w:t>S)處理且</w:t>
            </w:r>
            <w:r>
              <w:rPr>
                <w:rFonts w:ascii="新細明體" w:eastAsia="新細明體" w:hAnsi="新細明體" w:cs="新細明體" w:hint="eastAsia"/>
                <w:b/>
                <w:color w:val="FF0000"/>
                <w:u w:val="single"/>
              </w:rPr>
              <w:t>網際</w:t>
            </w:r>
            <w:r>
              <w:rPr>
                <w:rFonts w:ascii="新細明體" w:eastAsia="新細明體" w:hAnsi="新細明體" w:cs="新細明體" w:hint="eastAsia"/>
              </w:rPr>
              <w:t>網路下單是否全面使用認證機制。</w:t>
            </w:r>
          </w:p>
        </w:tc>
        <w:tc>
          <w:tcPr>
            <w:tcW w:w="5387" w:type="dxa"/>
            <w:tcBorders>
              <w:top w:val="nil"/>
              <w:bottom w:val="nil"/>
            </w:tcBorders>
            <w:shd w:val="clear" w:color="auto" w:fill="auto"/>
          </w:tcPr>
          <w:p w14:paraId="715D134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8.網路下單畫面是否採加密方式(例如：</w:t>
            </w:r>
            <w:r>
              <w:rPr>
                <w:rFonts w:ascii="新細明體" w:eastAsia="新細明體" w:hAnsi="新細明體" w:cs="新細明體" w:hint="eastAsia"/>
                <w:b/>
                <w:color w:val="FF0000"/>
              </w:rPr>
              <w:lastRenderedPageBreak/>
              <w:t>S</w:t>
            </w:r>
            <w:r>
              <w:rPr>
                <w:rFonts w:ascii="新細明體" w:eastAsia="新細明體" w:hAnsi="新細明體" w:cs="新細明體" w:hint="eastAsia"/>
              </w:rPr>
              <w:t>S</w:t>
            </w:r>
            <w:r>
              <w:rPr>
                <w:rFonts w:ascii="新細明體" w:eastAsia="新細明體" w:hAnsi="新細明體" w:cs="新細明體" w:hint="eastAsia"/>
                <w:b/>
                <w:color w:val="FF0000"/>
              </w:rPr>
              <w:t>L</w:t>
            </w:r>
            <w:r>
              <w:rPr>
                <w:rFonts w:ascii="新細明體" w:eastAsia="新細明體" w:hAnsi="新細明體" w:cs="新細明體" w:hint="eastAsia"/>
              </w:rPr>
              <w:t>)處理且網路下單是否全面使用認證機制。</w:t>
            </w:r>
          </w:p>
        </w:tc>
        <w:tc>
          <w:tcPr>
            <w:tcW w:w="2023" w:type="dxa"/>
            <w:vMerge/>
            <w:tcBorders>
              <w:right w:val="single" w:sz="12" w:space="0" w:color="auto"/>
            </w:tcBorders>
            <w:shd w:val="clear" w:color="auto" w:fill="auto"/>
          </w:tcPr>
          <w:p w14:paraId="1AB9031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D9192D7" w14:textId="77777777">
        <w:tc>
          <w:tcPr>
            <w:tcW w:w="1384" w:type="dxa"/>
            <w:vMerge/>
            <w:tcBorders>
              <w:left w:val="single" w:sz="12" w:space="0" w:color="auto"/>
            </w:tcBorders>
            <w:shd w:val="clear" w:color="auto" w:fill="auto"/>
          </w:tcPr>
          <w:p w14:paraId="15727C4D" w14:textId="77777777" w:rsidR="003B3105" w:rsidRDefault="003B3105" w:rsidP="001E533B">
            <w:pPr>
              <w:rPr>
                <w:rFonts w:ascii="新細明體" w:eastAsia="新細明體" w:hAnsi="新細明體"/>
              </w:rPr>
            </w:pPr>
          </w:p>
        </w:tc>
        <w:tc>
          <w:tcPr>
            <w:tcW w:w="1276" w:type="dxa"/>
            <w:vMerge/>
            <w:shd w:val="clear" w:color="auto" w:fill="auto"/>
          </w:tcPr>
          <w:p w14:paraId="641744A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BB19AB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使用多因子驗證是否具下列三項之任兩項技術：(1)公司所約定之資訊，且無第三人知悉（如固定密碼、圖形鎖或手勢等）。(2)客戶所持有之實體設備（如密碼產生器、密碼卡、晶片卡、電腦、行動裝置、憑證載具等），公司應確認該設備為客戶與公司所約定持有之設備。(3)客戶提供給公司其所擁有之生物特徵（如指紋、臉部、虹膜、聲音、掌紋、靜脈、簽名等），公司應直接或間接驗證該生物特徵。</w:t>
            </w:r>
          </w:p>
        </w:tc>
        <w:tc>
          <w:tcPr>
            <w:tcW w:w="5387" w:type="dxa"/>
            <w:tcBorders>
              <w:top w:val="nil"/>
              <w:bottom w:val="nil"/>
            </w:tcBorders>
            <w:shd w:val="clear" w:color="auto" w:fill="auto"/>
          </w:tcPr>
          <w:p w14:paraId="1789A62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使用多因子驗證是否具下列三項之任兩項技術：(1)公司所約定之資訊，且無第三人知悉（如固定密碼、圖形鎖或手勢等）。(2)客戶所持有之實體設備（如密碼產生器、密碼卡、晶片卡、電腦、行動裝置、憑證載具等），公司應確認該設備為客戶與公司所約定持有之設備。(3)客戶提供給公司其所擁有之生物特徵（如指紋、臉部、虹膜、聲音、掌紋、靜脈、簽名等），公司應直接或間接驗證該生物特徵。</w:t>
            </w:r>
          </w:p>
        </w:tc>
        <w:tc>
          <w:tcPr>
            <w:tcW w:w="2023" w:type="dxa"/>
            <w:vMerge/>
            <w:tcBorders>
              <w:right w:val="single" w:sz="12" w:space="0" w:color="auto"/>
            </w:tcBorders>
            <w:shd w:val="clear" w:color="auto" w:fill="auto"/>
          </w:tcPr>
          <w:p w14:paraId="16B875F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6A0089" w14:textId="77777777">
        <w:tc>
          <w:tcPr>
            <w:tcW w:w="1384" w:type="dxa"/>
            <w:vMerge/>
            <w:tcBorders>
              <w:left w:val="single" w:sz="12" w:space="0" w:color="auto"/>
            </w:tcBorders>
            <w:shd w:val="clear" w:color="auto" w:fill="auto"/>
          </w:tcPr>
          <w:p w14:paraId="14BB185A" w14:textId="77777777" w:rsidR="003B3105" w:rsidRDefault="003B3105" w:rsidP="001E533B">
            <w:pPr>
              <w:rPr>
                <w:rFonts w:ascii="新細明體" w:eastAsia="新細明體" w:hAnsi="新細明體"/>
              </w:rPr>
            </w:pPr>
          </w:p>
        </w:tc>
        <w:tc>
          <w:tcPr>
            <w:tcW w:w="1276" w:type="dxa"/>
            <w:vMerge/>
            <w:shd w:val="clear" w:color="auto" w:fill="auto"/>
          </w:tcPr>
          <w:p w14:paraId="68A1EAC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6B94D2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10.網</w:t>
            </w:r>
            <w:r>
              <w:rPr>
                <w:rFonts w:ascii="新細明體" w:eastAsia="新細明體" w:hAnsi="新細明體" w:cs="新細明體" w:hint="eastAsia"/>
                <w:b/>
                <w:color w:val="FF0000"/>
                <w:u w:val="single"/>
              </w:rPr>
              <w:t>際網</w:t>
            </w:r>
            <w:r>
              <w:rPr>
                <w:rFonts w:ascii="新細明體" w:eastAsia="新細明體" w:hAnsi="新細明體" w:cs="新細明體" w:hint="eastAsia"/>
              </w:rPr>
              <w:t>路下單是否訂定憑證交付程序，避免非本人取得憑證。客戶申請或更新憑證下載，是否採用多因子(如：下單憑證、綁定裝置、OTP、生物辨識及SIM認證等)驗證方式，且與登入帳戶時使用之因子不同，確實辨認客戶身分並留存紀錄。</w:t>
            </w:r>
          </w:p>
        </w:tc>
        <w:tc>
          <w:tcPr>
            <w:tcW w:w="5387" w:type="dxa"/>
            <w:tcBorders>
              <w:top w:val="nil"/>
              <w:bottom w:val="nil"/>
            </w:tcBorders>
            <w:shd w:val="clear" w:color="auto" w:fill="auto"/>
          </w:tcPr>
          <w:p w14:paraId="2DD0CD9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網路下單是否訂定憑證交付程序，避免非本人取得憑證。客戶申請或更新憑證下載，是否採用多因子(如：下單憑證、綁定裝置、OTP、生物辨識及SIM認證等)驗證方式，且與登入帳戶時使用之因子不同，確實辨認客戶身分並留存紀錄。</w:t>
            </w:r>
          </w:p>
        </w:tc>
        <w:tc>
          <w:tcPr>
            <w:tcW w:w="2023" w:type="dxa"/>
            <w:vMerge/>
            <w:tcBorders>
              <w:right w:val="single" w:sz="12" w:space="0" w:color="auto"/>
            </w:tcBorders>
            <w:shd w:val="clear" w:color="auto" w:fill="auto"/>
          </w:tcPr>
          <w:p w14:paraId="3E6C1B8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349126" w14:textId="77777777">
        <w:tc>
          <w:tcPr>
            <w:tcW w:w="1384" w:type="dxa"/>
            <w:vMerge/>
            <w:tcBorders>
              <w:left w:val="single" w:sz="12" w:space="0" w:color="auto"/>
            </w:tcBorders>
            <w:shd w:val="clear" w:color="auto" w:fill="auto"/>
          </w:tcPr>
          <w:p w14:paraId="01A35B78" w14:textId="77777777" w:rsidR="003B3105" w:rsidRDefault="003B3105" w:rsidP="001E533B">
            <w:pPr>
              <w:rPr>
                <w:rFonts w:ascii="新細明體" w:eastAsia="新細明體" w:hAnsi="新細明體"/>
              </w:rPr>
            </w:pPr>
          </w:p>
        </w:tc>
        <w:tc>
          <w:tcPr>
            <w:tcW w:w="1276" w:type="dxa"/>
            <w:vMerge/>
            <w:shd w:val="clear" w:color="auto" w:fill="auto"/>
          </w:tcPr>
          <w:p w14:paraId="72F8B9F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B02715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11.公司是否於伺服器端驗證客戶交易身分及使用者帳號。</w:t>
            </w:r>
          </w:p>
        </w:tc>
        <w:tc>
          <w:tcPr>
            <w:tcW w:w="5387" w:type="dxa"/>
            <w:tcBorders>
              <w:top w:val="nil"/>
              <w:bottom w:val="nil"/>
            </w:tcBorders>
            <w:shd w:val="clear" w:color="auto" w:fill="auto"/>
          </w:tcPr>
          <w:p w14:paraId="37C25EA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11.公司是否於伺服器端驗證客戶交易身分及使用者帳號。</w:t>
            </w:r>
          </w:p>
        </w:tc>
        <w:tc>
          <w:tcPr>
            <w:tcW w:w="2023" w:type="dxa"/>
            <w:vMerge/>
            <w:tcBorders>
              <w:right w:val="single" w:sz="12" w:space="0" w:color="auto"/>
            </w:tcBorders>
            <w:shd w:val="clear" w:color="auto" w:fill="auto"/>
          </w:tcPr>
          <w:p w14:paraId="36B552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FB598C" w14:textId="77777777">
        <w:tc>
          <w:tcPr>
            <w:tcW w:w="1384" w:type="dxa"/>
            <w:vMerge/>
            <w:tcBorders>
              <w:left w:val="single" w:sz="12" w:space="0" w:color="auto"/>
            </w:tcBorders>
            <w:shd w:val="clear" w:color="auto" w:fill="auto"/>
          </w:tcPr>
          <w:p w14:paraId="2CB1533F" w14:textId="77777777" w:rsidR="003B3105" w:rsidRDefault="003B3105" w:rsidP="001E533B">
            <w:pPr>
              <w:rPr>
                <w:rFonts w:ascii="新細明體" w:eastAsia="新細明體" w:hAnsi="新細明體"/>
              </w:rPr>
            </w:pPr>
          </w:p>
        </w:tc>
        <w:tc>
          <w:tcPr>
            <w:tcW w:w="1276" w:type="dxa"/>
            <w:vMerge/>
            <w:shd w:val="clear" w:color="auto" w:fill="auto"/>
          </w:tcPr>
          <w:p w14:paraId="29D355B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B8BAE9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12.公司對電子交易身分之申請、交付、使用、更新與驗證是否訂定相關規範。</w:t>
            </w:r>
          </w:p>
        </w:tc>
        <w:tc>
          <w:tcPr>
            <w:tcW w:w="5387" w:type="dxa"/>
            <w:tcBorders>
              <w:top w:val="nil"/>
              <w:bottom w:val="nil"/>
            </w:tcBorders>
            <w:shd w:val="clear" w:color="auto" w:fill="auto"/>
          </w:tcPr>
          <w:p w14:paraId="28B676C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12.公司對電子交易身分之申請、交付、使用、更新與驗證是否訂定相關規範。</w:t>
            </w:r>
          </w:p>
        </w:tc>
        <w:tc>
          <w:tcPr>
            <w:tcW w:w="2023" w:type="dxa"/>
            <w:vMerge/>
            <w:tcBorders>
              <w:right w:val="single" w:sz="12" w:space="0" w:color="auto"/>
            </w:tcBorders>
            <w:shd w:val="clear" w:color="auto" w:fill="auto"/>
          </w:tcPr>
          <w:p w14:paraId="7AF8986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28787A" w14:textId="77777777">
        <w:tc>
          <w:tcPr>
            <w:tcW w:w="1384" w:type="dxa"/>
            <w:vMerge/>
            <w:tcBorders>
              <w:left w:val="single" w:sz="12" w:space="0" w:color="auto"/>
            </w:tcBorders>
            <w:shd w:val="clear" w:color="auto" w:fill="auto"/>
          </w:tcPr>
          <w:p w14:paraId="1EA71745" w14:textId="77777777" w:rsidR="003B3105" w:rsidRDefault="003B3105" w:rsidP="001E533B">
            <w:pPr>
              <w:rPr>
                <w:rFonts w:ascii="新細明體" w:eastAsia="新細明體" w:hAnsi="新細明體"/>
              </w:rPr>
            </w:pPr>
          </w:p>
        </w:tc>
        <w:tc>
          <w:tcPr>
            <w:tcW w:w="1276" w:type="dxa"/>
            <w:vMerge/>
            <w:shd w:val="clear" w:color="auto" w:fill="auto"/>
          </w:tcPr>
          <w:p w14:paraId="0B34698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4C0B05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13.是否定期對資通系統及資料儲存媒體進行病毒掃描(含電子郵件)。</w:t>
            </w:r>
          </w:p>
        </w:tc>
        <w:tc>
          <w:tcPr>
            <w:tcW w:w="5387" w:type="dxa"/>
            <w:tcBorders>
              <w:top w:val="nil"/>
              <w:bottom w:val="nil"/>
            </w:tcBorders>
            <w:shd w:val="clear" w:color="auto" w:fill="auto"/>
          </w:tcPr>
          <w:p w14:paraId="1F38D238"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13.是否定期對資通系統及資料儲存媒體進行病毒掃描(含電子郵件)。</w:t>
            </w:r>
          </w:p>
        </w:tc>
        <w:tc>
          <w:tcPr>
            <w:tcW w:w="2023" w:type="dxa"/>
            <w:vMerge/>
            <w:tcBorders>
              <w:right w:val="single" w:sz="12" w:space="0" w:color="auto"/>
            </w:tcBorders>
            <w:shd w:val="clear" w:color="auto" w:fill="auto"/>
          </w:tcPr>
          <w:p w14:paraId="61E56A3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CCA919" w14:textId="77777777">
        <w:tc>
          <w:tcPr>
            <w:tcW w:w="1384" w:type="dxa"/>
            <w:vMerge/>
            <w:tcBorders>
              <w:left w:val="single" w:sz="12" w:space="0" w:color="auto"/>
            </w:tcBorders>
            <w:shd w:val="clear" w:color="auto" w:fill="auto"/>
          </w:tcPr>
          <w:p w14:paraId="60A2B882" w14:textId="77777777" w:rsidR="003B3105" w:rsidRDefault="003B3105" w:rsidP="001E533B">
            <w:pPr>
              <w:rPr>
                <w:rFonts w:ascii="新細明體" w:eastAsia="新細明體" w:hAnsi="新細明體"/>
              </w:rPr>
            </w:pPr>
          </w:p>
        </w:tc>
        <w:tc>
          <w:tcPr>
            <w:tcW w:w="1276" w:type="dxa"/>
            <w:vMerge/>
            <w:shd w:val="clear" w:color="auto" w:fill="auto"/>
          </w:tcPr>
          <w:p w14:paraId="5D8D4B6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092E27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14.防毒是否涵蓋個人端（含攜帶型及營業</w:t>
            </w:r>
            <w:r>
              <w:rPr>
                <w:rFonts w:ascii="新細明體" w:eastAsia="新細明體" w:hAnsi="新細明體" w:cs="新細明體" w:hint="eastAsia"/>
              </w:rPr>
              <w:lastRenderedPageBreak/>
              <w:t>處所內供投資人共用之電腦等）及網路伺服器端電腦。</w:t>
            </w:r>
          </w:p>
        </w:tc>
        <w:tc>
          <w:tcPr>
            <w:tcW w:w="5387" w:type="dxa"/>
            <w:tcBorders>
              <w:top w:val="nil"/>
              <w:bottom w:val="nil"/>
            </w:tcBorders>
            <w:shd w:val="clear" w:color="auto" w:fill="auto"/>
          </w:tcPr>
          <w:p w14:paraId="6E0701F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14.防毒是否涵蓋個人端（含攜帶型及營業</w:t>
            </w:r>
            <w:r>
              <w:rPr>
                <w:rFonts w:ascii="新細明體" w:eastAsia="新細明體" w:hAnsi="新細明體" w:cs="新細明體" w:hint="eastAsia"/>
              </w:rPr>
              <w:lastRenderedPageBreak/>
              <w:t>處所內供投資人共用之電腦等）及網路伺服器端電腦。</w:t>
            </w:r>
          </w:p>
        </w:tc>
        <w:tc>
          <w:tcPr>
            <w:tcW w:w="2023" w:type="dxa"/>
            <w:vMerge/>
            <w:tcBorders>
              <w:right w:val="single" w:sz="12" w:space="0" w:color="auto"/>
            </w:tcBorders>
            <w:shd w:val="clear" w:color="auto" w:fill="auto"/>
          </w:tcPr>
          <w:p w14:paraId="1DE2470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BA7974" w14:textId="77777777">
        <w:tc>
          <w:tcPr>
            <w:tcW w:w="1384" w:type="dxa"/>
            <w:vMerge/>
            <w:tcBorders>
              <w:left w:val="single" w:sz="12" w:space="0" w:color="auto"/>
            </w:tcBorders>
            <w:shd w:val="clear" w:color="auto" w:fill="auto"/>
          </w:tcPr>
          <w:p w14:paraId="227FE2B9" w14:textId="77777777" w:rsidR="003B3105" w:rsidRDefault="003B3105" w:rsidP="001E533B">
            <w:pPr>
              <w:rPr>
                <w:rFonts w:ascii="新細明體" w:eastAsia="新細明體" w:hAnsi="新細明體"/>
              </w:rPr>
            </w:pPr>
          </w:p>
        </w:tc>
        <w:tc>
          <w:tcPr>
            <w:tcW w:w="1276" w:type="dxa"/>
            <w:vMerge/>
            <w:shd w:val="clear" w:color="auto" w:fill="auto"/>
          </w:tcPr>
          <w:p w14:paraId="1F29A75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C0600D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15.公司是否訂定電子郵件使用安全政策及建立郵件過濾機制，以防範電腦病毒擴散，影響電腦安全。</w:t>
            </w:r>
          </w:p>
        </w:tc>
        <w:tc>
          <w:tcPr>
            <w:tcW w:w="5387" w:type="dxa"/>
            <w:tcBorders>
              <w:top w:val="nil"/>
              <w:bottom w:val="nil"/>
            </w:tcBorders>
            <w:shd w:val="clear" w:color="auto" w:fill="auto"/>
          </w:tcPr>
          <w:p w14:paraId="2D5BD79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15.公司是否訂定電子郵件使用安全政策及建立郵件過濾機制，以防範電腦病毒擴散，影響電腦安全。</w:t>
            </w:r>
          </w:p>
        </w:tc>
        <w:tc>
          <w:tcPr>
            <w:tcW w:w="2023" w:type="dxa"/>
            <w:vMerge/>
            <w:tcBorders>
              <w:right w:val="single" w:sz="12" w:space="0" w:color="auto"/>
            </w:tcBorders>
            <w:shd w:val="clear" w:color="auto" w:fill="auto"/>
          </w:tcPr>
          <w:p w14:paraId="376B2D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E63893" w14:textId="77777777">
        <w:tc>
          <w:tcPr>
            <w:tcW w:w="1384" w:type="dxa"/>
            <w:vMerge/>
            <w:tcBorders>
              <w:left w:val="single" w:sz="12" w:space="0" w:color="auto"/>
            </w:tcBorders>
            <w:shd w:val="clear" w:color="auto" w:fill="auto"/>
          </w:tcPr>
          <w:p w14:paraId="7DD21C39" w14:textId="77777777" w:rsidR="003B3105" w:rsidRDefault="003B3105" w:rsidP="001E533B">
            <w:pPr>
              <w:rPr>
                <w:rFonts w:ascii="新細明體" w:eastAsia="新細明體" w:hAnsi="新細明體"/>
              </w:rPr>
            </w:pPr>
          </w:p>
        </w:tc>
        <w:tc>
          <w:tcPr>
            <w:tcW w:w="1276" w:type="dxa"/>
            <w:vMerge/>
            <w:shd w:val="clear" w:color="auto" w:fill="auto"/>
          </w:tcPr>
          <w:p w14:paraId="0091A2A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E1ABD4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16.是否定期檢查網</w:t>
            </w:r>
            <w:r>
              <w:rPr>
                <w:rFonts w:ascii="新細明體" w:eastAsia="新細明體" w:hAnsi="新細明體" w:cs="新細明體" w:hint="eastAsia"/>
                <w:b/>
                <w:color w:val="FF0000"/>
                <w:u w:val="single"/>
              </w:rPr>
              <w:t>際網</w:t>
            </w:r>
            <w:r>
              <w:rPr>
                <w:rFonts w:ascii="新細明體" w:eastAsia="新細明體" w:hAnsi="新細明體" w:cs="新細明體" w:hint="eastAsia"/>
              </w:rPr>
              <w:t>路下單系統提供之功能，並留存紀錄。</w:t>
            </w:r>
          </w:p>
        </w:tc>
        <w:tc>
          <w:tcPr>
            <w:tcW w:w="5387" w:type="dxa"/>
            <w:tcBorders>
              <w:top w:val="nil"/>
              <w:bottom w:val="nil"/>
            </w:tcBorders>
            <w:shd w:val="clear" w:color="auto" w:fill="auto"/>
          </w:tcPr>
          <w:p w14:paraId="12DD603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16.是否定期檢查網路下單系統提供之功能，並留存紀錄。</w:t>
            </w:r>
          </w:p>
        </w:tc>
        <w:tc>
          <w:tcPr>
            <w:tcW w:w="2023" w:type="dxa"/>
            <w:vMerge/>
            <w:tcBorders>
              <w:right w:val="single" w:sz="12" w:space="0" w:color="auto"/>
            </w:tcBorders>
            <w:shd w:val="clear" w:color="auto" w:fill="auto"/>
          </w:tcPr>
          <w:p w14:paraId="51C0B4D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806E62" w14:textId="77777777">
        <w:tc>
          <w:tcPr>
            <w:tcW w:w="1384" w:type="dxa"/>
            <w:vMerge/>
            <w:tcBorders>
              <w:left w:val="single" w:sz="12" w:space="0" w:color="auto"/>
            </w:tcBorders>
            <w:shd w:val="clear" w:color="auto" w:fill="auto"/>
          </w:tcPr>
          <w:p w14:paraId="63156081" w14:textId="77777777" w:rsidR="003B3105" w:rsidRDefault="003B3105" w:rsidP="001E533B">
            <w:pPr>
              <w:rPr>
                <w:rFonts w:ascii="新細明體" w:eastAsia="新細明體" w:hAnsi="新細明體"/>
              </w:rPr>
            </w:pPr>
          </w:p>
        </w:tc>
        <w:tc>
          <w:tcPr>
            <w:tcW w:w="1276" w:type="dxa"/>
            <w:vMerge/>
            <w:shd w:val="clear" w:color="auto" w:fill="auto"/>
          </w:tcPr>
          <w:p w14:paraId="46240D6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0240342"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17.公司提供客戶使用應用程式介面(API)服務，是否於首次下單前就相關傳輸設定進行連線測試，並留存相關測試紀錄。</w:t>
            </w:r>
          </w:p>
        </w:tc>
        <w:tc>
          <w:tcPr>
            <w:tcW w:w="5387" w:type="dxa"/>
            <w:tcBorders>
              <w:top w:val="nil"/>
              <w:bottom w:val="nil"/>
            </w:tcBorders>
            <w:shd w:val="clear" w:color="auto" w:fill="auto"/>
          </w:tcPr>
          <w:p w14:paraId="309DF41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17.公司提供客戶使用應用程式介面(API)服務，是否於首次下單前就相關傳輸設定進行連線測試，並留存相關測試紀錄。</w:t>
            </w:r>
          </w:p>
        </w:tc>
        <w:tc>
          <w:tcPr>
            <w:tcW w:w="2023" w:type="dxa"/>
            <w:vMerge/>
            <w:tcBorders>
              <w:right w:val="single" w:sz="12" w:space="0" w:color="auto"/>
            </w:tcBorders>
            <w:shd w:val="clear" w:color="auto" w:fill="auto"/>
          </w:tcPr>
          <w:p w14:paraId="36A8D1A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DF054E" w14:textId="77777777">
        <w:tc>
          <w:tcPr>
            <w:tcW w:w="1384" w:type="dxa"/>
            <w:vMerge/>
            <w:tcBorders>
              <w:left w:val="single" w:sz="12" w:space="0" w:color="auto"/>
            </w:tcBorders>
            <w:shd w:val="clear" w:color="auto" w:fill="auto"/>
          </w:tcPr>
          <w:p w14:paraId="2B17503D" w14:textId="77777777" w:rsidR="003B3105" w:rsidRDefault="003B3105" w:rsidP="001E533B">
            <w:pPr>
              <w:rPr>
                <w:rFonts w:ascii="新細明體" w:eastAsia="新細明體" w:hAnsi="新細明體"/>
              </w:rPr>
            </w:pPr>
          </w:p>
        </w:tc>
        <w:tc>
          <w:tcPr>
            <w:tcW w:w="1276" w:type="dxa"/>
            <w:vMerge/>
            <w:shd w:val="clear" w:color="auto" w:fill="auto"/>
          </w:tcPr>
          <w:p w14:paraId="386DF53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D64727A"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18.公司提供網際網路下單業務時，兼顧客戶服務品質，是否訂定網際網路下單服務品質相關標準，並包含下列重點如：交易之安全性、交易之穩定及系統可用性、提供客戶服務。</w:t>
            </w:r>
          </w:p>
        </w:tc>
        <w:tc>
          <w:tcPr>
            <w:tcW w:w="5387" w:type="dxa"/>
            <w:tcBorders>
              <w:top w:val="nil"/>
              <w:bottom w:val="nil"/>
            </w:tcBorders>
            <w:shd w:val="clear" w:color="auto" w:fill="auto"/>
          </w:tcPr>
          <w:p w14:paraId="4188A11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18.公司提供網際網路下單業務時，兼顧客戶服務品質，是否訂定網際網路下單服務品質相關標準，並包含下列重點如：交易之安全性、交易之穩定及系統可用性、提供客戶服務。</w:t>
            </w:r>
          </w:p>
        </w:tc>
        <w:tc>
          <w:tcPr>
            <w:tcW w:w="2023" w:type="dxa"/>
            <w:vMerge/>
            <w:tcBorders>
              <w:right w:val="single" w:sz="12" w:space="0" w:color="auto"/>
            </w:tcBorders>
            <w:shd w:val="clear" w:color="auto" w:fill="auto"/>
          </w:tcPr>
          <w:p w14:paraId="3197CEA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D20D64" w14:textId="77777777">
        <w:tc>
          <w:tcPr>
            <w:tcW w:w="1384" w:type="dxa"/>
            <w:vMerge/>
            <w:tcBorders>
              <w:left w:val="single" w:sz="12" w:space="0" w:color="auto"/>
            </w:tcBorders>
            <w:shd w:val="clear" w:color="auto" w:fill="auto"/>
          </w:tcPr>
          <w:p w14:paraId="31DB3CC1" w14:textId="77777777" w:rsidR="003B3105" w:rsidRDefault="003B3105" w:rsidP="001E533B">
            <w:pPr>
              <w:rPr>
                <w:rFonts w:ascii="新細明體" w:eastAsia="新細明體" w:hAnsi="新細明體"/>
              </w:rPr>
            </w:pPr>
          </w:p>
        </w:tc>
        <w:tc>
          <w:tcPr>
            <w:tcW w:w="1276" w:type="dxa"/>
            <w:vMerge/>
            <w:shd w:val="clear" w:color="auto" w:fill="auto"/>
          </w:tcPr>
          <w:p w14:paraId="42B6938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1466C98"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19.是否就提供外部連線使用網路系統偵測網頁與程式異動、記錄並通知相關人員處理。</w:t>
            </w:r>
          </w:p>
        </w:tc>
        <w:tc>
          <w:tcPr>
            <w:tcW w:w="5387" w:type="dxa"/>
            <w:tcBorders>
              <w:top w:val="nil"/>
              <w:bottom w:val="nil"/>
            </w:tcBorders>
            <w:shd w:val="clear" w:color="auto" w:fill="auto"/>
          </w:tcPr>
          <w:p w14:paraId="35C0F928"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19.是否就提供外部連線使用網路系統偵測網頁與程式異動、記錄並通知相關人員處理。</w:t>
            </w:r>
          </w:p>
        </w:tc>
        <w:tc>
          <w:tcPr>
            <w:tcW w:w="2023" w:type="dxa"/>
            <w:vMerge/>
            <w:tcBorders>
              <w:right w:val="single" w:sz="12" w:space="0" w:color="auto"/>
            </w:tcBorders>
            <w:shd w:val="clear" w:color="auto" w:fill="auto"/>
          </w:tcPr>
          <w:p w14:paraId="472349C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4B2AA1" w14:textId="77777777">
        <w:tc>
          <w:tcPr>
            <w:tcW w:w="1384" w:type="dxa"/>
            <w:vMerge/>
            <w:tcBorders>
              <w:left w:val="single" w:sz="12" w:space="0" w:color="auto"/>
            </w:tcBorders>
            <w:shd w:val="clear" w:color="auto" w:fill="auto"/>
          </w:tcPr>
          <w:p w14:paraId="285894B7" w14:textId="77777777" w:rsidR="003B3105" w:rsidRDefault="003B3105" w:rsidP="001E533B">
            <w:pPr>
              <w:rPr>
                <w:rFonts w:ascii="新細明體" w:eastAsia="新細明體" w:hAnsi="新細明體"/>
              </w:rPr>
            </w:pPr>
          </w:p>
        </w:tc>
        <w:tc>
          <w:tcPr>
            <w:tcW w:w="1276" w:type="dxa"/>
            <w:vMerge/>
            <w:shd w:val="clear" w:color="auto" w:fill="auto"/>
          </w:tcPr>
          <w:p w14:paraId="694DECB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D7F508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20.公司網路是否依用途區分為DMZ、營運環境、測試環境及其他環境，並有適當區隔機制(如防火牆、虛擬區域網路、實體隔離等)。</w:t>
            </w:r>
          </w:p>
        </w:tc>
        <w:tc>
          <w:tcPr>
            <w:tcW w:w="5387" w:type="dxa"/>
            <w:tcBorders>
              <w:top w:val="nil"/>
              <w:bottom w:val="nil"/>
            </w:tcBorders>
            <w:shd w:val="clear" w:color="auto" w:fill="auto"/>
          </w:tcPr>
          <w:p w14:paraId="4841CE72"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20.公司網路是否依用途區分為DMZ、營運環境、測試環境及其他環境，並有適當區隔機制(如防火牆、虛擬區域網路、實體隔離等)。</w:t>
            </w:r>
          </w:p>
        </w:tc>
        <w:tc>
          <w:tcPr>
            <w:tcW w:w="2023" w:type="dxa"/>
            <w:vMerge/>
            <w:tcBorders>
              <w:right w:val="single" w:sz="12" w:space="0" w:color="auto"/>
            </w:tcBorders>
            <w:shd w:val="clear" w:color="auto" w:fill="auto"/>
          </w:tcPr>
          <w:p w14:paraId="1F99BF4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0660F6" w14:textId="77777777">
        <w:tc>
          <w:tcPr>
            <w:tcW w:w="1384" w:type="dxa"/>
            <w:vMerge/>
            <w:tcBorders>
              <w:left w:val="single" w:sz="12" w:space="0" w:color="auto"/>
            </w:tcBorders>
            <w:shd w:val="clear" w:color="auto" w:fill="auto"/>
          </w:tcPr>
          <w:p w14:paraId="26AF52A8" w14:textId="77777777" w:rsidR="003B3105" w:rsidRDefault="003B3105" w:rsidP="001E533B">
            <w:pPr>
              <w:rPr>
                <w:rFonts w:ascii="新細明體" w:eastAsia="新細明體" w:hAnsi="新細明體"/>
              </w:rPr>
            </w:pPr>
          </w:p>
        </w:tc>
        <w:tc>
          <w:tcPr>
            <w:tcW w:w="1276" w:type="dxa"/>
            <w:vMerge/>
            <w:shd w:val="clear" w:color="auto" w:fill="auto"/>
          </w:tcPr>
          <w:p w14:paraId="2F02CDA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998323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21.個人資料及機敏資料是否存放於安全的網路區域，不得存放於網際網路等區域。</w:t>
            </w:r>
          </w:p>
        </w:tc>
        <w:tc>
          <w:tcPr>
            <w:tcW w:w="5387" w:type="dxa"/>
            <w:tcBorders>
              <w:top w:val="nil"/>
              <w:bottom w:val="nil"/>
            </w:tcBorders>
            <w:shd w:val="clear" w:color="auto" w:fill="auto"/>
          </w:tcPr>
          <w:p w14:paraId="7ECC65A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21.個人資料及機敏資料是否存放於安全的網路區域，不得存放於網際網路等區域。</w:t>
            </w:r>
          </w:p>
        </w:tc>
        <w:tc>
          <w:tcPr>
            <w:tcW w:w="2023" w:type="dxa"/>
            <w:vMerge/>
            <w:tcBorders>
              <w:right w:val="single" w:sz="12" w:space="0" w:color="auto"/>
            </w:tcBorders>
            <w:shd w:val="clear" w:color="auto" w:fill="auto"/>
          </w:tcPr>
          <w:p w14:paraId="02650F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6E8DD8" w14:textId="77777777">
        <w:tc>
          <w:tcPr>
            <w:tcW w:w="1384" w:type="dxa"/>
            <w:vMerge/>
            <w:tcBorders>
              <w:left w:val="single" w:sz="12" w:space="0" w:color="auto"/>
            </w:tcBorders>
            <w:shd w:val="clear" w:color="auto" w:fill="auto"/>
          </w:tcPr>
          <w:p w14:paraId="61C2BA59" w14:textId="77777777" w:rsidR="003B3105" w:rsidRDefault="003B3105" w:rsidP="001E533B">
            <w:pPr>
              <w:rPr>
                <w:rFonts w:ascii="新細明體" w:eastAsia="新細明體" w:hAnsi="新細明體"/>
              </w:rPr>
            </w:pPr>
          </w:p>
        </w:tc>
        <w:tc>
          <w:tcPr>
            <w:tcW w:w="1276" w:type="dxa"/>
            <w:vMerge/>
            <w:shd w:val="clear" w:color="auto" w:fill="auto"/>
          </w:tcPr>
          <w:p w14:paraId="0673D85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53FBD6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22.系統是否僅開啟必要之服務及程式，未使用之服務功能是否關閉。</w:t>
            </w:r>
          </w:p>
        </w:tc>
        <w:tc>
          <w:tcPr>
            <w:tcW w:w="5387" w:type="dxa"/>
            <w:tcBorders>
              <w:top w:val="nil"/>
              <w:bottom w:val="nil"/>
            </w:tcBorders>
            <w:shd w:val="clear" w:color="auto" w:fill="auto"/>
          </w:tcPr>
          <w:p w14:paraId="1950ED0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22.系統是否僅開啟必要之服務及程式，未使用之服務功能是否關閉。</w:t>
            </w:r>
          </w:p>
        </w:tc>
        <w:tc>
          <w:tcPr>
            <w:tcW w:w="2023" w:type="dxa"/>
            <w:vMerge/>
            <w:tcBorders>
              <w:right w:val="single" w:sz="12" w:space="0" w:color="auto"/>
            </w:tcBorders>
            <w:shd w:val="clear" w:color="auto" w:fill="auto"/>
          </w:tcPr>
          <w:p w14:paraId="50A322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EC9CB3" w14:textId="77777777">
        <w:tc>
          <w:tcPr>
            <w:tcW w:w="1384" w:type="dxa"/>
            <w:vMerge/>
            <w:tcBorders>
              <w:left w:val="single" w:sz="12" w:space="0" w:color="auto"/>
            </w:tcBorders>
            <w:shd w:val="clear" w:color="auto" w:fill="auto"/>
          </w:tcPr>
          <w:p w14:paraId="3544640C" w14:textId="77777777" w:rsidR="003B3105" w:rsidRDefault="003B3105" w:rsidP="001E533B">
            <w:pPr>
              <w:rPr>
                <w:rFonts w:ascii="新細明體" w:eastAsia="新細明體" w:hAnsi="新細明體"/>
              </w:rPr>
            </w:pPr>
          </w:p>
        </w:tc>
        <w:tc>
          <w:tcPr>
            <w:tcW w:w="1276" w:type="dxa"/>
            <w:vMerge/>
            <w:shd w:val="clear" w:color="auto" w:fill="auto"/>
          </w:tcPr>
          <w:p w14:paraId="1BBEEC4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67AA042"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23.公司是否建立遠端連線管理辦法，對使</w:t>
            </w:r>
            <w:r>
              <w:rPr>
                <w:rFonts w:ascii="新細明體" w:eastAsia="新細明體" w:hAnsi="新細明體" w:cs="新細明體" w:hint="eastAsia"/>
              </w:rPr>
              <w:lastRenderedPageBreak/>
              <w:t>用外部網路遠端連線至公司內部作業進行控管及多因子身分認證，留存相關維護紀錄並由權責主管定期覆核。</w:t>
            </w:r>
          </w:p>
        </w:tc>
        <w:tc>
          <w:tcPr>
            <w:tcW w:w="5387" w:type="dxa"/>
            <w:tcBorders>
              <w:top w:val="nil"/>
              <w:bottom w:val="nil"/>
            </w:tcBorders>
            <w:shd w:val="clear" w:color="auto" w:fill="auto"/>
          </w:tcPr>
          <w:p w14:paraId="2962B64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23.公司是否建立遠端連線管理辦法，對使</w:t>
            </w:r>
            <w:r>
              <w:rPr>
                <w:rFonts w:ascii="新細明體" w:eastAsia="新細明體" w:hAnsi="新細明體" w:cs="新細明體" w:hint="eastAsia"/>
              </w:rPr>
              <w:lastRenderedPageBreak/>
              <w:t>用外部網路遠端連線至公司內部作業進行控管及多因子身分認證，留存相關維護紀錄並由權責主管定期覆核。</w:t>
            </w:r>
          </w:p>
        </w:tc>
        <w:tc>
          <w:tcPr>
            <w:tcW w:w="2023" w:type="dxa"/>
            <w:vMerge/>
            <w:tcBorders>
              <w:right w:val="single" w:sz="12" w:space="0" w:color="auto"/>
            </w:tcBorders>
            <w:shd w:val="clear" w:color="auto" w:fill="auto"/>
          </w:tcPr>
          <w:p w14:paraId="4AF6B0E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6FA79E" w14:textId="77777777">
        <w:tc>
          <w:tcPr>
            <w:tcW w:w="1384" w:type="dxa"/>
            <w:vMerge/>
            <w:tcBorders>
              <w:left w:val="single" w:sz="12" w:space="0" w:color="auto"/>
            </w:tcBorders>
            <w:shd w:val="clear" w:color="auto" w:fill="auto"/>
          </w:tcPr>
          <w:p w14:paraId="34446D9F" w14:textId="77777777" w:rsidR="003B3105" w:rsidRDefault="003B3105" w:rsidP="001E533B">
            <w:pPr>
              <w:rPr>
                <w:rFonts w:ascii="新細明體" w:eastAsia="新細明體" w:hAnsi="新細明體"/>
              </w:rPr>
            </w:pPr>
          </w:p>
        </w:tc>
        <w:tc>
          <w:tcPr>
            <w:tcW w:w="1276" w:type="dxa"/>
            <w:vMerge/>
            <w:shd w:val="clear" w:color="auto" w:fill="auto"/>
          </w:tcPr>
          <w:p w14:paraId="402E4A7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AECCCE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24.公司是否每年定期檢視並維護防火牆存取控管設定，每半年檢視DMZ區之防火牆規則，是否包含評估高風險設定及六個月內無流量之防火牆之必要性，及針對已下線資通系統於六個月內是否調整或停用該規則，並留存相關檢視紀錄。</w:t>
            </w:r>
          </w:p>
        </w:tc>
        <w:tc>
          <w:tcPr>
            <w:tcW w:w="5387" w:type="dxa"/>
            <w:tcBorders>
              <w:top w:val="nil"/>
              <w:bottom w:val="nil"/>
            </w:tcBorders>
            <w:shd w:val="clear" w:color="auto" w:fill="auto"/>
          </w:tcPr>
          <w:p w14:paraId="797D301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24.公司是否每年定期檢視並維護防火牆存取控管設定，每半年檢視DMZ區之防火牆規則，是否包含評估高風險設定及六個月內無流量之防火牆之必要性，及針對已下線資通系統於六個月內是否調整或停用該規則，並留存相關檢視紀錄。</w:t>
            </w:r>
          </w:p>
        </w:tc>
        <w:tc>
          <w:tcPr>
            <w:tcW w:w="2023" w:type="dxa"/>
            <w:vMerge/>
            <w:tcBorders>
              <w:right w:val="single" w:sz="12" w:space="0" w:color="auto"/>
            </w:tcBorders>
            <w:shd w:val="clear" w:color="auto" w:fill="auto"/>
          </w:tcPr>
          <w:p w14:paraId="52AB372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808279" w14:textId="77777777">
        <w:tc>
          <w:tcPr>
            <w:tcW w:w="1384" w:type="dxa"/>
            <w:vMerge/>
            <w:tcBorders>
              <w:left w:val="single" w:sz="12" w:space="0" w:color="auto"/>
            </w:tcBorders>
            <w:shd w:val="clear" w:color="auto" w:fill="auto"/>
          </w:tcPr>
          <w:p w14:paraId="0F7E00B7" w14:textId="77777777" w:rsidR="003B3105" w:rsidRDefault="003B3105" w:rsidP="001E533B">
            <w:pPr>
              <w:rPr>
                <w:rFonts w:ascii="新細明體" w:eastAsia="新細明體" w:hAnsi="新細明體"/>
              </w:rPr>
            </w:pPr>
          </w:p>
        </w:tc>
        <w:tc>
          <w:tcPr>
            <w:tcW w:w="1276" w:type="dxa"/>
            <w:vMerge/>
            <w:shd w:val="clear" w:color="auto" w:fill="auto"/>
          </w:tcPr>
          <w:p w14:paraId="6FEE155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BB49E0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25.公司是否至少每年檢視一次對外網路設備規則，並留存相關紀錄。</w:t>
            </w:r>
          </w:p>
        </w:tc>
        <w:tc>
          <w:tcPr>
            <w:tcW w:w="5387" w:type="dxa"/>
            <w:tcBorders>
              <w:top w:val="nil"/>
              <w:bottom w:val="nil"/>
            </w:tcBorders>
            <w:shd w:val="clear" w:color="auto" w:fill="auto"/>
          </w:tcPr>
          <w:p w14:paraId="7B1FC8C2"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25.公司是否至少每年檢視一次對外網路設備規則，並留存相關紀錄。</w:t>
            </w:r>
          </w:p>
        </w:tc>
        <w:tc>
          <w:tcPr>
            <w:tcW w:w="2023" w:type="dxa"/>
            <w:vMerge/>
            <w:tcBorders>
              <w:right w:val="single" w:sz="12" w:space="0" w:color="auto"/>
            </w:tcBorders>
            <w:shd w:val="clear" w:color="auto" w:fill="auto"/>
          </w:tcPr>
          <w:p w14:paraId="0D65C69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8352EA" w14:textId="77777777">
        <w:tc>
          <w:tcPr>
            <w:tcW w:w="1384" w:type="dxa"/>
            <w:vMerge/>
            <w:tcBorders>
              <w:left w:val="single" w:sz="12" w:space="0" w:color="auto"/>
            </w:tcBorders>
            <w:shd w:val="clear" w:color="auto" w:fill="auto"/>
          </w:tcPr>
          <w:p w14:paraId="211A19DA" w14:textId="77777777" w:rsidR="003B3105" w:rsidRDefault="003B3105" w:rsidP="001E533B">
            <w:pPr>
              <w:rPr>
                <w:rFonts w:ascii="新細明體" w:eastAsia="新細明體" w:hAnsi="新細明體"/>
              </w:rPr>
            </w:pPr>
          </w:p>
        </w:tc>
        <w:tc>
          <w:tcPr>
            <w:tcW w:w="1276" w:type="dxa"/>
            <w:vMerge/>
            <w:shd w:val="clear" w:color="auto" w:fill="auto"/>
          </w:tcPr>
          <w:p w14:paraId="015E750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FBC1CD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26.公司是否建立軟體白名單</w:t>
            </w:r>
            <w:r>
              <w:rPr>
                <w:rFonts w:ascii="新細明體" w:eastAsia="新細明體" w:hAnsi="新細明體" w:cs="新細明體" w:hint="eastAsia"/>
                <w:b/>
                <w:color w:val="FF0000"/>
                <w:u w:val="single"/>
              </w:rPr>
              <w:t>及上網</w:t>
            </w:r>
            <w:r>
              <w:rPr>
                <w:rFonts w:ascii="新細明體" w:eastAsia="新細明體" w:hAnsi="新細明體" w:cs="新細明體" w:hint="eastAsia"/>
              </w:rPr>
              <w:t>控管機制。</w:t>
            </w:r>
          </w:p>
        </w:tc>
        <w:tc>
          <w:tcPr>
            <w:tcW w:w="5387" w:type="dxa"/>
            <w:tcBorders>
              <w:top w:val="nil"/>
              <w:bottom w:val="nil"/>
            </w:tcBorders>
            <w:shd w:val="clear" w:color="auto" w:fill="auto"/>
          </w:tcPr>
          <w:p w14:paraId="0EAACCF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26.公司是否建立軟體白名單控管機制。</w:t>
            </w:r>
          </w:p>
        </w:tc>
        <w:tc>
          <w:tcPr>
            <w:tcW w:w="2023" w:type="dxa"/>
            <w:vMerge/>
            <w:tcBorders>
              <w:right w:val="single" w:sz="12" w:space="0" w:color="auto"/>
            </w:tcBorders>
            <w:shd w:val="clear" w:color="auto" w:fill="auto"/>
          </w:tcPr>
          <w:p w14:paraId="49858D1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A87DFD" w14:textId="77777777">
        <w:tc>
          <w:tcPr>
            <w:tcW w:w="1384" w:type="dxa"/>
            <w:vMerge/>
            <w:tcBorders>
              <w:left w:val="single" w:sz="12" w:space="0" w:color="auto"/>
            </w:tcBorders>
            <w:shd w:val="clear" w:color="auto" w:fill="auto"/>
          </w:tcPr>
          <w:p w14:paraId="00108DD0" w14:textId="77777777" w:rsidR="003B3105" w:rsidRDefault="003B3105" w:rsidP="001E533B">
            <w:pPr>
              <w:rPr>
                <w:rFonts w:ascii="新細明體" w:eastAsia="新細明體" w:hAnsi="新細明體"/>
              </w:rPr>
            </w:pPr>
          </w:p>
        </w:tc>
        <w:tc>
          <w:tcPr>
            <w:tcW w:w="1276" w:type="dxa"/>
            <w:vMerge/>
            <w:shd w:val="clear" w:color="auto" w:fill="auto"/>
          </w:tcPr>
          <w:p w14:paraId="161D1DE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6103F3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27.公司是否偵測釣魚網站及惡意網站連結並提醒客戶防範網路釣魚。</w:t>
            </w:r>
          </w:p>
        </w:tc>
        <w:tc>
          <w:tcPr>
            <w:tcW w:w="5387" w:type="dxa"/>
            <w:tcBorders>
              <w:top w:val="nil"/>
              <w:bottom w:val="nil"/>
            </w:tcBorders>
            <w:shd w:val="clear" w:color="auto" w:fill="auto"/>
          </w:tcPr>
          <w:p w14:paraId="68561FDA"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27.公司是否偵測釣魚網站及惡意網站連結並提醒客戶防範網路釣魚。</w:t>
            </w:r>
          </w:p>
        </w:tc>
        <w:tc>
          <w:tcPr>
            <w:tcW w:w="2023" w:type="dxa"/>
            <w:vMerge/>
            <w:tcBorders>
              <w:right w:val="single" w:sz="12" w:space="0" w:color="auto"/>
            </w:tcBorders>
            <w:shd w:val="clear" w:color="auto" w:fill="auto"/>
          </w:tcPr>
          <w:p w14:paraId="4B10D42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76CAB0" w14:textId="77777777">
        <w:tc>
          <w:tcPr>
            <w:tcW w:w="1384" w:type="dxa"/>
            <w:vMerge/>
            <w:tcBorders>
              <w:left w:val="single" w:sz="12" w:space="0" w:color="auto"/>
            </w:tcBorders>
            <w:shd w:val="clear" w:color="auto" w:fill="auto"/>
          </w:tcPr>
          <w:p w14:paraId="5DF6433A" w14:textId="77777777" w:rsidR="003B3105" w:rsidRDefault="003B3105" w:rsidP="001E533B">
            <w:pPr>
              <w:rPr>
                <w:rFonts w:ascii="新細明體" w:eastAsia="新細明體" w:hAnsi="新細明體"/>
              </w:rPr>
            </w:pPr>
          </w:p>
        </w:tc>
        <w:tc>
          <w:tcPr>
            <w:tcW w:w="1276" w:type="dxa"/>
            <w:vMerge/>
            <w:shd w:val="clear" w:color="auto" w:fill="auto"/>
          </w:tcPr>
          <w:p w14:paraId="4B7DECA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8EB86D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28.公司是否每年定期辦理社交工程演練，並對誤開啟信件或連結之人員進行教育訓練，並留存相關紀錄。</w:t>
            </w:r>
          </w:p>
        </w:tc>
        <w:tc>
          <w:tcPr>
            <w:tcW w:w="5387" w:type="dxa"/>
            <w:tcBorders>
              <w:top w:val="nil"/>
              <w:bottom w:val="nil"/>
            </w:tcBorders>
            <w:shd w:val="clear" w:color="auto" w:fill="auto"/>
          </w:tcPr>
          <w:p w14:paraId="3EA0182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28.公司是否每年定期辦理社交工程演練，並對誤開啟信件或連結之人員進行教育訓練，並留存相關紀錄。</w:t>
            </w:r>
          </w:p>
        </w:tc>
        <w:tc>
          <w:tcPr>
            <w:tcW w:w="2023" w:type="dxa"/>
            <w:vMerge/>
            <w:tcBorders>
              <w:right w:val="single" w:sz="12" w:space="0" w:color="auto"/>
            </w:tcBorders>
            <w:shd w:val="clear" w:color="auto" w:fill="auto"/>
          </w:tcPr>
          <w:p w14:paraId="1ECC7A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BBD65B" w14:textId="77777777">
        <w:tc>
          <w:tcPr>
            <w:tcW w:w="1384" w:type="dxa"/>
            <w:vMerge/>
            <w:tcBorders>
              <w:left w:val="single" w:sz="12" w:space="0" w:color="auto"/>
            </w:tcBorders>
            <w:shd w:val="clear" w:color="auto" w:fill="auto"/>
          </w:tcPr>
          <w:p w14:paraId="594A9555" w14:textId="77777777" w:rsidR="003B3105" w:rsidRDefault="003B3105" w:rsidP="001E533B">
            <w:pPr>
              <w:rPr>
                <w:rFonts w:ascii="新細明體" w:eastAsia="新細明體" w:hAnsi="新細明體"/>
              </w:rPr>
            </w:pPr>
          </w:p>
        </w:tc>
        <w:tc>
          <w:tcPr>
            <w:tcW w:w="1276" w:type="dxa"/>
            <w:vMerge/>
            <w:shd w:val="clear" w:color="auto" w:fill="auto"/>
          </w:tcPr>
          <w:p w14:paraId="1D4FBE1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73C348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29.公司是否依其所屬資安分級定期對提供網際網路服務之核心系統辦理滲透測試，並依測試結果進行改善。</w:t>
            </w:r>
          </w:p>
        </w:tc>
        <w:tc>
          <w:tcPr>
            <w:tcW w:w="5387" w:type="dxa"/>
            <w:tcBorders>
              <w:top w:val="nil"/>
              <w:bottom w:val="nil"/>
            </w:tcBorders>
            <w:shd w:val="clear" w:color="auto" w:fill="auto"/>
          </w:tcPr>
          <w:p w14:paraId="7BB7CD0C"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29.公司是否依其所屬資安分級定期對提供網際網路服務之核心系統辦理滲透測試，並依測試結果進行改善。</w:t>
            </w:r>
          </w:p>
        </w:tc>
        <w:tc>
          <w:tcPr>
            <w:tcW w:w="2023" w:type="dxa"/>
            <w:vMerge/>
            <w:tcBorders>
              <w:right w:val="single" w:sz="12" w:space="0" w:color="auto"/>
            </w:tcBorders>
            <w:shd w:val="clear" w:color="auto" w:fill="auto"/>
          </w:tcPr>
          <w:p w14:paraId="554233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1A9AFC" w14:textId="77777777">
        <w:tc>
          <w:tcPr>
            <w:tcW w:w="1384" w:type="dxa"/>
            <w:vMerge/>
            <w:tcBorders>
              <w:left w:val="single" w:sz="12" w:space="0" w:color="auto"/>
            </w:tcBorders>
            <w:shd w:val="clear" w:color="auto" w:fill="auto"/>
          </w:tcPr>
          <w:p w14:paraId="2C1B4145" w14:textId="77777777" w:rsidR="003B3105" w:rsidRDefault="003B3105" w:rsidP="001E533B">
            <w:pPr>
              <w:rPr>
                <w:rFonts w:ascii="新細明體" w:eastAsia="新細明體" w:hAnsi="新細明體"/>
              </w:rPr>
            </w:pPr>
          </w:p>
        </w:tc>
        <w:tc>
          <w:tcPr>
            <w:tcW w:w="1276" w:type="dxa"/>
            <w:vMerge/>
            <w:shd w:val="clear" w:color="auto" w:fill="auto"/>
          </w:tcPr>
          <w:p w14:paraId="2CA3B03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EACC22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30.公司是否依其所屬資安分級定期辦理資通安全健診。</w:t>
            </w:r>
          </w:p>
        </w:tc>
        <w:tc>
          <w:tcPr>
            <w:tcW w:w="5387" w:type="dxa"/>
            <w:tcBorders>
              <w:top w:val="nil"/>
              <w:bottom w:val="nil"/>
            </w:tcBorders>
            <w:shd w:val="clear" w:color="auto" w:fill="auto"/>
          </w:tcPr>
          <w:p w14:paraId="64A1B35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30.公司是否依其所屬資安分級定期辦理資通安全健診。</w:t>
            </w:r>
          </w:p>
        </w:tc>
        <w:tc>
          <w:tcPr>
            <w:tcW w:w="2023" w:type="dxa"/>
            <w:vMerge/>
            <w:tcBorders>
              <w:right w:val="single" w:sz="12" w:space="0" w:color="auto"/>
            </w:tcBorders>
            <w:shd w:val="clear" w:color="auto" w:fill="auto"/>
          </w:tcPr>
          <w:p w14:paraId="2A6970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E984890" w14:textId="77777777">
        <w:tc>
          <w:tcPr>
            <w:tcW w:w="1384" w:type="dxa"/>
            <w:vMerge/>
            <w:tcBorders>
              <w:left w:val="single" w:sz="12" w:space="0" w:color="auto"/>
            </w:tcBorders>
            <w:shd w:val="clear" w:color="auto" w:fill="auto"/>
          </w:tcPr>
          <w:p w14:paraId="59B875D6" w14:textId="77777777" w:rsidR="003B3105" w:rsidRDefault="003B3105" w:rsidP="001E533B">
            <w:pPr>
              <w:rPr>
                <w:rFonts w:ascii="新細明體" w:eastAsia="新細明體" w:hAnsi="新細明體"/>
              </w:rPr>
            </w:pPr>
          </w:p>
        </w:tc>
        <w:tc>
          <w:tcPr>
            <w:tcW w:w="1276" w:type="dxa"/>
            <w:vMerge/>
            <w:shd w:val="clear" w:color="auto" w:fill="auto"/>
          </w:tcPr>
          <w:p w14:paraId="148D66B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FAB2BE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31.公司是否依其所屬資安分級建立資通安全威脅偵測管理機制(應含括異常分析、事件收集、偵測攻擊)</w:t>
            </w:r>
          </w:p>
        </w:tc>
        <w:tc>
          <w:tcPr>
            <w:tcW w:w="5387" w:type="dxa"/>
            <w:tcBorders>
              <w:top w:val="nil"/>
              <w:bottom w:val="nil"/>
            </w:tcBorders>
            <w:shd w:val="clear" w:color="auto" w:fill="auto"/>
          </w:tcPr>
          <w:p w14:paraId="34BF8B6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31.公司是否依其所屬資安分級建立資通安全威脅偵測管理機制(應含括異常分析、事件收集、偵測攻擊)</w:t>
            </w:r>
          </w:p>
        </w:tc>
        <w:tc>
          <w:tcPr>
            <w:tcW w:w="2023" w:type="dxa"/>
            <w:vMerge/>
            <w:tcBorders>
              <w:right w:val="single" w:sz="12" w:space="0" w:color="auto"/>
            </w:tcBorders>
            <w:shd w:val="clear" w:color="auto" w:fill="auto"/>
          </w:tcPr>
          <w:p w14:paraId="335352B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8C0458" w14:textId="77777777">
        <w:tc>
          <w:tcPr>
            <w:tcW w:w="1384" w:type="dxa"/>
            <w:vMerge/>
            <w:tcBorders>
              <w:left w:val="single" w:sz="12" w:space="0" w:color="auto"/>
            </w:tcBorders>
            <w:shd w:val="clear" w:color="auto" w:fill="auto"/>
          </w:tcPr>
          <w:p w14:paraId="5324843E" w14:textId="77777777" w:rsidR="003B3105" w:rsidRDefault="003B3105" w:rsidP="001E533B">
            <w:pPr>
              <w:rPr>
                <w:rFonts w:ascii="新細明體" w:eastAsia="新細明體" w:hAnsi="新細明體"/>
              </w:rPr>
            </w:pPr>
          </w:p>
        </w:tc>
        <w:tc>
          <w:tcPr>
            <w:tcW w:w="1276" w:type="dxa"/>
            <w:vMerge/>
            <w:shd w:val="clear" w:color="auto" w:fill="auto"/>
          </w:tcPr>
          <w:p w14:paraId="3AF226C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6C560A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32.公司是否依其所屬資安分級建立入侵偵</w:t>
            </w:r>
            <w:r>
              <w:rPr>
                <w:rFonts w:ascii="新細明體" w:eastAsia="新細明體" w:hAnsi="新細明體" w:cs="新細明體" w:hint="eastAsia"/>
              </w:rPr>
              <w:lastRenderedPageBreak/>
              <w:t>測及防禦機制。</w:t>
            </w:r>
          </w:p>
        </w:tc>
        <w:tc>
          <w:tcPr>
            <w:tcW w:w="5387" w:type="dxa"/>
            <w:tcBorders>
              <w:top w:val="nil"/>
              <w:bottom w:val="nil"/>
            </w:tcBorders>
            <w:shd w:val="clear" w:color="auto" w:fill="auto"/>
          </w:tcPr>
          <w:p w14:paraId="0D18C1E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32.公司是否依其所屬資安分級建立入侵偵</w:t>
            </w:r>
            <w:r>
              <w:rPr>
                <w:rFonts w:ascii="新細明體" w:eastAsia="新細明體" w:hAnsi="新細明體" w:cs="新細明體" w:hint="eastAsia"/>
              </w:rPr>
              <w:lastRenderedPageBreak/>
              <w:t>測及防禦機制。</w:t>
            </w:r>
          </w:p>
        </w:tc>
        <w:tc>
          <w:tcPr>
            <w:tcW w:w="2023" w:type="dxa"/>
            <w:vMerge/>
            <w:tcBorders>
              <w:right w:val="single" w:sz="12" w:space="0" w:color="auto"/>
            </w:tcBorders>
            <w:shd w:val="clear" w:color="auto" w:fill="auto"/>
          </w:tcPr>
          <w:p w14:paraId="09D384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D9FE15" w14:textId="77777777">
        <w:tc>
          <w:tcPr>
            <w:tcW w:w="1384" w:type="dxa"/>
            <w:vMerge/>
            <w:tcBorders>
              <w:left w:val="single" w:sz="12" w:space="0" w:color="auto"/>
            </w:tcBorders>
            <w:shd w:val="clear" w:color="auto" w:fill="auto"/>
          </w:tcPr>
          <w:p w14:paraId="208F6708" w14:textId="77777777" w:rsidR="003B3105" w:rsidRDefault="003B3105" w:rsidP="001E533B">
            <w:pPr>
              <w:rPr>
                <w:rFonts w:ascii="新細明體" w:eastAsia="新細明體" w:hAnsi="新細明體"/>
              </w:rPr>
            </w:pPr>
          </w:p>
        </w:tc>
        <w:tc>
          <w:tcPr>
            <w:tcW w:w="1276" w:type="dxa"/>
            <w:vMerge/>
            <w:shd w:val="clear" w:color="auto" w:fill="auto"/>
          </w:tcPr>
          <w:p w14:paraId="3870673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B3368A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33.公司是否依其所屬資安分級設置應用程式防火牆。</w:t>
            </w:r>
          </w:p>
        </w:tc>
        <w:tc>
          <w:tcPr>
            <w:tcW w:w="5387" w:type="dxa"/>
            <w:tcBorders>
              <w:top w:val="nil"/>
              <w:bottom w:val="nil"/>
            </w:tcBorders>
            <w:shd w:val="clear" w:color="auto" w:fill="auto"/>
          </w:tcPr>
          <w:p w14:paraId="0E422B0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33.公司是否依其所屬資安分級設置應用程式防火牆。</w:t>
            </w:r>
          </w:p>
        </w:tc>
        <w:tc>
          <w:tcPr>
            <w:tcW w:w="2023" w:type="dxa"/>
            <w:vMerge/>
            <w:tcBorders>
              <w:right w:val="single" w:sz="12" w:space="0" w:color="auto"/>
            </w:tcBorders>
            <w:shd w:val="clear" w:color="auto" w:fill="auto"/>
          </w:tcPr>
          <w:p w14:paraId="1B788D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23B657" w14:textId="77777777">
        <w:tc>
          <w:tcPr>
            <w:tcW w:w="1384" w:type="dxa"/>
            <w:vMerge/>
            <w:tcBorders>
              <w:left w:val="single" w:sz="12" w:space="0" w:color="auto"/>
            </w:tcBorders>
            <w:shd w:val="clear" w:color="auto" w:fill="auto"/>
          </w:tcPr>
          <w:p w14:paraId="17F55282" w14:textId="77777777" w:rsidR="003B3105" w:rsidRDefault="003B3105" w:rsidP="001E533B">
            <w:pPr>
              <w:rPr>
                <w:rFonts w:ascii="新細明體" w:eastAsia="新細明體" w:hAnsi="新細明體"/>
              </w:rPr>
            </w:pPr>
          </w:p>
        </w:tc>
        <w:tc>
          <w:tcPr>
            <w:tcW w:w="1276" w:type="dxa"/>
            <w:vMerge/>
            <w:shd w:val="clear" w:color="auto" w:fill="auto"/>
          </w:tcPr>
          <w:p w14:paraId="396B07D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A1888F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34.公司是否依其所屬資安分級辦理進階持續性威脅攻擊防禦措施。</w:t>
            </w:r>
          </w:p>
        </w:tc>
        <w:tc>
          <w:tcPr>
            <w:tcW w:w="5387" w:type="dxa"/>
            <w:tcBorders>
              <w:top w:val="nil"/>
              <w:bottom w:val="nil"/>
            </w:tcBorders>
            <w:shd w:val="clear" w:color="auto" w:fill="auto"/>
          </w:tcPr>
          <w:p w14:paraId="7A4A441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34.公司是否依其所屬資安分級辦理進階持續性威脅攻擊防禦措施。</w:t>
            </w:r>
          </w:p>
        </w:tc>
        <w:tc>
          <w:tcPr>
            <w:tcW w:w="2023" w:type="dxa"/>
            <w:vMerge/>
            <w:tcBorders>
              <w:right w:val="single" w:sz="12" w:space="0" w:color="auto"/>
            </w:tcBorders>
            <w:shd w:val="clear" w:color="auto" w:fill="auto"/>
          </w:tcPr>
          <w:p w14:paraId="0E24001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703FE2" w14:textId="77777777">
        <w:tc>
          <w:tcPr>
            <w:tcW w:w="1384" w:type="dxa"/>
            <w:vMerge/>
            <w:tcBorders>
              <w:left w:val="single" w:sz="12" w:space="0" w:color="auto"/>
            </w:tcBorders>
            <w:shd w:val="clear" w:color="auto" w:fill="auto"/>
          </w:tcPr>
          <w:p w14:paraId="7316EE7C" w14:textId="77777777" w:rsidR="003B3105" w:rsidRDefault="003B3105" w:rsidP="001E533B">
            <w:pPr>
              <w:rPr>
                <w:rFonts w:ascii="新細明體" w:eastAsia="新細明體" w:hAnsi="新細明體"/>
              </w:rPr>
            </w:pPr>
          </w:p>
        </w:tc>
        <w:tc>
          <w:tcPr>
            <w:tcW w:w="1276" w:type="dxa"/>
            <w:vMerge/>
            <w:shd w:val="clear" w:color="auto" w:fill="auto"/>
          </w:tcPr>
          <w:p w14:paraId="51C804C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16D331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35.核心系統身分驗證機制是否有防範自動化程式之登入或密碼更換嘗試。</w:t>
            </w:r>
          </w:p>
        </w:tc>
        <w:tc>
          <w:tcPr>
            <w:tcW w:w="5387" w:type="dxa"/>
            <w:tcBorders>
              <w:top w:val="nil"/>
              <w:bottom w:val="nil"/>
            </w:tcBorders>
            <w:shd w:val="clear" w:color="auto" w:fill="auto"/>
          </w:tcPr>
          <w:p w14:paraId="554EEF6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35.核心系統身分驗證機制是否有防範自動化程式之登入或密碼更換嘗試。</w:t>
            </w:r>
          </w:p>
        </w:tc>
        <w:tc>
          <w:tcPr>
            <w:tcW w:w="2023" w:type="dxa"/>
            <w:vMerge/>
            <w:tcBorders>
              <w:right w:val="single" w:sz="12" w:space="0" w:color="auto"/>
            </w:tcBorders>
            <w:shd w:val="clear" w:color="auto" w:fill="auto"/>
          </w:tcPr>
          <w:p w14:paraId="5042EC4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6065AA" w14:textId="77777777">
        <w:tc>
          <w:tcPr>
            <w:tcW w:w="1384" w:type="dxa"/>
            <w:vMerge/>
            <w:tcBorders>
              <w:left w:val="single" w:sz="12" w:space="0" w:color="auto"/>
            </w:tcBorders>
            <w:shd w:val="clear" w:color="auto" w:fill="auto"/>
          </w:tcPr>
          <w:p w14:paraId="174F88E3" w14:textId="77777777" w:rsidR="003B3105" w:rsidRDefault="003B3105" w:rsidP="001E533B">
            <w:pPr>
              <w:rPr>
                <w:rFonts w:ascii="新細明體" w:eastAsia="新細明體" w:hAnsi="新細明體"/>
              </w:rPr>
            </w:pPr>
          </w:p>
        </w:tc>
        <w:tc>
          <w:tcPr>
            <w:tcW w:w="1276" w:type="dxa"/>
            <w:vMerge/>
            <w:shd w:val="clear" w:color="auto" w:fill="auto"/>
          </w:tcPr>
          <w:p w14:paraId="6143206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73E7172"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36.公司是否每日針對核心系統之帳號登入失敗紀錄、非客戶帳號嘗試登入紀錄等進行監控及分析，發現有帳號登入異常情事(如密碼輸入錯誤達三次、一定時間內大量帳號登入失敗、帳戶申請或更新憑證下載異常)，是否即時了解異常原因，並留存相關紀錄。</w:t>
            </w:r>
          </w:p>
        </w:tc>
        <w:tc>
          <w:tcPr>
            <w:tcW w:w="5387" w:type="dxa"/>
            <w:tcBorders>
              <w:top w:val="nil"/>
              <w:bottom w:val="nil"/>
            </w:tcBorders>
            <w:shd w:val="clear" w:color="auto" w:fill="auto"/>
          </w:tcPr>
          <w:p w14:paraId="6193097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36.公司是否每日針對核心系統之帳號登入失敗紀錄、非客戶帳號嘗試登入紀錄等進行監控及分析，發現有帳號登入異常情事(如密碼輸入錯誤達三次、一定時間內大量帳號登入失敗、帳戶申請或更新憑證下載異常)，是否即時了解異常原因，並留存相關紀錄。</w:t>
            </w:r>
          </w:p>
        </w:tc>
        <w:tc>
          <w:tcPr>
            <w:tcW w:w="2023" w:type="dxa"/>
            <w:vMerge/>
            <w:tcBorders>
              <w:right w:val="single" w:sz="12" w:space="0" w:color="auto"/>
            </w:tcBorders>
            <w:shd w:val="clear" w:color="auto" w:fill="auto"/>
          </w:tcPr>
          <w:p w14:paraId="60DE04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1C93DB9" w14:textId="77777777">
        <w:tc>
          <w:tcPr>
            <w:tcW w:w="1384" w:type="dxa"/>
            <w:vMerge/>
            <w:tcBorders>
              <w:left w:val="single" w:sz="12" w:space="0" w:color="auto"/>
            </w:tcBorders>
            <w:shd w:val="clear" w:color="auto" w:fill="auto"/>
          </w:tcPr>
          <w:p w14:paraId="4D29148E" w14:textId="77777777" w:rsidR="003B3105" w:rsidRDefault="003B3105" w:rsidP="001E533B">
            <w:pPr>
              <w:rPr>
                <w:rFonts w:ascii="新細明體" w:eastAsia="新細明體" w:hAnsi="新細明體"/>
              </w:rPr>
            </w:pPr>
          </w:p>
        </w:tc>
        <w:tc>
          <w:tcPr>
            <w:tcW w:w="1276" w:type="dxa"/>
            <w:vMerge/>
            <w:shd w:val="clear" w:color="auto" w:fill="auto"/>
          </w:tcPr>
          <w:p w14:paraId="3C0677B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F2B38B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37.公司提供網</w:t>
            </w:r>
            <w:r>
              <w:rPr>
                <w:rFonts w:ascii="新細明體" w:eastAsia="新細明體" w:hAnsi="新細明體" w:cs="新細明體" w:hint="eastAsia"/>
                <w:b/>
                <w:color w:val="FF0000"/>
                <w:u w:val="single"/>
              </w:rPr>
              <w:t>際網</w:t>
            </w:r>
            <w:r>
              <w:rPr>
                <w:rFonts w:ascii="新細明體" w:eastAsia="新細明體" w:hAnsi="新細明體" w:cs="新細明體" w:hint="eastAsia"/>
              </w:rPr>
              <w:t>路下單服務，是否於</w:t>
            </w:r>
            <w:r>
              <w:rPr>
                <w:rFonts w:ascii="新細明體" w:eastAsia="新細明體" w:hAnsi="新細明體" w:cs="新細明體" w:hint="eastAsia"/>
                <w:b/>
                <w:color w:val="FF0000"/>
                <w:u w:val="single"/>
              </w:rPr>
              <w:t>網際</w:t>
            </w:r>
            <w:r>
              <w:rPr>
                <w:rFonts w:ascii="新細明體" w:eastAsia="新細明體" w:hAnsi="新細明體" w:cs="新細明體" w:hint="eastAsia"/>
              </w:rPr>
              <w:t>網路下單登入時採多因子認證方式(例如：固定密碼、圖形鎖、下單憑證、綁定裝置、OTP、生物辨識等機制)，以確保為客戶本人登入。</w:t>
            </w:r>
          </w:p>
        </w:tc>
        <w:tc>
          <w:tcPr>
            <w:tcW w:w="5387" w:type="dxa"/>
            <w:tcBorders>
              <w:top w:val="nil"/>
              <w:bottom w:val="nil"/>
            </w:tcBorders>
            <w:shd w:val="clear" w:color="auto" w:fill="auto"/>
          </w:tcPr>
          <w:p w14:paraId="182B95C8"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37.公司提供網路下單服務，是否於網路下單登入時採多因子認證方式(例如：固定密碼、圖形鎖、下單憑證、綁定裝置、OTP、生物辨識等機制)，以確保為客戶本人登入。</w:t>
            </w:r>
          </w:p>
        </w:tc>
        <w:tc>
          <w:tcPr>
            <w:tcW w:w="2023" w:type="dxa"/>
            <w:vMerge/>
            <w:tcBorders>
              <w:right w:val="single" w:sz="12" w:space="0" w:color="auto"/>
            </w:tcBorders>
            <w:shd w:val="clear" w:color="auto" w:fill="auto"/>
          </w:tcPr>
          <w:p w14:paraId="5B1DD03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3510EB" w14:textId="77777777">
        <w:tc>
          <w:tcPr>
            <w:tcW w:w="1384" w:type="dxa"/>
            <w:vMerge/>
            <w:tcBorders>
              <w:left w:val="single" w:sz="12" w:space="0" w:color="auto"/>
            </w:tcBorders>
            <w:shd w:val="clear" w:color="auto" w:fill="auto"/>
          </w:tcPr>
          <w:p w14:paraId="4051AC16" w14:textId="77777777" w:rsidR="003B3105" w:rsidRDefault="003B3105" w:rsidP="001E533B">
            <w:pPr>
              <w:rPr>
                <w:rFonts w:ascii="新細明體" w:eastAsia="新細明體" w:hAnsi="新細明體"/>
              </w:rPr>
            </w:pPr>
          </w:p>
        </w:tc>
        <w:tc>
          <w:tcPr>
            <w:tcW w:w="1276" w:type="dxa"/>
            <w:vMerge/>
            <w:shd w:val="clear" w:color="auto" w:fill="auto"/>
          </w:tcPr>
          <w:p w14:paraId="1843A59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633F39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38.公司對於客戶帳號登入時宜進行通知，如有符合以下異常態樣是否即通知客戶，並留存紀錄，避免非客戶本人登入情事：(1) 密碼輸入錯誤或帳戶被鎖定；(2)申請或更新憑證；(3)變更基本資料；(4)異常來源或行為嘗試登入等；(5)密碼申請異動或補發時。</w:t>
            </w:r>
          </w:p>
        </w:tc>
        <w:tc>
          <w:tcPr>
            <w:tcW w:w="5387" w:type="dxa"/>
            <w:tcBorders>
              <w:top w:val="nil"/>
              <w:bottom w:val="nil"/>
            </w:tcBorders>
            <w:shd w:val="clear" w:color="auto" w:fill="auto"/>
          </w:tcPr>
          <w:p w14:paraId="42148CA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38.公司對於客戶帳號登入時宜進行通知，如有符合以下異常態樣是否即通知客戶，並留存紀錄，避免非客戶本人登入情事：(1) 密碼輸入錯誤或帳戶被鎖定；(2)申請或更新憑證；(3)變更基本資料；(4)異常來源或行為嘗試登入等；(5)密碼申請異動或補發時。</w:t>
            </w:r>
          </w:p>
        </w:tc>
        <w:tc>
          <w:tcPr>
            <w:tcW w:w="2023" w:type="dxa"/>
            <w:vMerge/>
            <w:tcBorders>
              <w:right w:val="single" w:sz="12" w:space="0" w:color="auto"/>
            </w:tcBorders>
            <w:shd w:val="clear" w:color="auto" w:fill="auto"/>
          </w:tcPr>
          <w:p w14:paraId="296476F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92A92C" w14:textId="77777777">
        <w:tc>
          <w:tcPr>
            <w:tcW w:w="1384" w:type="dxa"/>
            <w:vMerge/>
            <w:tcBorders>
              <w:left w:val="single" w:sz="12" w:space="0" w:color="auto"/>
            </w:tcBorders>
            <w:shd w:val="clear" w:color="auto" w:fill="auto"/>
          </w:tcPr>
          <w:p w14:paraId="24D6AE69" w14:textId="77777777" w:rsidR="003B3105" w:rsidRDefault="003B3105" w:rsidP="001E533B">
            <w:pPr>
              <w:rPr>
                <w:rFonts w:ascii="新細明體" w:eastAsia="新細明體" w:hAnsi="新細明體"/>
              </w:rPr>
            </w:pPr>
          </w:p>
        </w:tc>
        <w:tc>
          <w:tcPr>
            <w:tcW w:w="1276" w:type="dxa"/>
            <w:vMerge/>
            <w:shd w:val="clear" w:color="auto" w:fill="auto"/>
          </w:tcPr>
          <w:p w14:paraId="5AEDBDF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D9DCC6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39.公司是否依其所屬資安分級對異常及不</w:t>
            </w:r>
            <w:r>
              <w:rPr>
                <w:rFonts w:ascii="新細明體" w:eastAsia="新細明體" w:hAnsi="新細明體" w:cs="新細明體" w:hint="eastAsia"/>
              </w:rPr>
              <w:lastRenderedPageBreak/>
              <w:t>明來源IP連線進行監控分析及留存紀錄，如有發現下列情形，應設有警示機制，並定期檢視以確認機制有效運作：(1) 同一來源IP登入不同帳號達一定次數以上；(2) 同一帳號在一定時間內由不同國家登入；(3) 異常來源 (如金融資安資訊分享與分析中心F-ISAC公布之黑名單或國外IP)嘗試登入。</w:t>
            </w:r>
          </w:p>
        </w:tc>
        <w:tc>
          <w:tcPr>
            <w:tcW w:w="5387" w:type="dxa"/>
            <w:tcBorders>
              <w:top w:val="nil"/>
              <w:bottom w:val="nil"/>
            </w:tcBorders>
            <w:shd w:val="clear" w:color="auto" w:fill="auto"/>
          </w:tcPr>
          <w:p w14:paraId="59B7682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39.公司是否依其所屬資安分級對異常及不</w:t>
            </w:r>
            <w:r>
              <w:rPr>
                <w:rFonts w:ascii="新細明體" w:eastAsia="新細明體" w:hAnsi="新細明體" w:cs="新細明體" w:hint="eastAsia"/>
              </w:rPr>
              <w:lastRenderedPageBreak/>
              <w:t>明來源IP連線進行監控分析及留存紀錄，如有發現下列情形，應設有警示機制，並定期檢視以確認機制有效運作：(1) 同一來源IP登入不同帳號達一定次數以上；(2) 同一帳號在一定時間內由不同國家登入；(3) 異常來源 (如金融資安資訊分享與分析中心F-ISAC公布之黑名單或國外IP)嘗試登入。</w:t>
            </w:r>
          </w:p>
        </w:tc>
        <w:tc>
          <w:tcPr>
            <w:tcW w:w="2023" w:type="dxa"/>
            <w:vMerge/>
            <w:tcBorders>
              <w:right w:val="single" w:sz="12" w:space="0" w:color="auto"/>
            </w:tcBorders>
            <w:shd w:val="clear" w:color="auto" w:fill="auto"/>
          </w:tcPr>
          <w:p w14:paraId="6C2481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D604C9" w14:textId="77777777">
        <w:tc>
          <w:tcPr>
            <w:tcW w:w="1384" w:type="dxa"/>
            <w:vMerge/>
            <w:tcBorders>
              <w:left w:val="single" w:sz="12" w:space="0" w:color="auto"/>
            </w:tcBorders>
            <w:shd w:val="clear" w:color="auto" w:fill="auto"/>
          </w:tcPr>
          <w:p w14:paraId="4870D1BA" w14:textId="77777777" w:rsidR="003B3105" w:rsidRDefault="003B3105" w:rsidP="001E533B">
            <w:pPr>
              <w:rPr>
                <w:rFonts w:ascii="新細明體" w:eastAsia="新細明體" w:hAnsi="新細明體"/>
              </w:rPr>
            </w:pPr>
          </w:p>
        </w:tc>
        <w:tc>
          <w:tcPr>
            <w:tcW w:w="1276" w:type="dxa"/>
            <w:vMerge/>
            <w:shd w:val="clear" w:color="auto" w:fill="auto"/>
          </w:tcPr>
          <w:p w14:paraId="2B2AB71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0BFDEF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40.公司設置無線網路是否採用現行公開資訊已認可且無弱點之安全協定。</w:t>
            </w:r>
          </w:p>
        </w:tc>
        <w:tc>
          <w:tcPr>
            <w:tcW w:w="5387" w:type="dxa"/>
            <w:tcBorders>
              <w:top w:val="nil"/>
              <w:bottom w:val="nil"/>
            </w:tcBorders>
            <w:shd w:val="clear" w:color="auto" w:fill="auto"/>
          </w:tcPr>
          <w:p w14:paraId="7BD9F7E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40.公司設置無線網路是否採用現行公開資訊已認可且無弱點之安全協定。</w:t>
            </w:r>
          </w:p>
        </w:tc>
        <w:tc>
          <w:tcPr>
            <w:tcW w:w="2023" w:type="dxa"/>
            <w:vMerge/>
            <w:tcBorders>
              <w:right w:val="single" w:sz="12" w:space="0" w:color="auto"/>
            </w:tcBorders>
            <w:shd w:val="clear" w:color="auto" w:fill="auto"/>
          </w:tcPr>
          <w:p w14:paraId="740960D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3D62BD" w14:textId="77777777">
        <w:tc>
          <w:tcPr>
            <w:tcW w:w="1384" w:type="dxa"/>
            <w:vMerge/>
            <w:tcBorders>
              <w:left w:val="single" w:sz="12" w:space="0" w:color="auto"/>
            </w:tcBorders>
            <w:shd w:val="clear" w:color="auto" w:fill="auto"/>
          </w:tcPr>
          <w:p w14:paraId="7B82484A" w14:textId="77777777" w:rsidR="003B3105" w:rsidRDefault="003B3105" w:rsidP="001E533B">
            <w:pPr>
              <w:rPr>
                <w:rFonts w:ascii="新細明體" w:eastAsia="新細明體" w:hAnsi="新細明體"/>
              </w:rPr>
            </w:pPr>
          </w:p>
        </w:tc>
        <w:tc>
          <w:tcPr>
            <w:tcW w:w="1276" w:type="dxa"/>
            <w:vMerge/>
            <w:shd w:val="clear" w:color="auto" w:fill="auto"/>
          </w:tcPr>
          <w:p w14:paraId="501C44B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784971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41.公司提供內部無線網路使用是否限內部人員公務用或資訊服務供應商是否於申請核准後使用。</w:t>
            </w:r>
          </w:p>
        </w:tc>
        <w:tc>
          <w:tcPr>
            <w:tcW w:w="5387" w:type="dxa"/>
            <w:tcBorders>
              <w:top w:val="nil"/>
              <w:bottom w:val="nil"/>
            </w:tcBorders>
            <w:shd w:val="clear" w:color="auto" w:fill="auto"/>
          </w:tcPr>
          <w:p w14:paraId="64A618B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41.公司提供內部無線網路使用是否限內部人員公務用或資訊服務供應商是否於申請核准後使用。</w:t>
            </w:r>
          </w:p>
        </w:tc>
        <w:tc>
          <w:tcPr>
            <w:tcW w:w="2023" w:type="dxa"/>
            <w:vMerge/>
            <w:tcBorders>
              <w:right w:val="single" w:sz="12" w:space="0" w:color="auto"/>
            </w:tcBorders>
            <w:shd w:val="clear" w:color="auto" w:fill="auto"/>
          </w:tcPr>
          <w:p w14:paraId="530DFA0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D03F0C" w14:textId="77777777">
        <w:tc>
          <w:tcPr>
            <w:tcW w:w="1384" w:type="dxa"/>
            <w:vMerge/>
            <w:tcBorders>
              <w:left w:val="single" w:sz="12" w:space="0" w:color="auto"/>
            </w:tcBorders>
            <w:shd w:val="clear" w:color="auto" w:fill="auto"/>
          </w:tcPr>
          <w:p w14:paraId="0001CD19" w14:textId="77777777" w:rsidR="003B3105" w:rsidRDefault="003B3105" w:rsidP="001E533B">
            <w:pPr>
              <w:rPr>
                <w:rFonts w:ascii="新細明體" w:eastAsia="新細明體" w:hAnsi="新細明體"/>
              </w:rPr>
            </w:pPr>
          </w:p>
        </w:tc>
        <w:tc>
          <w:tcPr>
            <w:tcW w:w="1276" w:type="dxa"/>
            <w:vMerge/>
            <w:shd w:val="clear" w:color="auto" w:fill="auto"/>
          </w:tcPr>
          <w:p w14:paraId="6025E2C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87A4DC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b/>
                <w:color w:val="FF0000"/>
              </w:rPr>
              <w:t>42.</w:t>
            </w:r>
            <w:r>
              <w:rPr>
                <w:rFonts w:ascii="新細明體" w:eastAsia="新細明體" w:hAnsi="新細明體" w:cs="新細明體" w:hint="eastAsia"/>
                <w:b/>
                <w:color w:val="FF0000"/>
                <w:u w:val="single"/>
              </w:rPr>
              <w:t>公司是否就所接收資安情資，辨識其來源之可靠性及時效性，及時進行威脅與弱點分析及研判潛在風險，並採取對應之預防或應變措施。</w:t>
            </w:r>
          </w:p>
        </w:tc>
        <w:tc>
          <w:tcPr>
            <w:tcW w:w="5387" w:type="dxa"/>
            <w:tcBorders>
              <w:top w:val="nil"/>
              <w:bottom w:val="nil"/>
            </w:tcBorders>
            <w:shd w:val="clear" w:color="auto" w:fill="auto"/>
          </w:tcPr>
          <w:p w14:paraId="7705BBCD"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shd w:val="clear" w:color="auto" w:fill="auto"/>
          </w:tcPr>
          <w:p w14:paraId="3202ADB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shd w:val="clear" w:color="auto" w:fill="auto"/>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shd w:val="clear" w:color="auto" w:fill="auto"/>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shd w:val="clear" w:color="auto" w:fill="auto"/>
          </w:tcPr>
          <w:p w14:paraId="5C9FE276" w14:textId="2A2A1CF1" w:rsidR="003B3105" w:rsidRPr="0068743F" w:rsidRDefault="003B3105" w:rsidP="000E3DF5">
            <w:pPr>
              <w:rPr>
                <w:rFonts w:ascii="新細明體" w:eastAsia="新細明體" w:hAnsi="新細明體" w:cs="新細明體"/>
              </w:rPr>
            </w:pPr>
          </w:p>
        </w:tc>
        <w:tc>
          <w:tcPr>
            <w:tcW w:w="5387" w:type="dxa"/>
            <w:tcBorders>
              <w:top w:val="nil"/>
              <w:bottom w:val="single" w:sz="12" w:space="0" w:color="auto"/>
            </w:tcBorders>
            <w:shd w:val="clear" w:color="auto" w:fill="auto"/>
          </w:tcPr>
          <w:p w14:paraId="7CBFB24A" w14:textId="2CA50412" w:rsidR="003B3105" w:rsidRPr="00F6439B" w:rsidRDefault="003B3105" w:rsidP="0027008E">
            <w:pPr>
              <w:spacing w:line="360" w:lineRule="exact"/>
              <w:rPr>
                <w:rFonts w:ascii="新細明體" w:eastAsia="新細明體" w:hAnsi="新細明體" w:cs="新細明體"/>
              </w:rPr>
            </w:pPr>
          </w:p>
        </w:tc>
        <w:tc>
          <w:tcPr>
            <w:tcW w:w="2023" w:type="dxa"/>
            <w:vMerge/>
            <w:tcBorders>
              <w:bottom w:val="single" w:sz="12" w:space="0" w:color="auto"/>
              <w:right w:val="single" w:sz="12" w:space="0" w:color="auto"/>
            </w:tcBorders>
            <w:shd w:val="clear" w:color="auto" w:fill="auto"/>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CB6D8" w14:textId="77777777" w:rsidR="00C61FCF" w:rsidRDefault="00C61FCF" w:rsidP="00E87601">
      <w:pPr>
        <w:spacing w:line="240" w:lineRule="auto"/>
      </w:pPr>
      <w:r>
        <w:separator/>
      </w:r>
    </w:p>
  </w:endnote>
  <w:endnote w:type="continuationSeparator" w:id="0">
    <w:p w14:paraId="21F73F85" w14:textId="77777777" w:rsidR="00C61FCF" w:rsidRDefault="00C61FCF"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72ED2" w14:textId="77777777" w:rsidR="00C61FCF" w:rsidRDefault="00C61FCF" w:rsidP="00E87601">
      <w:pPr>
        <w:spacing w:line="240" w:lineRule="auto"/>
      </w:pPr>
      <w:r>
        <w:separator/>
      </w:r>
    </w:p>
  </w:footnote>
  <w:footnote w:type="continuationSeparator" w:id="0">
    <w:p w14:paraId="6A7F6648" w14:textId="77777777" w:rsidR="00C61FCF" w:rsidRDefault="00C61FCF"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abstractNumId w:val="8"/>
  </w:num>
  <w:num w:numId="2">
    <w:abstractNumId w:val="7"/>
  </w:num>
  <w:num w:numId="3">
    <w:abstractNumId w:val="13"/>
  </w:num>
  <w:num w:numId="4">
    <w:abstractNumId w:val="0"/>
  </w:num>
  <w:num w:numId="5">
    <w:abstractNumId w:val="11"/>
  </w:num>
  <w:num w:numId="6">
    <w:abstractNumId w:val="2"/>
  </w:num>
  <w:num w:numId="7">
    <w:abstractNumId w:val="4"/>
  </w:num>
  <w:num w:numId="8">
    <w:abstractNumId w:val="12"/>
  </w:num>
  <w:num w:numId="9">
    <w:abstractNumId w:val="16"/>
  </w:num>
  <w:num w:numId="10">
    <w:abstractNumId w:val="5"/>
  </w:num>
  <w:num w:numId="11">
    <w:abstractNumId w:val="17"/>
  </w:num>
  <w:num w:numId="12">
    <w:abstractNumId w:val="6"/>
  </w:num>
  <w:num w:numId="13">
    <w:abstractNumId w:val="1"/>
  </w:num>
  <w:num w:numId="14">
    <w:abstractNumId w:val="14"/>
  </w:num>
  <w:num w:numId="15">
    <w:abstractNumId w:val="15"/>
  </w:num>
  <w:num w:numId="16">
    <w:abstractNumId w:val="19"/>
  </w:num>
  <w:num w:numId="17">
    <w:abstractNumId w:val="18"/>
  </w:num>
  <w:num w:numId="18">
    <w:abstractNumId w:val="9"/>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0E3DF5"/>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1FCF"/>
    <w:rsid w:val="00C6790C"/>
    <w:rsid w:val="00C85E8F"/>
    <w:rsid w:val="00C904D3"/>
    <w:rsid w:val="00CA515A"/>
    <w:rsid w:val="00CB4D52"/>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792</Words>
  <Characters>4518</Characters>
  <Application>Microsoft Office Word</Application>
  <DocSecurity>0</DocSecurity>
  <Lines>37</Lines>
  <Paragraphs>10</Paragraphs>
  <ScaleCrop>false</ScaleCrop>
  <Company>Hewlett-Packard Company</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謝昌勝</cp:lastModifiedBy>
  <cp:revision>16</cp:revision>
  <cp:lastPrinted>2004-03-09T19:20:00Z</cp:lastPrinted>
  <dcterms:created xsi:type="dcterms:W3CDTF">2025-04-18T10:47:00Z</dcterms:created>
  <dcterms:modified xsi:type="dcterms:W3CDTF">2026-06-25T01:46:00Z</dcterms:modified>
</cp:coreProperties>
</file>