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EB4F3" w14:textId="4D78255C"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w:t>
      </w:r>
      <w:r w:rsidR="00D93714" w:rsidRPr="00D93714">
        <w:rPr>
          <w:rFonts w:ascii="新細明體" w:eastAsia="新細明體" w:hAnsi="新細明體" w:cs="新細明體" w:hint="eastAsia"/>
          <w:color w:val="000000"/>
        </w:rPr>
        <w:t>內部稽核實施細則</w:t>
      </w:r>
      <w:r w:rsidRPr="00F6439B">
        <w:rPr>
          <w:rFonts w:ascii="新細明體" w:eastAsia="新細明體" w:hAnsi="新細明體" w:cs="新細明體" w:hint="eastAsia"/>
          <w:color w:val="000000"/>
        </w:rPr>
        <w:t>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76"/>
        <w:gridCol w:w="5386"/>
        <w:gridCol w:w="5387"/>
        <w:gridCol w:w="2023"/>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shd w:val="clear" w:color="auto" w:fill="auto"/>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shd w:val="clear" w:color="auto" w:fill="auto"/>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shd w:val="clear" w:color="auto" w:fill="auto"/>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shd w:val="clear" w:color="auto" w:fill="auto"/>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shd w:val="clear" w:color="auto" w:fill="auto"/>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shd w:val="clear" w:color="auto" w:fill="auto"/>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AC-18000</w:t>
            </w:r>
          </w:p>
        </w:tc>
        <w:tc>
          <w:tcPr>
            <w:tcW w:w="1276" w:type="dxa"/>
            <w:vMerge w:val="restart"/>
            <w:tcBorders>
              <w:top w:val="single" w:sz="12" w:space="0" w:color="auto"/>
            </w:tcBorders>
            <w:shd w:val="clear" w:color="auto" w:fill="auto"/>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存取控制之稽核</w:t>
            </w:r>
          </w:p>
          <w:p w14:paraId="59A1F49D" w14:textId="77777777" w:rsidR="003B3105" w:rsidRPr="00F6439B" w:rsidRDefault="003B3105" w:rsidP="001E533B">
            <w:pPr>
              <w:rPr>
                <w:rFonts w:ascii="新細明體" w:eastAsia="新細明體" w:hAnsi="新細明體"/>
              </w:rPr>
            </w:pPr>
            <w:r>
              <w:rPr>
                <w:rFonts w:ascii="新細明體" w:eastAsia="新細明體" w:hAnsi="新細明體" w:hint="eastAsia"/>
              </w:rPr>
              <w:t>目的：</w:t>
            </w:r>
          </w:p>
          <w:p w14:paraId="35320506" w14:textId="77777777" w:rsidR="003B3105" w:rsidRPr="00F6439B" w:rsidRDefault="003B3105" w:rsidP="001E533B">
            <w:pPr>
              <w:rPr>
                <w:rFonts w:ascii="新細明體" w:eastAsia="新細明體" w:hAnsi="新細明體"/>
              </w:rPr>
            </w:pPr>
            <w:r>
              <w:rPr>
                <w:rFonts w:ascii="新細明體" w:eastAsia="新細明體" w:hAnsi="新細明體" w:hint="eastAsia"/>
              </w:rPr>
              <w:t>確定上述作業是否符合規定辦理</w:t>
            </w:r>
          </w:p>
        </w:tc>
        <w:tc>
          <w:tcPr>
            <w:tcW w:w="5386" w:type="dxa"/>
            <w:tcBorders>
              <w:top w:val="single" w:sz="12" w:space="0" w:color="auto"/>
              <w:bottom w:val="nil"/>
            </w:tcBorders>
            <w:shd w:val="clear" w:color="auto" w:fill="auto"/>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不定期（每月至少查核乙次）</w:t>
            </w:r>
          </w:p>
        </w:tc>
        <w:tc>
          <w:tcPr>
            <w:tcW w:w="5387" w:type="dxa"/>
            <w:tcBorders>
              <w:top w:val="single" w:sz="12" w:space="0" w:color="auto"/>
              <w:bottom w:val="nil"/>
            </w:tcBorders>
            <w:shd w:val="clear" w:color="auto" w:fill="auto"/>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不定期（每月至少查核乙次）</w:t>
            </w:r>
          </w:p>
        </w:tc>
        <w:tc>
          <w:tcPr>
            <w:tcW w:w="2023" w:type="dxa"/>
            <w:vMerge w:val="restart"/>
            <w:tcBorders>
              <w:top w:val="single" w:sz="12" w:space="0" w:color="auto"/>
              <w:right w:val="single" w:sz="12" w:space="0" w:color="auto"/>
            </w:tcBorders>
            <w:shd w:val="clear" w:color="auto" w:fill="auto"/>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1.增訂系統使用帳號密碼之例外管理規定； 2.調整用字一致性； 3.調整範例，避免使用安全性不足之協議。</w:t>
            </w:r>
          </w:p>
        </w:tc>
      </w:tr>
      <w:tr w:rsidR="003B3105" w:rsidRPr="00F6439B" w14:paraId="2BC6EC63" w14:textId="77777777">
        <w:tc>
          <w:tcPr>
            <w:tcW w:w="1384" w:type="dxa"/>
            <w:vMerge/>
            <w:tcBorders>
              <w:left w:val="single" w:sz="12" w:space="0" w:color="auto"/>
            </w:tcBorders>
            <w:shd w:val="clear" w:color="auto" w:fill="auto"/>
          </w:tcPr>
          <w:p w14:paraId="209BBC6A" w14:textId="77777777" w:rsidR="003B3105" w:rsidRDefault="003B3105" w:rsidP="001E533B">
            <w:pPr>
              <w:rPr>
                <w:rFonts w:ascii="新細明體" w:eastAsia="新細明體" w:hAnsi="新細明體"/>
              </w:rPr>
            </w:pPr>
          </w:p>
        </w:tc>
        <w:tc>
          <w:tcPr>
            <w:tcW w:w="1276" w:type="dxa"/>
            <w:vMerge/>
            <w:shd w:val="clear" w:color="auto" w:fill="auto"/>
          </w:tcPr>
          <w:p w14:paraId="1197E296"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(一)對於程式的存取使用，是否有詳細的書面管制說明。</w:t>
            </w:r>
          </w:p>
        </w:tc>
        <w:tc>
          <w:tcPr>
            <w:tcW w:w="5387" w:type="dxa"/>
            <w:tcBorders>
              <w:top w:val="nil"/>
              <w:bottom w:val="nil"/>
            </w:tcBorders>
            <w:shd w:val="clear" w:color="auto" w:fill="auto"/>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(一)對於程式的存取使用，是否有詳細的書面管制說明。</w:t>
            </w:r>
          </w:p>
        </w:tc>
        <w:tc>
          <w:tcPr>
            <w:tcW w:w="2023" w:type="dxa"/>
            <w:vMerge/>
            <w:tcBorders>
              <w:right w:val="single" w:sz="12" w:space="0" w:color="auto"/>
            </w:tcBorders>
            <w:shd w:val="clear" w:color="auto" w:fill="auto"/>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037E24E" w14:textId="77777777">
        <w:tc>
          <w:tcPr>
            <w:tcW w:w="1384" w:type="dxa"/>
            <w:vMerge/>
            <w:tcBorders>
              <w:left w:val="single" w:sz="12" w:space="0" w:color="auto"/>
            </w:tcBorders>
            <w:shd w:val="clear" w:color="auto" w:fill="auto"/>
          </w:tcPr>
          <w:p w14:paraId="5AF796C9" w14:textId="77777777" w:rsidR="003B3105" w:rsidRDefault="003B3105" w:rsidP="001E533B">
            <w:pPr>
              <w:rPr>
                <w:rFonts w:ascii="新細明體" w:eastAsia="新細明體" w:hAnsi="新細明體"/>
              </w:rPr>
            </w:pPr>
          </w:p>
        </w:tc>
        <w:tc>
          <w:tcPr>
            <w:tcW w:w="1276" w:type="dxa"/>
            <w:vMerge/>
            <w:shd w:val="clear" w:color="auto" w:fill="auto"/>
          </w:tcPr>
          <w:p w14:paraId="67609487"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F2EF46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(二)人員異動時是否及時更新其使用權限。</w:t>
            </w:r>
          </w:p>
        </w:tc>
        <w:tc>
          <w:tcPr>
            <w:tcW w:w="5387" w:type="dxa"/>
            <w:tcBorders>
              <w:top w:val="nil"/>
              <w:bottom w:val="nil"/>
            </w:tcBorders>
            <w:shd w:val="clear" w:color="auto" w:fill="auto"/>
          </w:tcPr>
          <w:p w14:paraId="4762185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(二)人員異動時是否及時更新其使用權限。</w:t>
            </w:r>
          </w:p>
        </w:tc>
        <w:tc>
          <w:tcPr>
            <w:tcW w:w="2023" w:type="dxa"/>
            <w:vMerge/>
            <w:tcBorders>
              <w:right w:val="single" w:sz="12" w:space="0" w:color="auto"/>
            </w:tcBorders>
            <w:shd w:val="clear" w:color="auto" w:fill="auto"/>
          </w:tcPr>
          <w:p w14:paraId="194B7E4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260615C" w14:textId="77777777">
        <w:tc>
          <w:tcPr>
            <w:tcW w:w="1384" w:type="dxa"/>
            <w:vMerge/>
            <w:tcBorders>
              <w:left w:val="single" w:sz="12" w:space="0" w:color="auto"/>
            </w:tcBorders>
            <w:shd w:val="clear" w:color="auto" w:fill="auto"/>
          </w:tcPr>
          <w:p w14:paraId="7AF17784" w14:textId="77777777" w:rsidR="003B3105" w:rsidRDefault="003B3105" w:rsidP="001E533B">
            <w:pPr>
              <w:rPr>
                <w:rFonts w:ascii="新細明體" w:eastAsia="新細明體" w:hAnsi="新細明體"/>
              </w:rPr>
            </w:pPr>
          </w:p>
        </w:tc>
        <w:tc>
          <w:tcPr>
            <w:tcW w:w="1276" w:type="dxa"/>
            <w:vMerge/>
            <w:shd w:val="clear" w:color="auto" w:fill="auto"/>
          </w:tcPr>
          <w:p w14:paraId="1C82F11A"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66834C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(三)對於程式及檔案之存取使用，是否按權限區分。</w:t>
            </w:r>
          </w:p>
        </w:tc>
        <w:tc>
          <w:tcPr>
            <w:tcW w:w="5387" w:type="dxa"/>
            <w:tcBorders>
              <w:top w:val="nil"/>
              <w:bottom w:val="nil"/>
            </w:tcBorders>
            <w:shd w:val="clear" w:color="auto" w:fill="auto"/>
          </w:tcPr>
          <w:p w14:paraId="46BCC6C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(三)對於程式及檔案之存取使用，是否按權限區分。</w:t>
            </w:r>
          </w:p>
        </w:tc>
        <w:tc>
          <w:tcPr>
            <w:tcW w:w="2023" w:type="dxa"/>
            <w:vMerge/>
            <w:tcBorders>
              <w:right w:val="single" w:sz="12" w:space="0" w:color="auto"/>
            </w:tcBorders>
            <w:shd w:val="clear" w:color="auto" w:fill="auto"/>
          </w:tcPr>
          <w:p w14:paraId="5323758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FA11F0A" w14:textId="77777777">
        <w:tc>
          <w:tcPr>
            <w:tcW w:w="1384" w:type="dxa"/>
            <w:vMerge/>
            <w:tcBorders>
              <w:left w:val="single" w:sz="12" w:space="0" w:color="auto"/>
            </w:tcBorders>
            <w:shd w:val="clear" w:color="auto" w:fill="auto"/>
          </w:tcPr>
          <w:p w14:paraId="1683CB6F" w14:textId="77777777" w:rsidR="003B3105" w:rsidRDefault="003B3105" w:rsidP="001E533B">
            <w:pPr>
              <w:rPr>
                <w:rFonts w:ascii="新細明體" w:eastAsia="新細明體" w:hAnsi="新細明體"/>
              </w:rPr>
            </w:pPr>
          </w:p>
        </w:tc>
        <w:tc>
          <w:tcPr>
            <w:tcW w:w="1276" w:type="dxa"/>
            <w:vMerge/>
            <w:shd w:val="clear" w:color="auto" w:fill="auto"/>
          </w:tcPr>
          <w:p w14:paraId="59201FF7"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0771AE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(四)委外人員電腦通行使用權利是否經適當控管；委外期間結束後，是否立即收回該項權利。</w:t>
            </w:r>
          </w:p>
        </w:tc>
        <w:tc>
          <w:tcPr>
            <w:tcW w:w="5387" w:type="dxa"/>
            <w:tcBorders>
              <w:top w:val="nil"/>
              <w:bottom w:val="nil"/>
            </w:tcBorders>
            <w:shd w:val="clear" w:color="auto" w:fill="auto"/>
          </w:tcPr>
          <w:p w14:paraId="344EDC8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(四)委外人員電腦通行使用權利是否經適當控管；委外期間結束後，是否立即收回該項權利。</w:t>
            </w:r>
          </w:p>
        </w:tc>
        <w:tc>
          <w:tcPr>
            <w:tcW w:w="2023" w:type="dxa"/>
            <w:vMerge/>
            <w:tcBorders>
              <w:right w:val="single" w:sz="12" w:space="0" w:color="auto"/>
            </w:tcBorders>
            <w:shd w:val="clear" w:color="auto" w:fill="auto"/>
          </w:tcPr>
          <w:p w14:paraId="506F79D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42537D6" w14:textId="77777777">
        <w:tc>
          <w:tcPr>
            <w:tcW w:w="1384" w:type="dxa"/>
            <w:vMerge/>
            <w:tcBorders>
              <w:left w:val="single" w:sz="12" w:space="0" w:color="auto"/>
            </w:tcBorders>
            <w:shd w:val="clear" w:color="auto" w:fill="auto"/>
          </w:tcPr>
          <w:p w14:paraId="4330B3D9" w14:textId="77777777" w:rsidR="003B3105" w:rsidRDefault="003B3105" w:rsidP="001E533B">
            <w:pPr>
              <w:rPr>
                <w:rFonts w:ascii="新細明體" w:eastAsia="新細明體" w:hAnsi="新細明體"/>
              </w:rPr>
            </w:pPr>
          </w:p>
        </w:tc>
        <w:tc>
          <w:tcPr>
            <w:tcW w:w="1276" w:type="dxa"/>
            <w:vMerge/>
            <w:shd w:val="clear" w:color="auto" w:fill="auto"/>
          </w:tcPr>
          <w:p w14:paraId="3E707748"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B9CCAC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(五)對於進駐於公司內之委外作業人員是否納入公司安全管理，如欲使用內部網路資源時，是否有安全管制措施(如透過轉接方式或另建網路者，宜與內部網路作實體隔離)。</w:t>
            </w:r>
          </w:p>
        </w:tc>
        <w:tc>
          <w:tcPr>
            <w:tcW w:w="5387" w:type="dxa"/>
            <w:tcBorders>
              <w:top w:val="nil"/>
              <w:bottom w:val="nil"/>
            </w:tcBorders>
            <w:shd w:val="clear" w:color="auto" w:fill="auto"/>
          </w:tcPr>
          <w:p w14:paraId="491B913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(五)對於進駐於公司內之委外作業人員是否納入公司安全管理，如欲使用內部網路資源時，是否有安全管制措施(如透過轉接方式或另建網路者，宜與內部網路作實體隔離)。</w:t>
            </w:r>
          </w:p>
        </w:tc>
        <w:tc>
          <w:tcPr>
            <w:tcW w:w="2023" w:type="dxa"/>
            <w:vMerge/>
            <w:tcBorders>
              <w:right w:val="single" w:sz="12" w:space="0" w:color="auto"/>
            </w:tcBorders>
            <w:shd w:val="clear" w:color="auto" w:fill="auto"/>
          </w:tcPr>
          <w:p w14:paraId="419F379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5CB4096" w14:textId="77777777">
        <w:tc>
          <w:tcPr>
            <w:tcW w:w="1384" w:type="dxa"/>
            <w:vMerge/>
            <w:tcBorders>
              <w:left w:val="single" w:sz="12" w:space="0" w:color="auto"/>
            </w:tcBorders>
            <w:shd w:val="clear" w:color="auto" w:fill="auto"/>
          </w:tcPr>
          <w:p w14:paraId="72DBD040" w14:textId="77777777" w:rsidR="003B3105" w:rsidRDefault="003B3105" w:rsidP="001E533B">
            <w:pPr>
              <w:rPr>
                <w:rFonts w:ascii="新細明體" w:eastAsia="新細明體" w:hAnsi="新細明體"/>
              </w:rPr>
            </w:pPr>
          </w:p>
        </w:tc>
        <w:tc>
          <w:tcPr>
            <w:tcW w:w="1276" w:type="dxa"/>
            <w:vMerge/>
            <w:shd w:val="clear" w:color="auto" w:fill="auto"/>
          </w:tcPr>
          <w:p w14:paraId="75D11A56"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1EC557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(六)是否定期(至少每半年一次)審查資通系統帳號及權限之適切性，並視審查結果停用資通系統閒置帳號客戶帳號除外)。</w:t>
            </w:r>
          </w:p>
        </w:tc>
        <w:tc>
          <w:tcPr>
            <w:tcW w:w="5387" w:type="dxa"/>
            <w:tcBorders>
              <w:top w:val="nil"/>
              <w:bottom w:val="nil"/>
            </w:tcBorders>
            <w:shd w:val="clear" w:color="auto" w:fill="auto"/>
          </w:tcPr>
          <w:p w14:paraId="1296C82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(六)是否定期(至少每半年一次)審查資通系統帳號及權限之適切性，並視審查結果停用資通系統閒置帳號客戶帳號除外)。</w:t>
            </w:r>
          </w:p>
        </w:tc>
        <w:tc>
          <w:tcPr>
            <w:tcW w:w="2023" w:type="dxa"/>
            <w:vMerge/>
            <w:tcBorders>
              <w:right w:val="single" w:sz="12" w:space="0" w:color="auto"/>
            </w:tcBorders>
            <w:shd w:val="clear" w:color="auto" w:fill="auto"/>
          </w:tcPr>
          <w:p w14:paraId="3D89AD5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658B9F4" w14:textId="77777777">
        <w:tc>
          <w:tcPr>
            <w:tcW w:w="1384" w:type="dxa"/>
            <w:vMerge/>
            <w:tcBorders>
              <w:left w:val="single" w:sz="12" w:space="0" w:color="auto"/>
            </w:tcBorders>
            <w:shd w:val="clear" w:color="auto" w:fill="auto"/>
          </w:tcPr>
          <w:p w14:paraId="4179A8DD" w14:textId="77777777" w:rsidR="003B3105" w:rsidRDefault="003B3105" w:rsidP="001E533B">
            <w:pPr>
              <w:rPr>
                <w:rFonts w:ascii="新細明體" w:eastAsia="新細明體" w:hAnsi="新細明體"/>
              </w:rPr>
            </w:pPr>
          </w:p>
        </w:tc>
        <w:tc>
          <w:tcPr>
            <w:tcW w:w="1276" w:type="dxa"/>
            <w:vMerge/>
            <w:shd w:val="clear" w:color="auto" w:fill="auto"/>
          </w:tcPr>
          <w:p w14:paraId="734FEF1D"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5C951AA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(七)公司是否建立資通系統帳號管理機制，包含帳號之申請、建立、修改、啟用、停用及刪除之程序。</w:t>
            </w:r>
          </w:p>
        </w:tc>
        <w:tc>
          <w:tcPr>
            <w:tcW w:w="5387" w:type="dxa"/>
            <w:tcBorders>
              <w:top w:val="nil"/>
              <w:bottom w:val="nil"/>
            </w:tcBorders>
            <w:shd w:val="clear" w:color="auto" w:fill="auto"/>
          </w:tcPr>
          <w:p w14:paraId="5F2C60E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(七)公司是否建立資通系統帳號管理機制，包含帳號之申請、建立、修改、啟用、停用及刪除之程序。</w:t>
            </w:r>
          </w:p>
        </w:tc>
        <w:tc>
          <w:tcPr>
            <w:tcW w:w="2023" w:type="dxa"/>
            <w:vMerge/>
            <w:tcBorders>
              <w:right w:val="single" w:sz="12" w:space="0" w:color="auto"/>
            </w:tcBorders>
            <w:shd w:val="clear" w:color="auto" w:fill="auto"/>
          </w:tcPr>
          <w:p w14:paraId="448DFE1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166B15D" w14:textId="77777777">
        <w:tc>
          <w:tcPr>
            <w:tcW w:w="1384" w:type="dxa"/>
            <w:vMerge/>
            <w:tcBorders>
              <w:left w:val="single" w:sz="12" w:space="0" w:color="auto"/>
            </w:tcBorders>
            <w:shd w:val="clear" w:color="auto" w:fill="auto"/>
          </w:tcPr>
          <w:p w14:paraId="64E28F12" w14:textId="77777777" w:rsidR="003B3105" w:rsidRDefault="003B3105" w:rsidP="001E533B">
            <w:pPr>
              <w:rPr>
                <w:rFonts w:ascii="新細明體" w:eastAsia="新細明體" w:hAnsi="新細明體"/>
              </w:rPr>
            </w:pPr>
          </w:p>
        </w:tc>
        <w:tc>
          <w:tcPr>
            <w:tcW w:w="1276" w:type="dxa"/>
            <w:vMerge/>
            <w:shd w:val="clear" w:color="auto" w:fill="auto"/>
          </w:tcPr>
          <w:p w14:paraId="62977FAD"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909FD6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(八)資通系統帳號是否定義人員角色及責任，授權是否採最小權限原則，僅允許使用者(或代表使用者行為之程序)依公司部門權責及業務功能，完成作業所需之授權存取。</w:t>
            </w:r>
          </w:p>
        </w:tc>
        <w:tc>
          <w:tcPr>
            <w:tcW w:w="5387" w:type="dxa"/>
            <w:tcBorders>
              <w:top w:val="nil"/>
              <w:bottom w:val="nil"/>
            </w:tcBorders>
            <w:shd w:val="clear" w:color="auto" w:fill="auto"/>
          </w:tcPr>
          <w:p w14:paraId="3F4AD49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(八)資通系統帳號是否定義人員角色及責任，授權是否採最小權限原則，僅允許使用者(或代表使用者行為之程序)依公司部門權責及業務功能，完成作業所需之授權存取。</w:t>
            </w:r>
          </w:p>
        </w:tc>
        <w:tc>
          <w:tcPr>
            <w:tcW w:w="2023" w:type="dxa"/>
            <w:vMerge/>
            <w:tcBorders>
              <w:right w:val="single" w:sz="12" w:space="0" w:color="auto"/>
            </w:tcBorders>
            <w:shd w:val="clear" w:color="auto" w:fill="auto"/>
          </w:tcPr>
          <w:p w14:paraId="34CAC14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01500A6" w14:textId="77777777">
        <w:tc>
          <w:tcPr>
            <w:tcW w:w="1384" w:type="dxa"/>
            <w:vMerge/>
            <w:tcBorders>
              <w:left w:val="single" w:sz="12" w:space="0" w:color="auto"/>
            </w:tcBorders>
            <w:shd w:val="clear" w:color="auto" w:fill="auto"/>
          </w:tcPr>
          <w:p w14:paraId="3BAF296F" w14:textId="77777777" w:rsidR="003B3105" w:rsidRDefault="003B3105" w:rsidP="001E533B">
            <w:pPr>
              <w:rPr>
                <w:rFonts w:ascii="新細明體" w:eastAsia="新細明體" w:hAnsi="新細明體"/>
              </w:rPr>
            </w:pPr>
          </w:p>
        </w:tc>
        <w:tc>
          <w:tcPr>
            <w:tcW w:w="1276" w:type="dxa"/>
            <w:vMerge/>
            <w:shd w:val="clear" w:color="auto" w:fill="auto"/>
          </w:tcPr>
          <w:p w14:paraId="49D54956"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66B430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(九)使用者第一次使用系統時，是否更新初始密碼後方可繼續作業。</w:t>
            </w:r>
          </w:p>
        </w:tc>
        <w:tc>
          <w:tcPr>
            <w:tcW w:w="5387" w:type="dxa"/>
            <w:tcBorders>
              <w:top w:val="nil"/>
              <w:bottom w:val="nil"/>
            </w:tcBorders>
            <w:shd w:val="clear" w:color="auto" w:fill="auto"/>
          </w:tcPr>
          <w:p w14:paraId="2BF84F9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(九)使用者第一次使用系統時，是否更新初始密碼後方可繼續作業。</w:t>
            </w:r>
          </w:p>
        </w:tc>
        <w:tc>
          <w:tcPr>
            <w:tcW w:w="2023" w:type="dxa"/>
            <w:vMerge/>
            <w:tcBorders>
              <w:right w:val="single" w:sz="12" w:space="0" w:color="auto"/>
            </w:tcBorders>
            <w:shd w:val="clear" w:color="auto" w:fill="auto"/>
          </w:tcPr>
          <w:p w14:paraId="701350F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DF0B603" w14:textId="77777777">
        <w:tc>
          <w:tcPr>
            <w:tcW w:w="1384" w:type="dxa"/>
            <w:vMerge/>
            <w:tcBorders>
              <w:left w:val="single" w:sz="12" w:space="0" w:color="auto"/>
            </w:tcBorders>
            <w:shd w:val="clear" w:color="auto" w:fill="auto"/>
          </w:tcPr>
          <w:p w14:paraId="30C6A4B7" w14:textId="77777777" w:rsidR="003B3105" w:rsidRDefault="003B3105" w:rsidP="001E533B">
            <w:pPr>
              <w:rPr>
                <w:rFonts w:ascii="新細明體" w:eastAsia="新細明體" w:hAnsi="新細明體"/>
              </w:rPr>
            </w:pPr>
          </w:p>
        </w:tc>
        <w:tc>
          <w:tcPr>
            <w:tcW w:w="1276" w:type="dxa"/>
            <w:vMerge/>
            <w:shd w:val="clear" w:color="auto" w:fill="auto"/>
          </w:tcPr>
          <w:p w14:paraId="4FA9D41A"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13AB83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密碼是否使用公開安全且未遭破解之演算法(例如：雜湊演算法等不可逆運算式)產生亂碼並加密儲存。；初始密碼是否隨機產生，並與使用者或客戶身分無關。(本項不適用採自行訂定交付電子式交易密碼條之方式)。</w:t>
            </w:r>
          </w:p>
        </w:tc>
        <w:tc>
          <w:tcPr>
            <w:tcW w:w="5387" w:type="dxa"/>
            <w:tcBorders>
              <w:top w:val="nil"/>
              <w:bottom w:val="nil"/>
            </w:tcBorders>
            <w:shd w:val="clear" w:color="auto" w:fill="auto"/>
          </w:tcPr>
          <w:p w14:paraId="04B92C5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密碼是否使用公開安全且未遭破解之演算法(例如：雜湊演算法等不可逆運算式)產生亂碼並加密儲存。；初始密碼是否隨機產生，並與使用者或客戶身分無關。(本項不適用採自行訂定交付電子式交易密碼條之方式)。</w:t>
            </w:r>
          </w:p>
        </w:tc>
        <w:tc>
          <w:tcPr>
            <w:tcW w:w="2023" w:type="dxa"/>
            <w:vMerge/>
            <w:tcBorders>
              <w:right w:val="single" w:sz="12" w:space="0" w:color="auto"/>
            </w:tcBorders>
            <w:shd w:val="clear" w:color="auto" w:fill="auto"/>
          </w:tcPr>
          <w:p w14:paraId="4EE68E5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334A854" w14:textId="77777777">
        <w:tc>
          <w:tcPr>
            <w:tcW w:w="1384" w:type="dxa"/>
            <w:vMerge/>
            <w:tcBorders>
              <w:left w:val="single" w:sz="12" w:space="0" w:color="auto"/>
            </w:tcBorders>
            <w:shd w:val="clear" w:color="auto" w:fill="auto"/>
          </w:tcPr>
          <w:p w14:paraId="168399B0" w14:textId="77777777" w:rsidR="003B3105" w:rsidRDefault="003B3105" w:rsidP="001E533B">
            <w:pPr>
              <w:rPr>
                <w:rFonts w:ascii="新細明體" w:eastAsia="新細明體" w:hAnsi="新細明體"/>
              </w:rPr>
            </w:pPr>
          </w:p>
        </w:tc>
        <w:tc>
          <w:tcPr>
            <w:tcW w:w="1276" w:type="dxa"/>
            <w:vMerge/>
            <w:shd w:val="clear" w:color="auto" w:fill="auto"/>
          </w:tcPr>
          <w:p w14:paraId="51ABAD82"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22C336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密碼輸入錯誤次數達五次者，是否予中斷連線及鎖定該帳號至少十五分鐘不允許該帳號繼續嘗試登入，並留存紀錄。公司於接獲客戶聯繫申請解除鎖定時，是否確實辨認身分（如聯繫客服驗證基本資料、OTP、臨櫃辦理等方式），並留存相關紀錄後，始得辦理之。</w:t>
            </w:r>
          </w:p>
        </w:tc>
        <w:tc>
          <w:tcPr>
            <w:tcW w:w="5387" w:type="dxa"/>
            <w:tcBorders>
              <w:top w:val="nil"/>
              <w:bottom w:val="nil"/>
            </w:tcBorders>
            <w:shd w:val="clear" w:color="auto" w:fill="auto"/>
          </w:tcPr>
          <w:p w14:paraId="34BC2AA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密碼輸入錯誤次數達五次者，是否予中斷連線及鎖定該帳號至少十五分鐘不允許該帳號繼續嘗試登入，並留存紀錄。公司於接獲客戶聯繫申請解除鎖定時，是否確實辨認身分（如聯繫客服驗證基本資料、OTP、臨櫃辦理等方式），並留存相關紀錄後，始得辦理之。</w:t>
            </w:r>
          </w:p>
        </w:tc>
        <w:tc>
          <w:tcPr>
            <w:tcW w:w="2023" w:type="dxa"/>
            <w:vMerge/>
            <w:tcBorders>
              <w:right w:val="single" w:sz="12" w:space="0" w:color="auto"/>
            </w:tcBorders>
            <w:shd w:val="clear" w:color="auto" w:fill="auto"/>
          </w:tcPr>
          <w:p w14:paraId="31BDA37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B7BA0E1" w14:textId="77777777">
        <w:tc>
          <w:tcPr>
            <w:tcW w:w="1384" w:type="dxa"/>
            <w:vMerge/>
            <w:tcBorders>
              <w:left w:val="single" w:sz="12" w:space="0" w:color="auto"/>
            </w:tcBorders>
            <w:shd w:val="clear" w:color="auto" w:fill="auto"/>
          </w:tcPr>
          <w:p w14:paraId="262A7CC7" w14:textId="77777777" w:rsidR="003B3105" w:rsidRDefault="003B3105" w:rsidP="001E533B">
            <w:pPr>
              <w:rPr>
                <w:rFonts w:ascii="新細明體" w:eastAsia="新細明體" w:hAnsi="新細明體"/>
              </w:rPr>
            </w:pPr>
          </w:p>
        </w:tc>
        <w:tc>
          <w:tcPr>
            <w:tcW w:w="1276" w:type="dxa"/>
            <w:vMerge/>
            <w:shd w:val="clear" w:color="auto" w:fill="auto"/>
          </w:tcPr>
          <w:p w14:paraId="4701A51A"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527A2E0"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(十二)對於使用者及客戶忘記密碼之處理，公司是否有嚴格的身分確認程序(如聯繫客服驗證基本資料、OTP、臨櫃辦理等方式)，方可再次使用系統。</w:t>
            </w:r>
          </w:p>
        </w:tc>
        <w:tc>
          <w:tcPr>
            <w:tcW w:w="5387" w:type="dxa"/>
            <w:tcBorders>
              <w:top w:val="nil"/>
              <w:bottom w:val="nil"/>
            </w:tcBorders>
            <w:shd w:val="clear" w:color="auto" w:fill="auto"/>
          </w:tcPr>
          <w:p w14:paraId="7CA02956"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(十二)對於使用者及客戶忘記密碼之處理，公司是否有嚴格的身分確認程序(如聯繫客服驗證基本資料、OTP、臨櫃辦理等方式)，方可再次使用系統。</w:t>
            </w:r>
          </w:p>
        </w:tc>
        <w:tc>
          <w:tcPr>
            <w:tcW w:w="2023" w:type="dxa"/>
            <w:vMerge/>
            <w:tcBorders>
              <w:right w:val="single" w:sz="12" w:space="0" w:color="auto"/>
            </w:tcBorders>
            <w:shd w:val="clear" w:color="auto" w:fill="auto"/>
          </w:tcPr>
          <w:p w14:paraId="275ED0C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0F0DD70" w14:textId="77777777">
        <w:tc>
          <w:tcPr>
            <w:tcW w:w="1384" w:type="dxa"/>
            <w:vMerge/>
            <w:tcBorders>
              <w:left w:val="single" w:sz="12" w:space="0" w:color="auto"/>
            </w:tcBorders>
            <w:shd w:val="clear" w:color="auto" w:fill="auto"/>
          </w:tcPr>
          <w:p w14:paraId="50D7C1FC" w14:textId="77777777" w:rsidR="003B3105" w:rsidRDefault="003B3105" w:rsidP="001E533B">
            <w:pPr>
              <w:rPr>
                <w:rFonts w:ascii="新細明體" w:eastAsia="新細明體" w:hAnsi="新細明體"/>
              </w:rPr>
            </w:pPr>
          </w:p>
        </w:tc>
        <w:tc>
          <w:tcPr>
            <w:tcW w:w="1276" w:type="dxa"/>
            <w:vMerge/>
            <w:shd w:val="clear" w:color="auto" w:fill="auto"/>
          </w:tcPr>
          <w:p w14:paraId="0039D045"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4F793E0"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(十三)除語音按鍵下單，公司是否使用優質密碼設定(長度六個字元(含)以上，且具有文數字或符號)並進行管控。</w:t>
            </w:r>
          </w:p>
        </w:tc>
        <w:tc>
          <w:tcPr>
            <w:tcW w:w="5387" w:type="dxa"/>
            <w:tcBorders>
              <w:top w:val="nil"/>
              <w:bottom w:val="nil"/>
            </w:tcBorders>
            <w:shd w:val="clear" w:color="auto" w:fill="auto"/>
          </w:tcPr>
          <w:p w14:paraId="68F0C3AD"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(十三)除語音按鍵下單，公司是否使用優質密碼設定(長度六個字元(含)以上，且具有文數字或符號)並進行管控。</w:t>
            </w:r>
          </w:p>
        </w:tc>
        <w:tc>
          <w:tcPr>
            <w:tcW w:w="2023" w:type="dxa"/>
            <w:vMerge/>
            <w:tcBorders>
              <w:right w:val="single" w:sz="12" w:space="0" w:color="auto"/>
            </w:tcBorders>
            <w:shd w:val="clear" w:color="auto" w:fill="auto"/>
          </w:tcPr>
          <w:p w14:paraId="778FC12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ABE3060" w14:textId="77777777">
        <w:tc>
          <w:tcPr>
            <w:tcW w:w="1384" w:type="dxa"/>
            <w:vMerge/>
            <w:tcBorders>
              <w:left w:val="single" w:sz="12" w:space="0" w:color="auto"/>
            </w:tcBorders>
            <w:shd w:val="clear" w:color="auto" w:fill="auto"/>
          </w:tcPr>
          <w:p w14:paraId="136BF26C" w14:textId="77777777" w:rsidR="003B3105" w:rsidRDefault="003B3105" w:rsidP="001E533B">
            <w:pPr>
              <w:rPr>
                <w:rFonts w:ascii="新細明體" w:eastAsia="新細明體" w:hAnsi="新細明體"/>
              </w:rPr>
            </w:pPr>
          </w:p>
        </w:tc>
        <w:tc>
          <w:tcPr>
            <w:tcW w:w="1276" w:type="dxa"/>
            <w:vMerge/>
            <w:shd w:val="clear" w:color="auto" w:fill="auto"/>
          </w:tcPr>
          <w:p w14:paraId="2F3FDFD1"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07A32D0"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(十四)客戶密碼超過一年未變更或變更密碼與前一代相同，公司是否做妥善處理。公司使用者之密碼</w:t>
            </w:r>
            <w:r>
              <w:rPr>
                <w:rFonts w:ascii="新細明體" w:eastAsia="新細明體" w:hAnsi="新細明體" w:cs="新細明體" w:hint="eastAsia"/>
                <w:b/>
                <w:color w:val="FF0000"/>
                <w:u w:val="single"/>
              </w:rPr>
              <w:t>，除提供系統使用之帳號採定期變更或適當安全控管措施（如限制人工登入、監控告警等）外，</w:t>
            </w:r>
            <w:r>
              <w:rPr>
                <w:rFonts w:ascii="新細明體" w:eastAsia="新細明體" w:hAnsi="新細明體" w:cs="新細明體" w:hint="eastAsia"/>
              </w:rPr>
              <w:t>是否至少每三個月變更一次。</w:t>
            </w:r>
          </w:p>
        </w:tc>
        <w:tc>
          <w:tcPr>
            <w:tcW w:w="5387" w:type="dxa"/>
            <w:tcBorders>
              <w:top w:val="nil"/>
              <w:bottom w:val="nil"/>
            </w:tcBorders>
            <w:shd w:val="clear" w:color="auto" w:fill="auto"/>
          </w:tcPr>
          <w:p w14:paraId="2AFC1FE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(十四)客戶密碼超過一年未變更或變更密碼與前一代相同，公司是否做妥善處理。</w:t>
            </w:r>
            <w:r>
              <w:rPr>
                <w:rFonts w:ascii="新細明體" w:eastAsia="新細明體" w:hAnsi="新細明體" w:cs="新細明體" w:hint="eastAsia"/>
                <w:b/>
                <w:color w:val="FF0000"/>
              </w:rPr>
              <w:t>除客戶外，</w:t>
            </w:r>
            <w:r>
              <w:rPr>
                <w:rFonts w:ascii="新細明體" w:eastAsia="新細明體" w:hAnsi="新細明體" w:cs="新細明體" w:hint="eastAsia"/>
              </w:rPr>
              <w:t>公司</w:t>
            </w:r>
            <w:r>
              <w:rPr>
                <w:rFonts w:ascii="新細明體" w:eastAsia="新細明體" w:hAnsi="新細明體" w:cs="新細明體" w:hint="eastAsia"/>
                <w:b/>
                <w:color w:val="FF0000"/>
              </w:rPr>
              <w:t>其他</w:t>
            </w:r>
            <w:r>
              <w:rPr>
                <w:rFonts w:ascii="新細明體" w:eastAsia="新細明體" w:hAnsi="新細明體" w:cs="新細明體" w:hint="eastAsia"/>
              </w:rPr>
              <w:t>使用者之密碼是否至少每三個月變更一次。</w:t>
            </w:r>
          </w:p>
        </w:tc>
        <w:tc>
          <w:tcPr>
            <w:tcW w:w="2023" w:type="dxa"/>
            <w:vMerge/>
            <w:tcBorders>
              <w:right w:val="single" w:sz="12" w:space="0" w:color="auto"/>
            </w:tcBorders>
            <w:shd w:val="clear" w:color="auto" w:fill="auto"/>
          </w:tcPr>
          <w:p w14:paraId="25604ED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941D3A0" w14:textId="77777777">
        <w:tc>
          <w:tcPr>
            <w:tcW w:w="1384" w:type="dxa"/>
            <w:vMerge/>
            <w:tcBorders>
              <w:left w:val="single" w:sz="12" w:space="0" w:color="auto"/>
            </w:tcBorders>
            <w:shd w:val="clear" w:color="auto" w:fill="auto"/>
          </w:tcPr>
          <w:p w14:paraId="6D52C6A3" w14:textId="77777777" w:rsidR="003B3105" w:rsidRDefault="003B3105" w:rsidP="001E533B">
            <w:pPr>
              <w:rPr>
                <w:rFonts w:ascii="新細明體" w:eastAsia="新細明體" w:hAnsi="新細明體"/>
              </w:rPr>
            </w:pPr>
          </w:p>
        </w:tc>
        <w:tc>
          <w:tcPr>
            <w:tcW w:w="1276" w:type="dxa"/>
            <w:vMerge/>
            <w:shd w:val="clear" w:color="auto" w:fill="auto"/>
          </w:tcPr>
          <w:p w14:paraId="1B9B4D7C"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FF841AC"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(十五)檢查公司現有之網站、伺服器、網路芳</w:t>
            </w:r>
            <w:r>
              <w:rPr>
                <w:rFonts w:ascii="新細明體" w:eastAsia="新細明體" w:hAnsi="新細明體" w:cs="新細明體" w:hint="eastAsia"/>
              </w:rPr>
              <w:lastRenderedPageBreak/>
              <w:t>鄰、路由器、交換器、作業系統及資料庫等軟硬體設備是否設定使用密碼，且避免使用預設(如administrator、root、sa)或簡易(如1234)之帳號密碼及未設管理者存取權限。</w:t>
            </w:r>
          </w:p>
        </w:tc>
        <w:tc>
          <w:tcPr>
            <w:tcW w:w="5387" w:type="dxa"/>
            <w:tcBorders>
              <w:top w:val="nil"/>
              <w:bottom w:val="nil"/>
            </w:tcBorders>
            <w:shd w:val="clear" w:color="auto" w:fill="auto"/>
          </w:tcPr>
          <w:p w14:paraId="61FC431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(十五)檢查公司現有之網站、伺服器、網路芳</w:t>
            </w:r>
            <w:r>
              <w:rPr>
                <w:rFonts w:ascii="新細明體" w:eastAsia="新細明體" w:hAnsi="新細明體" w:cs="新細明體" w:hint="eastAsia"/>
              </w:rPr>
              <w:lastRenderedPageBreak/>
              <w:t>鄰、路由器、交換器、作業系統及資料庫等軟硬體設備是否設定使用密碼，且避免使用預設(如administrator、root、sa)或簡易(如1234)之帳號密碼及未設管理者存取權限。</w:t>
            </w:r>
          </w:p>
        </w:tc>
        <w:tc>
          <w:tcPr>
            <w:tcW w:w="2023" w:type="dxa"/>
            <w:vMerge/>
            <w:tcBorders>
              <w:right w:val="single" w:sz="12" w:space="0" w:color="auto"/>
            </w:tcBorders>
            <w:shd w:val="clear" w:color="auto" w:fill="auto"/>
          </w:tcPr>
          <w:p w14:paraId="25A6C0D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4377C0F" w14:textId="77777777">
        <w:tc>
          <w:tcPr>
            <w:tcW w:w="1384" w:type="dxa"/>
            <w:vMerge/>
            <w:tcBorders>
              <w:left w:val="single" w:sz="12" w:space="0" w:color="auto"/>
            </w:tcBorders>
            <w:shd w:val="clear" w:color="auto" w:fill="auto"/>
          </w:tcPr>
          <w:p w14:paraId="3D6065D6" w14:textId="77777777" w:rsidR="003B3105" w:rsidRDefault="003B3105" w:rsidP="001E533B">
            <w:pPr>
              <w:rPr>
                <w:rFonts w:ascii="新細明體" w:eastAsia="新細明體" w:hAnsi="新細明體"/>
              </w:rPr>
            </w:pPr>
          </w:p>
        </w:tc>
        <w:tc>
          <w:tcPr>
            <w:tcW w:w="1276" w:type="dxa"/>
            <w:vMerge/>
            <w:shd w:val="clear" w:color="auto" w:fill="auto"/>
          </w:tcPr>
          <w:p w14:paraId="362F8BE0"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5915CEA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(十六)為防止密碼洩漏，是否採取不顯示、不印錄等措施。</w:t>
            </w:r>
          </w:p>
        </w:tc>
        <w:tc>
          <w:tcPr>
            <w:tcW w:w="5387" w:type="dxa"/>
            <w:tcBorders>
              <w:top w:val="nil"/>
              <w:bottom w:val="nil"/>
            </w:tcBorders>
            <w:shd w:val="clear" w:color="auto" w:fill="auto"/>
          </w:tcPr>
          <w:p w14:paraId="34A5413F"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(十六)為防止密碼洩漏，是否採取不顯示、不印錄等措施。</w:t>
            </w:r>
          </w:p>
        </w:tc>
        <w:tc>
          <w:tcPr>
            <w:tcW w:w="2023" w:type="dxa"/>
            <w:vMerge/>
            <w:tcBorders>
              <w:right w:val="single" w:sz="12" w:space="0" w:color="auto"/>
            </w:tcBorders>
            <w:shd w:val="clear" w:color="auto" w:fill="auto"/>
          </w:tcPr>
          <w:p w14:paraId="42C4D54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D896AA8" w14:textId="77777777">
        <w:tc>
          <w:tcPr>
            <w:tcW w:w="1384" w:type="dxa"/>
            <w:vMerge/>
            <w:tcBorders>
              <w:left w:val="single" w:sz="12" w:space="0" w:color="auto"/>
            </w:tcBorders>
            <w:shd w:val="clear" w:color="auto" w:fill="auto"/>
          </w:tcPr>
          <w:p w14:paraId="2F9F0ED0" w14:textId="77777777" w:rsidR="003B3105" w:rsidRDefault="003B3105" w:rsidP="001E533B">
            <w:pPr>
              <w:rPr>
                <w:rFonts w:ascii="新細明體" w:eastAsia="新細明體" w:hAnsi="新細明體"/>
              </w:rPr>
            </w:pPr>
          </w:p>
        </w:tc>
        <w:tc>
          <w:tcPr>
            <w:tcW w:w="1276" w:type="dxa"/>
            <w:vMerge/>
            <w:shd w:val="clear" w:color="auto" w:fill="auto"/>
          </w:tcPr>
          <w:p w14:paraId="0408005B"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2025EC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(十七)客戶申請採電子式交易型態者，公司以電子方式交付電子密碼條時，是否傳送OTP(One Time Password)密碼至客戶開戶留存之手機號碼，及將加密後之電子密碼條以電子方式傳送至客戶留存之電子信箱，此流程相關系統紀錄是否留存。</w:t>
            </w:r>
          </w:p>
        </w:tc>
        <w:tc>
          <w:tcPr>
            <w:tcW w:w="5387" w:type="dxa"/>
            <w:tcBorders>
              <w:top w:val="nil"/>
              <w:bottom w:val="nil"/>
            </w:tcBorders>
            <w:shd w:val="clear" w:color="auto" w:fill="auto"/>
          </w:tcPr>
          <w:p w14:paraId="6FFAC93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(十七)客戶申請採電子式交易型態者，公司以電子方式交付電子密碼條時，是否傳送OTP(One Time Password)密碼至客戶開戶留存之手機號碼，及將加密後之電子密碼條以電子方式傳送至客戶留存之電子信箱，此流程相關系統紀錄是否留存。</w:t>
            </w:r>
          </w:p>
        </w:tc>
        <w:tc>
          <w:tcPr>
            <w:tcW w:w="2023" w:type="dxa"/>
            <w:vMerge/>
            <w:tcBorders>
              <w:right w:val="single" w:sz="12" w:space="0" w:color="auto"/>
            </w:tcBorders>
            <w:shd w:val="clear" w:color="auto" w:fill="auto"/>
          </w:tcPr>
          <w:p w14:paraId="0306236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2AFD04D" w14:textId="77777777">
        <w:tc>
          <w:tcPr>
            <w:tcW w:w="1384" w:type="dxa"/>
            <w:vMerge/>
            <w:tcBorders>
              <w:left w:val="single" w:sz="12" w:space="0" w:color="auto"/>
            </w:tcBorders>
            <w:shd w:val="clear" w:color="auto" w:fill="auto"/>
          </w:tcPr>
          <w:p w14:paraId="3BCD7E02" w14:textId="77777777" w:rsidR="003B3105" w:rsidRDefault="003B3105" w:rsidP="001E533B">
            <w:pPr>
              <w:rPr>
                <w:rFonts w:ascii="新細明體" w:eastAsia="新細明體" w:hAnsi="新細明體"/>
              </w:rPr>
            </w:pPr>
          </w:p>
        </w:tc>
        <w:tc>
          <w:tcPr>
            <w:tcW w:w="1276" w:type="dxa"/>
            <w:vMerge/>
            <w:shd w:val="clear" w:color="auto" w:fill="auto"/>
          </w:tcPr>
          <w:p w14:paraId="5567EE70"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F33251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(十八)公司是否對客戶申請電子式交易型態者採自訂交付電子密碼條訂有電子交易密碼之作業程序。</w:t>
            </w:r>
          </w:p>
        </w:tc>
        <w:tc>
          <w:tcPr>
            <w:tcW w:w="5387" w:type="dxa"/>
            <w:tcBorders>
              <w:top w:val="nil"/>
              <w:bottom w:val="nil"/>
            </w:tcBorders>
            <w:shd w:val="clear" w:color="auto" w:fill="auto"/>
          </w:tcPr>
          <w:p w14:paraId="3823AEFD"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(十八)公司是否對客戶申請電子式交易型態者採自訂交付電子密碼條訂有電子交易密碼之作業程序。</w:t>
            </w:r>
          </w:p>
        </w:tc>
        <w:tc>
          <w:tcPr>
            <w:tcW w:w="2023" w:type="dxa"/>
            <w:vMerge/>
            <w:tcBorders>
              <w:right w:val="single" w:sz="12" w:space="0" w:color="auto"/>
            </w:tcBorders>
            <w:shd w:val="clear" w:color="auto" w:fill="auto"/>
          </w:tcPr>
          <w:p w14:paraId="4BFCF78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FCBB0C2" w14:textId="77777777">
        <w:tc>
          <w:tcPr>
            <w:tcW w:w="1384" w:type="dxa"/>
            <w:vMerge/>
            <w:tcBorders>
              <w:left w:val="single" w:sz="12" w:space="0" w:color="auto"/>
            </w:tcBorders>
            <w:shd w:val="clear" w:color="auto" w:fill="auto"/>
          </w:tcPr>
          <w:p w14:paraId="6DD6FBE7" w14:textId="77777777" w:rsidR="003B3105" w:rsidRDefault="003B3105" w:rsidP="001E533B">
            <w:pPr>
              <w:rPr>
                <w:rFonts w:ascii="新細明體" w:eastAsia="新細明體" w:hAnsi="新細明體"/>
              </w:rPr>
            </w:pPr>
          </w:p>
        </w:tc>
        <w:tc>
          <w:tcPr>
            <w:tcW w:w="1276" w:type="dxa"/>
            <w:vMerge/>
            <w:shd w:val="clear" w:color="auto" w:fill="auto"/>
          </w:tcPr>
          <w:p w14:paraId="6B8AB644"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37F378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(十九)公司是否對客戶申請電子式交易型態者採自訂交付電子密碼條訂定電子式交易密碼交付流程與安全控管機制相關內部控制制度。</w:t>
            </w:r>
          </w:p>
        </w:tc>
        <w:tc>
          <w:tcPr>
            <w:tcW w:w="5387" w:type="dxa"/>
            <w:tcBorders>
              <w:top w:val="nil"/>
              <w:bottom w:val="nil"/>
            </w:tcBorders>
            <w:shd w:val="clear" w:color="auto" w:fill="auto"/>
          </w:tcPr>
          <w:p w14:paraId="0282146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(十九)公司是否對客戶申請電子式交易型態者採自訂交付電子密碼條訂定電子式交易密碼交付流程與安全控管機制相關內部控制制度。</w:t>
            </w:r>
          </w:p>
        </w:tc>
        <w:tc>
          <w:tcPr>
            <w:tcW w:w="2023" w:type="dxa"/>
            <w:vMerge/>
            <w:tcBorders>
              <w:right w:val="single" w:sz="12" w:space="0" w:color="auto"/>
            </w:tcBorders>
            <w:shd w:val="clear" w:color="auto" w:fill="auto"/>
          </w:tcPr>
          <w:p w14:paraId="53549B0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524B147" w14:textId="77777777">
        <w:tc>
          <w:tcPr>
            <w:tcW w:w="1384" w:type="dxa"/>
            <w:vMerge/>
            <w:tcBorders>
              <w:left w:val="single" w:sz="12" w:space="0" w:color="auto"/>
            </w:tcBorders>
            <w:shd w:val="clear" w:color="auto" w:fill="auto"/>
          </w:tcPr>
          <w:p w14:paraId="7448FE2E" w14:textId="77777777" w:rsidR="003B3105" w:rsidRDefault="003B3105" w:rsidP="001E533B">
            <w:pPr>
              <w:rPr>
                <w:rFonts w:ascii="新細明體" w:eastAsia="新細明體" w:hAnsi="新細明體"/>
              </w:rPr>
            </w:pPr>
          </w:p>
        </w:tc>
        <w:tc>
          <w:tcPr>
            <w:tcW w:w="1276" w:type="dxa"/>
            <w:vMerge/>
            <w:shd w:val="clear" w:color="auto" w:fill="auto"/>
          </w:tcPr>
          <w:p w14:paraId="2F4C26B8"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7762C00"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(二十)對重要系統（如主機連線系統、網</w:t>
            </w:r>
            <w:r>
              <w:rPr>
                <w:rFonts w:ascii="新細明體" w:eastAsia="新細明體" w:hAnsi="新細明體" w:cs="新細明體" w:hint="eastAsia"/>
                <w:b/>
                <w:color w:val="FF0000"/>
                <w:u w:val="single"/>
              </w:rPr>
              <w:t>際網</w:t>
            </w:r>
            <w:r>
              <w:rPr>
                <w:rFonts w:ascii="新細明體" w:eastAsia="新細明體" w:hAnsi="新細明體" w:cs="新細明體" w:hint="eastAsia"/>
              </w:rPr>
              <w:t>路下單系統等）之稽核日誌紀錄內容是否包括使用者識別碼、登入之日期時間、電腦的識別資料或其網址等事項，並由專人定期檢視。</w:t>
            </w:r>
          </w:p>
        </w:tc>
        <w:tc>
          <w:tcPr>
            <w:tcW w:w="5387" w:type="dxa"/>
            <w:tcBorders>
              <w:top w:val="nil"/>
              <w:bottom w:val="nil"/>
            </w:tcBorders>
            <w:shd w:val="clear" w:color="auto" w:fill="auto"/>
          </w:tcPr>
          <w:p w14:paraId="2B82B698"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(二十)對重要系統（如主機連線系統、網路下單系統等）之稽核日誌紀錄內容是否包括使用者識別碼、登入之日期時間、電腦的識別資料或其網址等事項，並由專人定期檢視。</w:t>
            </w:r>
          </w:p>
        </w:tc>
        <w:tc>
          <w:tcPr>
            <w:tcW w:w="2023" w:type="dxa"/>
            <w:vMerge/>
            <w:tcBorders>
              <w:right w:val="single" w:sz="12" w:space="0" w:color="auto"/>
            </w:tcBorders>
            <w:shd w:val="clear" w:color="auto" w:fill="auto"/>
          </w:tcPr>
          <w:p w14:paraId="50A3C0B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12D56F1" w14:textId="77777777">
        <w:tc>
          <w:tcPr>
            <w:tcW w:w="1384" w:type="dxa"/>
            <w:vMerge/>
            <w:tcBorders>
              <w:left w:val="single" w:sz="12" w:space="0" w:color="auto"/>
            </w:tcBorders>
            <w:shd w:val="clear" w:color="auto" w:fill="auto"/>
          </w:tcPr>
          <w:p w14:paraId="5BB1BC3F" w14:textId="77777777" w:rsidR="003B3105" w:rsidRDefault="003B3105" w:rsidP="001E533B">
            <w:pPr>
              <w:rPr>
                <w:rFonts w:ascii="新細明體" w:eastAsia="新細明體" w:hAnsi="新細明體"/>
              </w:rPr>
            </w:pPr>
          </w:p>
        </w:tc>
        <w:tc>
          <w:tcPr>
            <w:tcW w:w="1276" w:type="dxa"/>
            <w:vMerge/>
            <w:shd w:val="clear" w:color="auto" w:fill="auto"/>
          </w:tcPr>
          <w:p w14:paraId="4C8F935B"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B14D510"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(二十一)核心系統電腦稽核紀錄(日誌)是否建立監控機制，處理失效時，是否採取適</w:t>
            </w:r>
            <w:r>
              <w:rPr>
                <w:rFonts w:ascii="新細明體" w:eastAsia="新細明體" w:hAnsi="新細明體" w:cs="新細明體" w:hint="eastAsia"/>
              </w:rPr>
              <w:lastRenderedPageBreak/>
              <w:t>當之行動。</w:t>
            </w:r>
          </w:p>
        </w:tc>
        <w:tc>
          <w:tcPr>
            <w:tcW w:w="5387" w:type="dxa"/>
            <w:tcBorders>
              <w:top w:val="nil"/>
              <w:bottom w:val="nil"/>
            </w:tcBorders>
            <w:shd w:val="clear" w:color="auto" w:fill="auto"/>
          </w:tcPr>
          <w:p w14:paraId="293E99D6"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(二十一)核心系統電腦稽核紀錄(日誌)是否建立監控機制，處理失效時，是否採取適</w:t>
            </w:r>
            <w:r>
              <w:rPr>
                <w:rFonts w:ascii="新細明體" w:eastAsia="新細明體" w:hAnsi="新細明體" w:cs="新細明體" w:hint="eastAsia"/>
              </w:rPr>
              <w:lastRenderedPageBreak/>
              <w:t>當之行動。</w:t>
            </w:r>
          </w:p>
        </w:tc>
        <w:tc>
          <w:tcPr>
            <w:tcW w:w="2023" w:type="dxa"/>
            <w:vMerge/>
            <w:tcBorders>
              <w:right w:val="single" w:sz="12" w:space="0" w:color="auto"/>
            </w:tcBorders>
            <w:shd w:val="clear" w:color="auto" w:fill="auto"/>
          </w:tcPr>
          <w:p w14:paraId="61A0641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00405DA" w14:textId="77777777">
        <w:tc>
          <w:tcPr>
            <w:tcW w:w="1384" w:type="dxa"/>
            <w:vMerge/>
            <w:tcBorders>
              <w:left w:val="single" w:sz="12" w:space="0" w:color="auto"/>
            </w:tcBorders>
            <w:shd w:val="clear" w:color="auto" w:fill="auto"/>
          </w:tcPr>
          <w:p w14:paraId="236D546A" w14:textId="77777777" w:rsidR="003B3105" w:rsidRDefault="003B3105" w:rsidP="001E533B">
            <w:pPr>
              <w:rPr>
                <w:rFonts w:ascii="新細明體" w:eastAsia="新細明體" w:hAnsi="新細明體"/>
              </w:rPr>
            </w:pPr>
          </w:p>
        </w:tc>
        <w:tc>
          <w:tcPr>
            <w:tcW w:w="1276" w:type="dxa"/>
            <w:vMerge/>
            <w:shd w:val="clear" w:color="auto" w:fill="auto"/>
          </w:tcPr>
          <w:p w14:paraId="344C1976"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6798B1F"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(二十二)安全性或重要性較高之資料，是否由權責主管人員核可後始得執行輸入或修改。</w:t>
            </w:r>
          </w:p>
        </w:tc>
        <w:tc>
          <w:tcPr>
            <w:tcW w:w="5387" w:type="dxa"/>
            <w:tcBorders>
              <w:top w:val="nil"/>
              <w:bottom w:val="nil"/>
            </w:tcBorders>
            <w:shd w:val="clear" w:color="auto" w:fill="auto"/>
          </w:tcPr>
          <w:p w14:paraId="5FDB1A7F"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(二十二)安全性或重要性較高之資料，是否由權責主管人員核可後始得執行輸入或修改。</w:t>
            </w:r>
          </w:p>
        </w:tc>
        <w:tc>
          <w:tcPr>
            <w:tcW w:w="2023" w:type="dxa"/>
            <w:vMerge/>
            <w:tcBorders>
              <w:right w:val="single" w:sz="12" w:space="0" w:color="auto"/>
            </w:tcBorders>
            <w:shd w:val="clear" w:color="auto" w:fill="auto"/>
          </w:tcPr>
          <w:p w14:paraId="73946C1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BBCB828" w14:textId="77777777">
        <w:tc>
          <w:tcPr>
            <w:tcW w:w="1384" w:type="dxa"/>
            <w:vMerge/>
            <w:tcBorders>
              <w:left w:val="single" w:sz="12" w:space="0" w:color="auto"/>
            </w:tcBorders>
            <w:shd w:val="clear" w:color="auto" w:fill="auto"/>
          </w:tcPr>
          <w:p w14:paraId="55613EF5" w14:textId="77777777" w:rsidR="003B3105" w:rsidRDefault="003B3105" w:rsidP="001E533B">
            <w:pPr>
              <w:rPr>
                <w:rFonts w:ascii="新細明體" w:eastAsia="新細明體" w:hAnsi="新細明體"/>
              </w:rPr>
            </w:pPr>
          </w:p>
        </w:tc>
        <w:tc>
          <w:tcPr>
            <w:tcW w:w="1276" w:type="dxa"/>
            <w:vMerge/>
            <w:shd w:val="clear" w:color="auto" w:fill="auto"/>
          </w:tcPr>
          <w:p w14:paraId="0EB910C7"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CC5589D"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(二十三)所輸入或修改之資料及其執行人員姓名、職稱皆是否留存紀錄。</w:t>
            </w:r>
          </w:p>
        </w:tc>
        <w:tc>
          <w:tcPr>
            <w:tcW w:w="5387" w:type="dxa"/>
            <w:tcBorders>
              <w:top w:val="nil"/>
              <w:bottom w:val="nil"/>
            </w:tcBorders>
            <w:shd w:val="clear" w:color="auto" w:fill="auto"/>
          </w:tcPr>
          <w:p w14:paraId="69E5735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(二十三)所輸入或修改之資料及其執行人員姓名、職稱皆是否留存紀錄。</w:t>
            </w:r>
          </w:p>
        </w:tc>
        <w:tc>
          <w:tcPr>
            <w:tcW w:w="2023" w:type="dxa"/>
            <w:vMerge/>
            <w:tcBorders>
              <w:right w:val="single" w:sz="12" w:space="0" w:color="auto"/>
            </w:tcBorders>
            <w:shd w:val="clear" w:color="auto" w:fill="auto"/>
          </w:tcPr>
          <w:p w14:paraId="22860D6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84347AD" w14:textId="77777777">
        <w:tc>
          <w:tcPr>
            <w:tcW w:w="1384" w:type="dxa"/>
            <w:vMerge/>
            <w:tcBorders>
              <w:left w:val="single" w:sz="12" w:space="0" w:color="auto"/>
            </w:tcBorders>
            <w:shd w:val="clear" w:color="auto" w:fill="auto"/>
          </w:tcPr>
          <w:p w14:paraId="61F18F8D" w14:textId="77777777" w:rsidR="003B3105" w:rsidRDefault="003B3105" w:rsidP="001E533B">
            <w:pPr>
              <w:rPr>
                <w:rFonts w:ascii="新細明體" w:eastAsia="新細明體" w:hAnsi="新細明體"/>
              </w:rPr>
            </w:pPr>
          </w:p>
        </w:tc>
        <w:tc>
          <w:tcPr>
            <w:tcW w:w="1276" w:type="dxa"/>
            <w:vMerge/>
            <w:shd w:val="clear" w:color="auto" w:fill="auto"/>
          </w:tcPr>
          <w:p w14:paraId="0B1CF6D5"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135FE5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(二十四)對重要及機密性檔案其存取使用是否依規定之作業程序辦理。</w:t>
            </w:r>
          </w:p>
        </w:tc>
        <w:tc>
          <w:tcPr>
            <w:tcW w:w="5387" w:type="dxa"/>
            <w:tcBorders>
              <w:top w:val="nil"/>
              <w:bottom w:val="nil"/>
            </w:tcBorders>
            <w:shd w:val="clear" w:color="auto" w:fill="auto"/>
          </w:tcPr>
          <w:p w14:paraId="3F6BACA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(二十四)對重要及機密性檔案其存取使用是否依規定之作業程序辦理。</w:t>
            </w:r>
          </w:p>
        </w:tc>
        <w:tc>
          <w:tcPr>
            <w:tcW w:w="2023" w:type="dxa"/>
            <w:vMerge/>
            <w:tcBorders>
              <w:right w:val="single" w:sz="12" w:space="0" w:color="auto"/>
            </w:tcBorders>
            <w:shd w:val="clear" w:color="auto" w:fill="auto"/>
          </w:tcPr>
          <w:p w14:paraId="20CB09C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9D790DB" w14:textId="77777777">
        <w:tc>
          <w:tcPr>
            <w:tcW w:w="1384" w:type="dxa"/>
            <w:vMerge/>
            <w:tcBorders>
              <w:left w:val="single" w:sz="12" w:space="0" w:color="auto"/>
            </w:tcBorders>
            <w:shd w:val="clear" w:color="auto" w:fill="auto"/>
          </w:tcPr>
          <w:p w14:paraId="382181A7" w14:textId="77777777" w:rsidR="003B3105" w:rsidRDefault="003B3105" w:rsidP="001E533B">
            <w:pPr>
              <w:rPr>
                <w:rFonts w:ascii="新細明體" w:eastAsia="新細明體" w:hAnsi="新細明體"/>
              </w:rPr>
            </w:pPr>
          </w:p>
        </w:tc>
        <w:tc>
          <w:tcPr>
            <w:tcW w:w="1276" w:type="dxa"/>
            <w:vMerge/>
            <w:shd w:val="clear" w:color="auto" w:fill="auto"/>
          </w:tcPr>
          <w:p w14:paraId="7877BA48"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4325B76"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(二十五)對隱密性高之重要資料（例如：密碼檔）是否以亂碼後之資料形式存放。</w:t>
            </w:r>
          </w:p>
        </w:tc>
        <w:tc>
          <w:tcPr>
            <w:tcW w:w="5387" w:type="dxa"/>
            <w:tcBorders>
              <w:top w:val="nil"/>
              <w:bottom w:val="nil"/>
            </w:tcBorders>
            <w:shd w:val="clear" w:color="auto" w:fill="auto"/>
          </w:tcPr>
          <w:p w14:paraId="3AEB88B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(二十五)對隱密性高之重要資料（例如：密碼檔）是否以亂碼後之資料形式存放。</w:t>
            </w:r>
          </w:p>
        </w:tc>
        <w:tc>
          <w:tcPr>
            <w:tcW w:w="2023" w:type="dxa"/>
            <w:vMerge/>
            <w:tcBorders>
              <w:right w:val="single" w:sz="12" w:space="0" w:color="auto"/>
            </w:tcBorders>
            <w:shd w:val="clear" w:color="auto" w:fill="auto"/>
          </w:tcPr>
          <w:p w14:paraId="78E8E64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CF5A099" w14:textId="77777777">
        <w:tc>
          <w:tcPr>
            <w:tcW w:w="1384" w:type="dxa"/>
            <w:vMerge/>
            <w:tcBorders>
              <w:left w:val="single" w:sz="12" w:space="0" w:color="auto"/>
            </w:tcBorders>
            <w:shd w:val="clear" w:color="auto" w:fill="auto"/>
          </w:tcPr>
          <w:p w14:paraId="7DDCF1A7" w14:textId="77777777" w:rsidR="003B3105" w:rsidRDefault="003B3105" w:rsidP="001E533B">
            <w:pPr>
              <w:rPr>
                <w:rFonts w:ascii="新細明體" w:eastAsia="新細明體" w:hAnsi="新細明體"/>
              </w:rPr>
            </w:pPr>
          </w:p>
        </w:tc>
        <w:tc>
          <w:tcPr>
            <w:tcW w:w="1276" w:type="dxa"/>
            <w:vMerge/>
            <w:shd w:val="clear" w:color="auto" w:fill="auto"/>
          </w:tcPr>
          <w:p w14:paraId="202F9A8B"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5D48782C"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(二十六)公司如屬公開發行公司者，是否於內部控制制度納入「公開發行公司網路申報公開資訊應注意事項」，並據以辦理相關申報事宜。</w:t>
            </w:r>
          </w:p>
        </w:tc>
        <w:tc>
          <w:tcPr>
            <w:tcW w:w="5387" w:type="dxa"/>
            <w:tcBorders>
              <w:top w:val="nil"/>
              <w:bottom w:val="nil"/>
            </w:tcBorders>
            <w:shd w:val="clear" w:color="auto" w:fill="auto"/>
          </w:tcPr>
          <w:p w14:paraId="40371A3C"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(二十六)公司如屬公開發行公司者，是否於內部控制制度納入「公開發行公司網路申報公開資訊應注意事項」，並據以辦理相關申報事宜。</w:t>
            </w:r>
          </w:p>
        </w:tc>
        <w:tc>
          <w:tcPr>
            <w:tcW w:w="2023" w:type="dxa"/>
            <w:vMerge/>
            <w:tcBorders>
              <w:right w:val="single" w:sz="12" w:space="0" w:color="auto"/>
            </w:tcBorders>
            <w:shd w:val="clear" w:color="auto" w:fill="auto"/>
          </w:tcPr>
          <w:p w14:paraId="1CF6390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FC58FDA" w14:textId="77777777">
        <w:tc>
          <w:tcPr>
            <w:tcW w:w="1384" w:type="dxa"/>
            <w:vMerge/>
            <w:tcBorders>
              <w:left w:val="single" w:sz="12" w:space="0" w:color="auto"/>
            </w:tcBorders>
            <w:shd w:val="clear" w:color="auto" w:fill="auto"/>
          </w:tcPr>
          <w:p w14:paraId="661EE120" w14:textId="77777777" w:rsidR="003B3105" w:rsidRDefault="003B3105" w:rsidP="001E533B">
            <w:pPr>
              <w:rPr>
                <w:rFonts w:ascii="新細明體" w:eastAsia="新細明體" w:hAnsi="新細明體"/>
              </w:rPr>
            </w:pPr>
          </w:p>
        </w:tc>
        <w:tc>
          <w:tcPr>
            <w:tcW w:w="1276" w:type="dxa"/>
            <w:vMerge/>
            <w:shd w:val="clear" w:color="auto" w:fill="auto"/>
          </w:tcPr>
          <w:p w14:paraId="49AF76C5"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B6C3DD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(二十七)公司是否留存個人資料使用稽核軌跡（如登入帳號、系統功能、時間、系統名稱、查詢指令或結果）或辨識機制，以利個人資料外洩時得以追蹤個人資料使用狀況。</w:t>
            </w:r>
          </w:p>
        </w:tc>
        <w:tc>
          <w:tcPr>
            <w:tcW w:w="5387" w:type="dxa"/>
            <w:tcBorders>
              <w:top w:val="nil"/>
              <w:bottom w:val="nil"/>
            </w:tcBorders>
            <w:shd w:val="clear" w:color="auto" w:fill="auto"/>
          </w:tcPr>
          <w:p w14:paraId="328DCFA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(二十七)公司是否留存個人資料使用稽核軌跡（如登入帳號、系統功能、時間、系統名稱、查詢指令或結果）或辨識機制，以利個人資料外洩時得以追蹤個人資料使用狀況。</w:t>
            </w:r>
          </w:p>
        </w:tc>
        <w:tc>
          <w:tcPr>
            <w:tcW w:w="2023" w:type="dxa"/>
            <w:vMerge/>
            <w:tcBorders>
              <w:right w:val="single" w:sz="12" w:space="0" w:color="auto"/>
            </w:tcBorders>
            <w:shd w:val="clear" w:color="auto" w:fill="auto"/>
          </w:tcPr>
          <w:p w14:paraId="056506E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70CDB50" w14:textId="77777777">
        <w:tc>
          <w:tcPr>
            <w:tcW w:w="1384" w:type="dxa"/>
            <w:vMerge/>
            <w:tcBorders>
              <w:left w:val="single" w:sz="12" w:space="0" w:color="auto"/>
            </w:tcBorders>
            <w:shd w:val="clear" w:color="auto" w:fill="auto"/>
          </w:tcPr>
          <w:p w14:paraId="292C54D2" w14:textId="77777777" w:rsidR="003B3105" w:rsidRDefault="003B3105" w:rsidP="001E533B">
            <w:pPr>
              <w:rPr>
                <w:rFonts w:ascii="新細明體" w:eastAsia="新細明體" w:hAnsi="新細明體"/>
              </w:rPr>
            </w:pPr>
          </w:p>
        </w:tc>
        <w:tc>
          <w:tcPr>
            <w:tcW w:w="1276" w:type="dxa"/>
            <w:vMerge/>
            <w:shd w:val="clear" w:color="auto" w:fill="auto"/>
          </w:tcPr>
          <w:p w14:paraId="24BEBFBA"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4CE085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八)使用電子憑證ＩＣ卡或其他類型憑證晶片卡或其他憑證載具等代表公司簽署之作業（例如：「公開資訊觀測站」、「證券商申報單一窗口」、「公文電子交換系統」等），該等憑證載具是否由專人負責保管並設簿登記，且應訂定相關帳號、密碼保管及使用程序，並據以執行。</w:t>
            </w:r>
          </w:p>
        </w:tc>
        <w:tc>
          <w:tcPr>
            <w:tcW w:w="5387" w:type="dxa"/>
            <w:tcBorders>
              <w:top w:val="nil"/>
              <w:bottom w:val="nil"/>
            </w:tcBorders>
            <w:shd w:val="clear" w:color="auto" w:fill="auto"/>
          </w:tcPr>
          <w:p w14:paraId="2F225C7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八)使用電子憑證ＩＣ卡或其他類型憑證晶片卡或其他憑證載具等代表公司簽署之作業（例如：「公開資訊觀測站」、「證券商申報單一窗口」、「公文電子交換系統」等），該等憑證載具是否由專人負責保管並設簿登記，且應訂定相關帳號、密碼保管及使用程序，並據以執行。</w:t>
            </w:r>
          </w:p>
        </w:tc>
        <w:tc>
          <w:tcPr>
            <w:tcW w:w="2023" w:type="dxa"/>
            <w:vMerge/>
            <w:tcBorders>
              <w:right w:val="single" w:sz="12" w:space="0" w:color="auto"/>
            </w:tcBorders>
            <w:shd w:val="clear" w:color="auto" w:fill="auto"/>
          </w:tcPr>
          <w:p w14:paraId="5442859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5C97C8A" w14:textId="77777777">
        <w:tc>
          <w:tcPr>
            <w:tcW w:w="1384" w:type="dxa"/>
            <w:vMerge/>
            <w:tcBorders>
              <w:left w:val="single" w:sz="12" w:space="0" w:color="auto"/>
            </w:tcBorders>
            <w:shd w:val="clear" w:color="auto" w:fill="auto"/>
          </w:tcPr>
          <w:p w14:paraId="63464887" w14:textId="77777777" w:rsidR="003B3105" w:rsidRDefault="003B3105" w:rsidP="001E533B">
            <w:pPr>
              <w:rPr>
                <w:rFonts w:ascii="新細明體" w:eastAsia="新細明體" w:hAnsi="新細明體"/>
              </w:rPr>
            </w:pPr>
          </w:p>
        </w:tc>
        <w:tc>
          <w:tcPr>
            <w:tcW w:w="1276" w:type="dxa"/>
            <w:vMerge/>
            <w:shd w:val="clear" w:color="auto" w:fill="auto"/>
          </w:tcPr>
          <w:p w14:paraId="1A59534A"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FDCF51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(二十九)使用前揭代表公司憑證載具簽署之作</w:t>
            </w:r>
            <w:r>
              <w:rPr>
                <w:rFonts w:ascii="新細明體" w:eastAsia="新細明體" w:hAnsi="新細明體" w:cs="新細明體" w:hint="eastAsia"/>
              </w:rPr>
              <w:lastRenderedPageBreak/>
              <w:t>業系統端（server端）若屬證券商應用系統者（例如：「電子對帳單系統」），是否留存電腦稽核紀錄（log），其保存年限比照各作業資料應保存年限。</w:t>
            </w:r>
          </w:p>
        </w:tc>
        <w:tc>
          <w:tcPr>
            <w:tcW w:w="5387" w:type="dxa"/>
            <w:tcBorders>
              <w:top w:val="nil"/>
              <w:bottom w:val="nil"/>
            </w:tcBorders>
            <w:shd w:val="clear" w:color="auto" w:fill="auto"/>
          </w:tcPr>
          <w:p w14:paraId="0AB3E1A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(二十九)使用前揭代表公司憑證載具簽署之作</w:t>
            </w:r>
            <w:r>
              <w:rPr>
                <w:rFonts w:ascii="新細明體" w:eastAsia="新細明體" w:hAnsi="新細明體" w:cs="新細明體" w:hint="eastAsia"/>
              </w:rPr>
              <w:lastRenderedPageBreak/>
              <w:t>業系統端（server端）若屬證券商應用系統者（例如：「電子對帳單系統」），是否留存電腦稽核紀錄（log），其保存年限比照各作業資料應保存年限。</w:t>
            </w:r>
          </w:p>
        </w:tc>
        <w:tc>
          <w:tcPr>
            <w:tcW w:w="2023" w:type="dxa"/>
            <w:vMerge/>
            <w:tcBorders>
              <w:right w:val="single" w:sz="12" w:space="0" w:color="auto"/>
            </w:tcBorders>
            <w:shd w:val="clear" w:color="auto" w:fill="auto"/>
          </w:tcPr>
          <w:p w14:paraId="31E3A8A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D30BE5E" w14:textId="77777777">
        <w:tc>
          <w:tcPr>
            <w:tcW w:w="1384" w:type="dxa"/>
            <w:vMerge/>
            <w:tcBorders>
              <w:left w:val="single" w:sz="12" w:space="0" w:color="auto"/>
            </w:tcBorders>
            <w:shd w:val="clear" w:color="auto" w:fill="auto"/>
          </w:tcPr>
          <w:p w14:paraId="1DBB6F42" w14:textId="77777777" w:rsidR="003B3105" w:rsidRDefault="003B3105" w:rsidP="001E533B">
            <w:pPr>
              <w:rPr>
                <w:rFonts w:ascii="新細明體" w:eastAsia="新細明體" w:hAnsi="新細明體"/>
              </w:rPr>
            </w:pPr>
          </w:p>
        </w:tc>
        <w:tc>
          <w:tcPr>
            <w:tcW w:w="1276" w:type="dxa"/>
            <w:vMerge/>
            <w:shd w:val="clear" w:color="auto" w:fill="auto"/>
          </w:tcPr>
          <w:p w14:paraId="3AA80880"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5B5AE1F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(三十)是否依「個人資料保護法」，妥善處理客戶及公司內部人個人資料。</w:t>
            </w:r>
          </w:p>
        </w:tc>
        <w:tc>
          <w:tcPr>
            <w:tcW w:w="5387" w:type="dxa"/>
            <w:tcBorders>
              <w:top w:val="nil"/>
              <w:bottom w:val="nil"/>
            </w:tcBorders>
            <w:shd w:val="clear" w:color="auto" w:fill="auto"/>
          </w:tcPr>
          <w:p w14:paraId="489B241C"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(三十)是否依「個人資料保護法」，妥善處理客戶及公司內部人個人資料。</w:t>
            </w:r>
          </w:p>
        </w:tc>
        <w:tc>
          <w:tcPr>
            <w:tcW w:w="2023" w:type="dxa"/>
            <w:vMerge/>
            <w:tcBorders>
              <w:right w:val="single" w:sz="12" w:space="0" w:color="auto"/>
            </w:tcBorders>
            <w:shd w:val="clear" w:color="auto" w:fill="auto"/>
          </w:tcPr>
          <w:p w14:paraId="02C5112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3F424F" w14:textId="77777777">
        <w:tc>
          <w:tcPr>
            <w:tcW w:w="1384" w:type="dxa"/>
            <w:vMerge/>
            <w:tcBorders>
              <w:left w:val="single" w:sz="12" w:space="0" w:color="auto"/>
            </w:tcBorders>
            <w:shd w:val="clear" w:color="auto" w:fill="auto"/>
          </w:tcPr>
          <w:p w14:paraId="3203FFE2" w14:textId="77777777" w:rsidR="003B3105" w:rsidRDefault="003B3105" w:rsidP="001E533B">
            <w:pPr>
              <w:rPr>
                <w:rFonts w:ascii="新細明體" w:eastAsia="新細明體" w:hAnsi="新細明體"/>
              </w:rPr>
            </w:pPr>
          </w:p>
        </w:tc>
        <w:tc>
          <w:tcPr>
            <w:tcW w:w="1276" w:type="dxa"/>
            <w:vMerge/>
            <w:shd w:val="clear" w:color="auto" w:fill="auto"/>
          </w:tcPr>
          <w:p w14:paraId="5E7C4283"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0108B6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(三十一)公司是否依「個人資料保護法」妥善處理公司保有之個人資料，並定期或不定期稽核依「個人資料保護法」定義之個人資料管理情形。</w:t>
            </w:r>
          </w:p>
        </w:tc>
        <w:tc>
          <w:tcPr>
            <w:tcW w:w="5387" w:type="dxa"/>
            <w:tcBorders>
              <w:top w:val="nil"/>
              <w:bottom w:val="nil"/>
            </w:tcBorders>
            <w:shd w:val="clear" w:color="auto" w:fill="auto"/>
          </w:tcPr>
          <w:p w14:paraId="75C008BD"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(三十一)公司是否依「個人資料保護法」妥善處理公司保有之個人資料，並定期或不定期稽核依「個人資料保護法」定義之個人資料管理情形。</w:t>
            </w:r>
          </w:p>
        </w:tc>
        <w:tc>
          <w:tcPr>
            <w:tcW w:w="2023" w:type="dxa"/>
            <w:vMerge/>
            <w:tcBorders>
              <w:right w:val="single" w:sz="12" w:space="0" w:color="auto"/>
            </w:tcBorders>
            <w:shd w:val="clear" w:color="auto" w:fill="auto"/>
          </w:tcPr>
          <w:p w14:paraId="631C283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C21D331" w14:textId="77777777">
        <w:tc>
          <w:tcPr>
            <w:tcW w:w="1384" w:type="dxa"/>
            <w:vMerge/>
            <w:tcBorders>
              <w:left w:val="single" w:sz="12" w:space="0" w:color="auto"/>
            </w:tcBorders>
            <w:shd w:val="clear" w:color="auto" w:fill="auto"/>
          </w:tcPr>
          <w:p w14:paraId="77DFAE5B" w14:textId="77777777" w:rsidR="003B3105" w:rsidRDefault="003B3105" w:rsidP="001E533B">
            <w:pPr>
              <w:rPr>
                <w:rFonts w:ascii="新細明體" w:eastAsia="新細明體" w:hAnsi="新細明體"/>
              </w:rPr>
            </w:pPr>
          </w:p>
        </w:tc>
        <w:tc>
          <w:tcPr>
            <w:tcW w:w="1276" w:type="dxa"/>
            <w:vMerge/>
            <w:shd w:val="clear" w:color="auto" w:fill="auto"/>
          </w:tcPr>
          <w:p w14:paraId="5B30DB35"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C566DB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(三十二)前揭個人資料，其更新、更正或註銷均是否報經備查，並將更新、更正、註銷內容、作業人員及時間詳實記錄</w:t>
            </w:r>
          </w:p>
        </w:tc>
        <w:tc>
          <w:tcPr>
            <w:tcW w:w="5387" w:type="dxa"/>
            <w:tcBorders>
              <w:top w:val="nil"/>
              <w:bottom w:val="nil"/>
            </w:tcBorders>
            <w:shd w:val="clear" w:color="auto" w:fill="auto"/>
          </w:tcPr>
          <w:p w14:paraId="1ABC3A8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(三十二)前揭個人資料，其更新、更正或註銷均是否報經備查，並將更新、更正、註銷內容、作業人員及時間詳實記錄</w:t>
            </w:r>
          </w:p>
        </w:tc>
        <w:tc>
          <w:tcPr>
            <w:tcW w:w="2023" w:type="dxa"/>
            <w:vMerge/>
            <w:tcBorders>
              <w:right w:val="single" w:sz="12" w:space="0" w:color="auto"/>
            </w:tcBorders>
            <w:shd w:val="clear" w:color="auto" w:fill="auto"/>
          </w:tcPr>
          <w:p w14:paraId="421D611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C62AE53" w14:textId="77777777">
        <w:tc>
          <w:tcPr>
            <w:tcW w:w="1384" w:type="dxa"/>
            <w:vMerge/>
            <w:tcBorders>
              <w:left w:val="single" w:sz="12" w:space="0" w:color="auto"/>
            </w:tcBorders>
            <w:shd w:val="clear" w:color="auto" w:fill="auto"/>
          </w:tcPr>
          <w:p w14:paraId="38AFEEF8" w14:textId="77777777" w:rsidR="003B3105" w:rsidRDefault="003B3105" w:rsidP="001E533B">
            <w:pPr>
              <w:rPr>
                <w:rFonts w:ascii="新細明體" w:eastAsia="新細明體" w:hAnsi="新細明體"/>
              </w:rPr>
            </w:pPr>
          </w:p>
        </w:tc>
        <w:tc>
          <w:tcPr>
            <w:tcW w:w="1276" w:type="dxa"/>
            <w:vMerge/>
            <w:shd w:val="clear" w:color="auto" w:fill="auto"/>
          </w:tcPr>
          <w:p w14:paraId="506F76C9"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5F2CDCED"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(三十三)因經營業務需要而為個人資料之蒐集、處理或國際傳輸及利用，是否訂定「與軟硬體廠商機密維護及損害賠償等雙方權責劃分」。</w:t>
            </w:r>
          </w:p>
        </w:tc>
        <w:tc>
          <w:tcPr>
            <w:tcW w:w="5387" w:type="dxa"/>
            <w:tcBorders>
              <w:top w:val="nil"/>
              <w:bottom w:val="nil"/>
            </w:tcBorders>
            <w:shd w:val="clear" w:color="auto" w:fill="auto"/>
          </w:tcPr>
          <w:p w14:paraId="57245D1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(三十三)因經營業務需要而為個人資料之蒐集、處理或國際傳輸及利用，是否訂定「與軟硬體廠商機密維護及損害賠償等雙方權責劃分」。</w:t>
            </w:r>
          </w:p>
        </w:tc>
        <w:tc>
          <w:tcPr>
            <w:tcW w:w="2023" w:type="dxa"/>
            <w:vMerge/>
            <w:tcBorders>
              <w:right w:val="single" w:sz="12" w:space="0" w:color="auto"/>
            </w:tcBorders>
            <w:shd w:val="clear" w:color="auto" w:fill="auto"/>
          </w:tcPr>
          <w:p w14:paraId="29152CC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B95909A" w14:textId="77777777">
        <w:tc>
          <w:tcPr>
            <w:tcW w:w="1384" w:type="dxa"/>
            <w:vMerge/>
            <w:tcBorders>
              <w:left w:val="single" w:sz="12" w:space="0" w:color="auto"/>
            </w:tcBorders>
            <w:shd w:val="clear" w:color="auto" w:fill="auto"/>
          </w:tcPr>
          <w:p w14:paraId="60C66132" w14:textId="77777777" w:rsidR="003B3105" w:rsidRDefault="003B3105" w:rsidP="001E533B">
            <w:pPr>
              <w:rPr>
                <w:rFonts w:ascii="新細明體" w:eastAsia="新細明體" w:hAnsi="新細明體"/>
              </w:rPr>
            </w:pPr>
          </w:p>
        </w:tc>
        <w:tc>
          <w:tcPr>
            <w:tcW w:w="1276" w:type="dxa"/>
            <w:vMerge/>
            <w:shd w:val="clear" w:color="auto" w:fill="auto"/>
          </w:tcPr>
          <w:p w14:paraId="358B9A19"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7A3903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(三十四)報表是否按時產生並分送各使用單位。</w:t>
            </w:r>
          </w:p>
        </w:tc>
        <w:tc>
          <w:tcPr>
            <w:tcW w:w="5387" w:type="dxa"/>
            <w:tcBorders>
              <w:top w:val="nil"/>
              <w:bottom w:val="nil"/>
            </w:tcBorders>
            <w:shd w:val="clear" w:color="auto" w:fill="auto"/>
          </w:tcPr>
          <w:p w14:paraId="68E1683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(三十四)報表是否按時產生並分送各使用單位。</w:t>
            </w:r>
          </w:p>
        </w:tc>
        <w:tc>
          <w:tcPr>
            <w:tcW w:w="2023" w:type="dxa"/>
            <w:vMerge/>
            <w:tcBorders>
              <w:right w:val="single" w:sz="12" w:space="0" w:color="auto"/>
            </w:tcBorders>
            <w:shd w:val="clear" w:color="auto" w:fill="auto"/>
          </w:tcPr>
          <w:p w14:paraId="2A683A6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7D38E45" w14:textId="77777777">
        <w:tc>
          <w:tcPr>
            <w:tcW w:w="1384" w:type="dxa"/>
            <w:vMerge/>
            <w:tcBorders>
              <w:left w:val="single" w:sz="12" w:space="0" w:color="auto"/>
            </w:tcBorders>
            <w:shd w:val="clear" w:color="auto" w:fill="auto"/>
          </w:tcPr>
          <w:p w14:paraId="33D96892" w14:textId="77777777" w:rsidR="003B3105" w:rsidRDefault="003B3105" w:rsidP="001E533B">
            <w:pPr>
              <w:rPr>
                <w:rFonts w:ascii="新細明體" w:eastAsia="新細明體" w:hAnsi="新細明體"/>
              </w:rPr>
            </w:pPr>
          </w:p>
        </w:tc>
        <w:tc>
          <w:tcPr>
            <w:tcW w:w="1276" w:type="dxa"/>
            <w:vMerge/>
            <w:shd w:val="clear" w:color="auto" w:fill="auto"/>
          </w:tcPr>
          <w:p w14:paraId="368D6FFF"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B0E63FF"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(三十五)機密性或敏感性報表列印或瀏覽是否有適當管制程序。</w:t>
            </w:r>
          </w:p>
        </w:tc>
        <w:tc>
          <w:tcPr>
            <w:tcW w:w="5387" w:type="dxa"/>
            <w:tcBorders>
              <w:top w:val="nil"/>
              <w:bottom w:val="nil"/>
            </w:tcBorders>
            <w:shd w:val="clear" w:color="auto" w:fill="auto"/>
          </w:tcPr>
          <w:p w14:paraId="221F301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(三十五)機密性或敏感性報表列印或瀏覽是否有適當管制程序。</w:t>
            </w:r>
          </w:p>
        </w:tc>
        <w:tc>
          <w:tcPr>
            <w:tcW w:w="2023" w:type="dxa"/>
            <w:vMerge/>
            <w:tcBorders>
              <w:right w:val="single" w:sz="12" w:space="0" w:color="auto"/>
            </w:tcBorders>
            <w:shd w:val="clear" w:color="auto" w:fill="auto"/>
          </w:tcPr>
          <w:p w14:paraId="21849EF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7A672DD" w14:textId="77777777">
        <w:tc>
          <w:tcPr>
            <w:tcW w:w="1384" w:type="dxa"/>
            <w:vMerge/>
            <w:tcBorders>
              <w:left w:val="single" w:sz="12" w:space="0" w:color="auto"/>
            </w:tcBorders>
            <w:shd w:val="clear" w:color="auto" w:fill="auto"/>
          </w:tcPr>
          <w:p w14:paraId="0A05E8C7" w14:textId="77777777" w:rsidR="003B3105" w:rsidRDefault="003B3105" w:rsidP="001E533B">
            <w:pPr>
              <w:rPr>
                <w:rFonts w:ascii="新細明體" w:eastAsia="新細明體" w:hAnsi="新細明體"/>
              </w:rPr>
            </w:pPr>
          </w:p>
        </w:tc>
        <w:tc>
          <w:tcPr>
            <w:tcW w:w="1276" w:type="dxa"/>
            <w:vMerge/>
            <w:shd w:val="clear" w:color="auto" w:fill="auto"/>
          </w:tcPr>
          <w:p w14:paraId="1FBFC993"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BA4D77C"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(三十六)投資人於公司網站查詢個人資料是否具有加密傳輸機制(例如：</w:t>
            </w:r>
            <w:r>
              <w:rPr>
                <w:rFonts w:ascii="新細明體" w:eastAsia="新細明體" w:hAnsi="新細明體" w:cs="新細明體" w:hint="eastAsia"/>
                <w:b/>
                <w:color w:val="FF0000"/>
                <w:u w:val="single"/>
              </w:rPr>
              <w:t>TL</w:t>
            </w:r>
            <w:r>
              <w:rPr>
                <w:rFonts w:ascii="新細明體" w:eastAsia="新細明體" w:hAnsi="新細明體" w:cs="新細明體" w:hint="eastAsia"/>
              </w:rPr>
              <w:t>S)。</w:t>
            </w:r>
          </w:p>
        </w:tc>
        <w:tc>
          <w:tcPr>
            <w:tcW w:w="5387" w:type="dxa"/>
            <w:tcBorders>
              <w:top w:val="nil"/>
              <w:bottom w:val="nil"/>
            </w:tcBorders>
            <w:shd w:val="clear" w:color="auto" w:fill="auto"/>
          </w:tcPr>
          <w:p w14:paraId="1DEB63AD"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(三十六)投資人於公司網站查詢個人資料是否具有加密傳輸機制(例如：</w:t>
            </w:r>
            <w:r>
              <w:rPr>
                <w:rFonts w:ascii="新細明體" w:eastAsia="新細明體" w:hAnsi="新細明體" w:cs="新細明體" w:hint="eastAsia"/>
                <w:b/>
                <w:color w:val="FF0000"/>
              </w:rPr>
              <w:t>S</w:t>
            </w:r>
            <w:r>
              <w:rPr>
                <w:rFonts w:ascii="新細明體" w:eastAsia="新細明體" w:hAnsi="新細明體" w:cs="新細明體" w:hint="eastAsia"/>
              </w:rPr>
              <w:t>S</w:t>
            </w:r>
            <w:r>
              <w:rPr>
                <w:rFonts w:ascii="新細明體" w:eastAsia="新細明體" w:hAnsi="新細明體" w:cs="新細明體" w:hint="eastAsia"/>
                <w:b/>
                <w:color w:val="FF0000"/>
              </w:rPr>
              <w:t>L</w:t>
            </w:r>
            <w:r>
              <w:rPr>
                <w:rFonts w:ascii="新細明體" w:eastAsia="新細明體" w:hAnsi="新細明體" w:cs="新細明體" w:hint="eastAsia"/>
              </w:rPr>
              <w:t>)。</w:t>
            </w:r>
          </w:p>
        </w:tc>
        <w:tc>
          <w:tcPr>
            <w:tcW w:w="2023" w:type="dxa"/>
            <w:vMerge/>
            <w:tcBorders>
              <w:right w:val="single" w:sz="12" w:space="0" w:color="auto"/>
            </w:tcBorders>
            <w:shd w:val="clear" w:color="auto" w:fill="auto"/>
          </w:tcPr>
          <w:p w14:paraId="6A5B9D1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F5D374B" w14:textId="77777777">
        <w:tc>
          <w:tcPr>
            <w:tcW w:w="1384" w:type="dxa"/>
            <w:vMerge/>
            <w:tcBorders>
              <w:left w:val="single" w:sz="12" w:space="0" w:color="auto"/>
            </w:tcBorders>
            <w:shd w:val="clear" w:color="auto" w:fill="auto"/>
          </w:tcPr>
          <w:p w14:paraId="27917DA0" w14:textId="77777777" w:rsidR="003B3105" w:rsidRDefault="003B3105" w:rsidP="001E533B">
            <w:pPr>
              <w:rPr>
                <w:rFonts w:ascii="新細明體" w:eastAsia="新細明體" w:hAnsi="新細明體"/>
              </w:rPr>
            </w:pPr>
          </w:p>
        </w:tc>
        <w:tc>
          <w:tcPr>
            <w:tcW w:w="1276" w:type="dxa"/>
            <w:vMerge/>
            <w:shd w:val="clear" w:color="auto" w:fill="auto"/>
          </w:tcPr>
          <w:p w14:paraId="138D27D6"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93E05E0"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(三十七)電子式及非電子式交易型態以電子郵件執行成交回報之傳輸，公司對姓名、帳號及信用帳號等機敏資訊，是否依「機敏資訊類型及隱匿之具體作法原則」辦</w:t>
            </w:r>
            <w:r>
              <w:rPr>
                <w:rFonts w:ascii="新細明體" w:eastAsia="新細明體" w:hAnsi="新細明體" w:cs="新細明體" w:hint="eastAsia"/>
              </w:rPr>
              <w:lastRenderedPageBreak/>
              <w:t>理。</w:t>
            </w:r>
          </w:p>
        </w:tc>
        <w:tc>
          <w:tcPr>
            <w:tcW w:w="5387" w:type="dxa"/>
            <w:tcBorders>
              <w:top w:val="nil"/>
              <w:bottom w:val="nil"/>
            </w:tcBorders>
            <w:shd w:val="clear" w:color="auto" w:fill="auto"/>
          </w:tcPr>
          <w:p w14:paraId="4B7420A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(三十七)電子式及非電子式交易型態以電子郵件執行成交回報之傳輸，公司對姓名、帳號及信用帳號等機敏資訊，是否依「機敏資訊類型及隱匿之具體作法原則」辦</w:t>
            </w:r>
            <w:r>
              <w:rPr>
                <w:rFonts w:ascii="新細明體" w:eastAsia="新細明體" w:hAnsi="新細明體" w:cs="新細明體" w:hint="eastAsia"/>
              </w:rPr>
              <w:lastRenderedPageBreak/>
              <w:t>理。</w:t>
            </w:r>
          </w:p>
        </w:tc>
        <w:tc>
          <w:tcPr>
            <w:tcW w:w="2023" w:type="dxa"/>
            <w:vMerge/>
            <w:tcBorders>
              <w:right w:val="single" w:sz="12" w:space="0" w:color="auto"/>
            </w:tcBorders>
            <w:shd w:val="clear" w:color="auto" w:fill="auto"/>
          </w:tcPr>
          <w:p w14:paraId="41150B3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787B56B" w14:textId="77777777">
        <w:tc>
          <w:tcPr>
            <w:tcW w:w="1384" w:type="dxa"/>
            <w:vMerge/>
            <w:tcBorders>
              <w:left w:val="single" w:sz="12" w:space="0" w:color="auto"/>
            </w:tcBorders>
            <w:shd w:val="clear" w:color="auto" w:fill="auto"/>
          </w:tcPr>
          <w:p w14:paraId="161F160F" w14:textId="77777777" w:rsidR="003B3105" w:rsidRDefault="003B3105" w:rsidP="001E533B">
            <w:pPr>
              <w:rPr>
                <w:rFonts w:ascii="新細明體" w:eastAsia="新細明體" w:hAnsi="新細明體"/>
              </w:rPr>
            </w:pPr>
          </w:p>
        </w:tc>
        <w:tc>
          <w:tcPr>
            <w:tcW w:w="1276" w:type="dxa"/>
            <w:vMerge/>
            <w:shd w:val="clear" w:color="auto" w:fill="auto"/>
          </w:tcPr>
          <w:p w14:paraId="419E00CF"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591EA5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(三十八)相關留存紀錄是否確保數位證據之收集、保護與適當管理程序，且是否至少留存三年。</w:t>
            </w:r>
          </w:p>
        </w:tc>
        <w:tc>
          <w:tcPr>
            <w:tcW w:w="5387" w:type="dxa"/>
            <w:tcBorders>
              <w:top w:val="nil"/>
              <w:bottom w:val="nil"/>
            </w:tcBorders>
            <w:shd w:val="clear" w:color="auto" w:fill="auto"/>
          </w:tcPr>
          <w:p w14:paraId="29D860C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(三十八)相關留存紀錄是否確保數位證據之收集、保護與適當管理程序，且是否至少留存三年。</w:t>
            </w:r>
          </w:p>
        </w:tc>
        <w:tc>
          <w:tcPr>
            <w:tcW w:w="2023" w:type="dxa"/>
            <w:vMerge/>
            <w:tcBorders>
              <w:right w:val="single" w:sz="12" w:space="0" w:color="auto"/>
            </w:tcBorders>
            <w:shd w:val="clear" w:color="auto" w:fill="auto"/>
          </w:tcPr>
          <w:p w14:paraId="6D05833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shd w:val="clear" w:color="auto" w:fill="auto"/>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shd w:val="clear" w:color="auto" w:fill="auto"/>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shd w:val="clear" w:color="auto" w:fill="auto"/>
          </w:tcPr>
          <w:p w14:paraId="5C9FE276" w14:textId="126A04A8" w:rsidR="003B3105" w:rsidRPr="0068743F" w:rsidRDefault="0027008E" w:rsidP="0027008E">
            <w:pPr>
              <w:ind w:left="702" w:hangingChars="270" w:hanging="702"/>
              <w:rPr>
                <w:rFonts w:ascii="新細明體" w:eastAsia="新細明體" w:hAnsi="新細明體" w:cs="新細明體"/>
              </w:rPr>
            </w:pPr>
            <w:r>
              <w:rPr>
                <w:rFonts w:ascii="新細明體" w:eastAsia="新細明體" w:hAnsi="新細明體" w:cs="新細明體" w:hint="eastAsia"/>
              </w:rPr>
              <w:t>(三十九)公司是否訂定資通系統存取控制相關規定，並以書面、電子或其他方式告知員工。</w:t>
            </w:r>
          </w:p>
        </w:tc>
        <w:tc>
          <w:tcPr>
            <w:tcW w:w="5387" w:type="dxa"/>
            <w:tcBorders>
              <w:top w:val="nil"/>
              <w:bottom w:val="single" w:sz="12" w:space="0" w:color="auto"/>
            </w:tcBorders>
            <w:shd w:val="clear" w:color="auto" w:fill="auto"/>
          </w:tcPr>
          <w:p w14:paraId="7CBFB24A" w14:textId="08415A0E" w:rsidR="003B3105" w:rsidRPr="00F6439B" w:rsidRDefault="0027008E" w:rsidP="0027008E">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(三十九)公司是否訂定資通系統存取控制相關規定，並以書面、電子或其他方式告知員工。</w:t>
            </w:r>
          </w:p>
        </w:tc>
        <w:tc>
          <w:tcPr>
            <w:tcW w:w="2023" w:type="dxa"/>
            <w:vMerge/>
            <w:tcBorders>
              <w:bottom w:val="single" w:sz="12" w:space="0" w:color="auto"/>
              <w:right w:val="single" w:sz="12" w:space="0" w:color="auto"/>
            </w:tcBorders>
            <w:shd w:val="clear" w:color="auto" w:fill="auto"/>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16C7968A"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6E663" w14:textId="77777777" w:rsidR="00826565" w:rsidRDefault="00826565" w:rsidP="00E87601">
      <w:pPr>
        <w:spacing w:line="240" w:lineRule="auto"/>
      </w:pPr>
      <w:r>
        <w:separator/>
      </w:r>
    </w:p>
  </w:endnote>
  <w:endnote w:type="continuationSeparator" w:id="0">
    <w:p w14:paraId="17F39202" w14:textId="77777777" w:rsidR="00826565" w:rsidRDefault="00826565"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8CBB9" w14:textId="77777777" w:rsidR="00826565" w:rsidRDefault="00826565" w:rsidP="00E87601">
      <w:pPr>
        <w:spacing w:line="240" w:lineRule="auto"/>
      </w:pPr>
      <w:r>
        <w:separator/>
      </w:r>
    </w:p>
  </w:footnote>
  <w:footnote w:type="continuationSeparator" w:id="0">
    <w:p w14:paraId="3D53C64B" w14:textId="77777777" w:rsidR="00826565" w:rsidRDefault="00826565"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abstractNumId w:val="8"/>
  </w:num>
  <w:num w:numId="2">
    <w:abstractNumId w:val="7"/>
  </w:num>
  <w:num w:numId="3">
    <w:abstractNumId w:val="13"/>
  </w:num>
  <w:num w:numId="4">
    <w:abstractNumId w:val="0"/>
  </w:num>
  <w:num w:numId="5">
    <w:abstractNumId w:val="11"/>
  </w:num>
  <w:num w:numId="6">
    <w:abstractNumId w:val="2"/>
  </w:num>
  <w:num w:numId="7">
    <w:abstractNumId w:val="4"/>
  </w:num>
  <w:num w:numId="8">
    <w:abstractNumId w:val="12"/>
  </w:num>
  <w:num w:numId="9">
    <w:abstractNumId w:val="16"/>
  </w:num>
  <w:num w:numId="10">
    <w:abstractNumId w:val="5"/>
  </w:num>
  <w:num w:numId="11">
    <w:abstractNumId w:val="17"/>
  </w:num>
  <w:num w:numId="12">
    <w:abstractNumId w:val="6"/>
  </w:num>
  <w:num w:numId="13">
    <w:abstractNumId w:val="1"/>
  </w:num>
  <w:num w:numId="14">
    <w:abstractNumId w:val="14"/>
  </w:num>
  <w:num w:numId="15">
    <w:abstractNumId w:val="15"/>
  </w:num>
  <w:num w:numId="16">
    <w:abstractNumId w:val="19"/>
  </w:num>
  <w:num w:numId="17">
    <w:abstractNumId w:val="18"/>
  </w:num>
  <w:num w:numId="18">
    <w:abstractNumId w:val="9"/>
  </w:num>
  <w:num w:numId="19">
    <w:abstractNumId w:val="3"/>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2D3AE3"/>
    <w:rsid w:val="0030176E"/>
    <w:rsid w:val="0030391B"/>
    <w:rsid w:val="003042D6"/>
    <w:rsid w:val="0031289E"/>
    <w:rsid w:val="00320C3C"/>
    <w:rsid w:val="0032634F"/>
    <w:rsid w:val="00354E9A"/>
    <w:rsid w:val="00360CA1"/>
    <w:rsid w:val="003757E9"/>
    <w:rsid w:val="003948F0"/>
    <w:rsid w:val="003B3105"/>
    <w:rsid w:val="003B5A2D"/>
    <w:rsid w:val="003B7480"/>
    <w:rsid w:val="003B7771"/>
    <w:rsid w:val="003C4C66"/>
    <w:rsid w:val="00402508"/>
    <w:rsid w:val="0043298E"/>
    <w:rsid w:val="004331D4"/>
    <w:rsid w:val="004542BC"/>
    <w:rsid w:val="00456B35"/>
    <w:rsid w:val="00460ACD"/>
    <w:rsid w:val="00463342"/>
    <w:rsid w:val="00465C52"/>
    <w:rsid w:val="0048793B"/>
    <w:rsid w:val="004A1319"/>
    <w:rsid w:val="004A29F0"/>
    <w:rsid w:val="004B19C0"/>
    <w:rsid w:val="004C3BE1"/>
    <w:rsid w:val="004E3C0D"/>
    <w:rsid w:val="00531E93"/>
    <w:rsid w:val="005352D5"/>
    <w:rsid w:val="005404DE"/>
    <w:rsid w:val="005716CE"/>
    <w:rsid w:val="0057303B"/>
    <w:rsid w:val="00587858"/>
    <w:rsid w:val="00590586"/>
    <w:rsid w:val="005A67E0"/>
    <w:rsid w:val="005B5700"/>
    <w:rsid w:val="005D293B"/>
    <w:rsid w:val="005E48B0"/>
    <w:rsid w:val="005E77C1"/>
    <w:rsid w:val="0061624E"/>
    <w:rsid w:val="00622D10"/>
    <w:rsid w:val="00651DC4"/>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7E1E63"/>
    <w:rsid w:val="00820A8B"/>
    <w:rsid w:val="00826565"/>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E5975"/>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73498"/>
    <w:rsid w:val="00D93714"/>
    <w:rsid w:val="00DB54C8"/>
    <w:rsid w:val="00DB54EE"/>
    <w:rsid w:val="00DC16C9"/>
    <w:rsid w:val="00E055DE"/>
    <w:rsid w:val="00E17EAE"/>
    <w:rsid w:val="00E35783"/>
    <w:rsid w:val="00E520A8"/>
    <w:rsid w:val="00E6151B"/>
    <w:rsid w:val="00E8068F"/>
    <w:rsid w:val="00E87601"/>
    <w:rsid w:val="00EA2E15"/>
    <w:rsid w:val="00EB3A71"/>
    <w:rsid w:val="00EF791F"/>
    <w:rsid w:val="00F02C37"/>
    <w:rsid w:val="00F2266B"/>
    <w:rsid w:val="00F237EE"/>
    <w:rsid w:val="00F247E4"/>
    <w:rsid w:val="00F35FDD"/>
    <w:rsid w:val="00F56FAD"/>
    <w:rsid w:val="00F6439B"/>
    <w:rsid w:val="00F86396"/>
    <w:rsid w:val="00FA5967"/>
    <w:rsid w:val="00FA7BF5"/>
    <w:rsid w:val="00FB3CAF"/>
    <w:rsid w:val="00FD5445"/>
    <w:rsid w:val="00FE0FC0"/>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738</Words>
  <Characters>4210</Characters>
  <Application>Microsoft Office Word</Application>
  <DocSecurity>0</DocSecurity>
  <Lines>35</Lines>
  <Paragraphs>9</Paragraphs>
  <ScaleCrop>false</ScaleCrop>
  <Company>Hewlett-Packard Company</Company>
  <LinksUpToDate>false</LinksUpToDate>
  <CharactersWithSpaces>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謝昌勝</cp:lastModifiedBy>
  <cp:revision>15</cp:revision>
  <cp:lastPrinted>2004-03-09T19:20:00Z</cp:lastPrinted>
  <dcterms:created xsi:type="dcterms:W3CDTF">2025-04-18T10:47:00Z</dcterms:created>
  <dcterms:modified xsi:type="dcterms:W3CDTF">2026-06-25T01:46:00Z</dcterms:modified>
</cp:coreProperties>
</file>