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4F3" w14:textId="04824FA4"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shd w:val="clear" w:color="auto" w:fill="auto"/>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shd w:val="clear" w:color="auto" w:fill="auto"/>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shd w:val="clear" w:color="auto" w:fill="auto"/>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shd w:val="clear" w:color="auto" w:fill="auto"/>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shd w:val="clear" w:color="auto" w:fill="auto"/>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shd w:val="clear" w:color="auto" w:fill="auto"/>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AC-19000</w:t>
            </w:r>
          </w:p>
        </w:tc>
        <w:tc>
          <w:tcPr>
            <w:tcW w:w="1276" w:type="dxa"/>
            <w:vMerge w:val="restart"/>
            <w:tcBorders>
              <w:top w:val="single" w:sz="12" w:space="0" w:color="auto"/>
            </w:tcBorders>
            <w:shd w:val="clear" w:color="auto" w:fill="auto"/>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系統開發及維護之稽核</w:t>
            </w:r>
          </w:p>
          <w:p w14:paraId="765D3A01"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71874081"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shd w:val="clear" w:color="auto" w:fill="auto"/>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shd w:val="clear" w:color="auto" w:fill="auto"/>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shd w:val="clear" w:color="auto" w:fill="auto"/>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1.調整用字一致性； 2.增訂程式更版上線前驗證之規定； 3.調整文字，以清楚規範適用範圍。</w:t>
            </w:r>
          </w:p>
        </w:tc>
      </w:tr>
      <w:tr w:rsidR="003B3105" w:rsidRPr="00F6439B" w14:paraId="2BC6EC63" w14:textId="77777777">
        <w:tc>
          <w:tcPr>
            <w:tcW w:w="1384" w:type="dxa"/>
            <w:vMerge/>
            <w:tcBorders>
              <w:left w:val="single" w:sz="12" w:space="0" w:color="auto"/>
            </w:tcBorders>
            <w:shd w:val="clear" w:color="auto" w:fill="auto"/>
          </w:tcPr>
          <w:p w14:paraId="209BBC6A" w14:textId="77777777" w:rsidR="003B3105" w:rsidRDefault="003B3105" w:rsidP="001E533B">
            <w:pPr>
              <w:rPr>
                <w:rFonts w:ascii="新細明體" w:eastAsia="新細明體" w:hAnsi="新細明體"/>
              </w:rPr>
            </w:pPr>
          </w:p>
        </w:tc>
        <w:tc>
          <w:tcPr>
            <w:tcW w:w="1276" w:type="dxa"/>
            <w:vMerge/>
            <w:shd w:val="clear" w:color="auto" w:fill="auto"/>
          </w:tcPr>
          <w:p w14:paraId="1197E29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(一)應用系統在規劃分析時是否將資訊安全需求納入分析及規格。</w:t>
            </w:r>
          </w:p>
        </w:tc>
        <w:tc>
          <w:tcPr>
            <w:tcW w:w="5387" w:type="dxa"/>
            <w:tcBorders>
              <w:top w:val="nil"/>
              <w:bottom w:val="nil"/>
            </w:tcBorders>
            <w:shd w:val="clear" w:color="auto" w:fill="auto"/>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(一)應用系統在規劃分析時是否將資訊安全需求納入分析及規格。</w:t>
            </w:r>
          </w:p>
        </w:tc>
        <w:tc>
          <w:tcPr>
            <w:tcW w:w="2023" w:type="dxa"/>
            <w:vMerge/>
            <w:tcBorders>
              <w:right w:val="single" w:sz="12" w:space="0" w:color="auto"/>
            </w:tcBorders>
            <w:shd w:val="clear" w:color="auto" w:fill="auto"/>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65406D" w14:textId="77777777">
        <w:tc>
          <w:tcPr>
            <w:tcW w:w="1384" w:type="dxa"/>
            <w:vMerge/>
            <w:tcBorders>
              <w:left w:val="single" w:sz="12" w:space="0" w:color="auto"/>
            </w:tcBorders>
            <w:shd w:val="clear" w:color="auto" w:fill="auto"/>
          </w:tcPr>
          <w:p w14:paraId="6CC296B6" w14:textId="77777777" w:rsidR="003B3105" w:rsidRDefault="003B3105" w:rsidP="001E533B">
            <w:pPr>
              <w:rPr>
                <w:rFonts w:ascii="新細明體" w:eastAsia="新細明體" w:hAnsi="新細明體"/>
              </w:rPr>
            </w:pPr>
          </w:p>
        </w:tc>
        <w:tc>
          <w:tcPr>
            <w:tcW w:w="1276" w:type="dxa"/>
            <w:vMerge/>
            <w:shd w:val="clear" w:color="auto" w:fill="auto"/>
          </w:tcPr>
          <w:p w14:paraId="001CBC1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9681DC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(二)輸入資料是否作檢查，以確認其正確性。</w:t>
            </w:r>
          </w:p>
        </w:tc>
        <w:tc>
          <w:tcPr>
            <w:tcW w:w="5387" w:type="dxa"/>
            <w:tcBorders>
              <w:top w:val="nil"/>
              <w:bottom w:val="nil"/>
            </w:tcBorders>
            <w:shd w:val="clear" w:color="auto" w:fill="auto"/>
          </w:tcPr>
          <w:p w14:paraId="5A4A9B2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(二)輸入資料是否作檢查，以確認其正確性。</w:t>
            </w:r>
          </w:p>
        </w:tc>
        <w:tc>
          <w:tcPr>
            <w:tcW w:w="2023" w:type="dxa"/>
            <w:vMerge/>
            <w:tcBorders>
              <w:right w:val="single" w:sz="12" w:space="0" w:color="auto"/>
            </w:tcBorders>
            <w:shd w:val="clear" w:color="auto" w:fill="auto"/>
          </w:tcPr>
          <w:p w14:paraId="7B2F23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6C0BBA" w14:textId="77777777">
        <w:tc>
          <w:tcPr>
            <w:tcW w:w="1384" w:type="dxa"/>
            <w:vMerge/>
            <w:tcBorders>
              <w:left w:val="single" w:sz="12" w:space="0" w:color="auto"/>
            </w:tcBorders>
            <w:shd w:val="clear" w:color="auto" w:fill="auto"/>
          </w:tcPr>
          <w:p w14:paraId="79656FBC" w14:textId="77777777" w:rsidR="003B3105" w:rsidRDefault="003B3105" w:rsidP="001E533B">
            <w:pPr>
              <w:rPr>
                <w:rFonts w:ascii="新細明體" w:eastAsia="新細明體" w:hAnsi="新細明體"/>
              </w:rPr>
            </w:pPr>
          </w:p>
        </w:tc>
        <w:tc>
          <w:tcPr>
            <w:tcW w:w="1276" w:type="dxa"/>
            <w:vMerge/>
            <w:shd w:val="clear" w:color="auto" w:fill="auto"/>
          </w:tcPr>
          <w:p w14:paraId="437C6CD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768638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(三)提出之資訊作業發展計畫，是否確定欲開發系統之作業方式。</w:t>
            </w:r>
          </w:p>
        </w:tc>
        <w:tc>
          <w:tcPr>
            <w:tcW w:w="5387" w:type="dxa"/>
            <w:tcBorders>
              <w:top w:val="nil"/>
              <w:bottom w:val="nil"/>
            </w:tcBorders>
            <w:shd w:val="clear" w:color="auto" w:fill="auto"/>
          </w:tcPr>
          <w:p w14:paraId="1ABEE95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(三)提出之資訊作業發展計畫，是否確定欲開發系統之作業方式。</w:t>
            </w:r>
          </w:p>
        </w:tc>
        <w:tc>
          <w:tcPr>
            <w:tcW w:w="2023" w:type="dxa"/>
            <w:vMerge/>
            <w:tcBorders>
              <w:right w:val="single" w:sz="12" w:space="0" w:color="auto"/>
            </w:tcBorders>
            <w:shd w:val="clear" w:color="auto" w:fill="auto"/>
          </w:tcPr>
          <w:p w14:paraId="290A8A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F2670D" w14:textId="77777777">
        <w:tc>
          <w:tcPr>
            <w:tcW w:w="1384" w:type="dxa"/>
            <w:vMerge/>
            <w:tcBorders>
              <w:left w:val="single" w:sz="12" w:space="0" w:color="auto"/>
            </w:tcBorders>
            <w:shd w:val="clear" w:color="auto" w:fill="auto"/>
          </w:tcPr>
          <w:p w14:paraId="100A998B" w14:textId="77777777" w:rsidR="003B3105" w:rsidRDefault="003B3105" w:rsidP="001E533B">
            <w:pPr>
              <w:rPr>
                <w:rFonts w:ascii="新細明體" w:eastAsia="新細明體" w:hAnsi="新細明體"/>
              </w:rPr>
            </w:pPr>
          </w:p>
        </w:tc>
        <w:tc>
          <w:tcPr>
            <w:tcW w:w="1276" w:type="dxa"/>
            <w:vMerge/>
            <w:shd w:val="clear" w:color="auto" w:fill="auto"/>
          </w:tcPr>
          <w:p w14:paraId="01B11B1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269715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(四)需求分析報告是否與相關業務單位充分討論。</w:t>
            </w:r>
          </w:p>
        </w:tc>
        <w:tc>
          <w:tcPr>
            <w:tcW w:w="5387" w:type="dxa"/>
            <w:tcBorders>
              <w:top w:val="nil"/>
              <w:bottom w:val="nil"/>
            </w:tcBorders>
            <w:shd w:val="clear" w:color="auto" w:fill="auto"/>
          </w:tcPr>
          <w:p w14:paraId="222ECA1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(四)需求分析報告是否與相關業務單位充分討論。</w:t>
            </w:r>
          </w:p>
        </w:tc>
        <w:tc>
          <w:tcPr>
            <w:tcW w:w="2023" w:type="dxa"/>
            <w:vMerge/>
            <w:tcBorders>
              <w:right w:val="single" w:sz="12" w:space="0" w:color="auto"/>
            </w:tcBorders>
            <w:shd w:val="clear" w:color="auto" w:fill="auto"/>
          </w:tcPr>
          <w:p w14:paraId="780C96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0A9A47" w14:textId="77777777">
        <w:tc>
          <w:tcPr>
            <w:tcW w:w="1384" w:type="dxa"/>
            <w:vMerge/>
            <w:tcBorders>
              <w:left w:val="single" w:sz="12" w:space="0" w:color="auto"/>
            </w:tcBorders>
            <w:shd w:val="clear" w:color="auto" w:fill="auto"/>
          </w:tcPr>
          <w:p w14:paraId="0F6826C8" w14:textId="77777777" w:rsidR="003B3105" w:rsidRDefault="003B3105" w:rsidP="001E533B">
            <w:pPr>
              <w:rPr>
                <w:rFonts w:ascii="新細明體" w:eastAsia="新細明體" w:hAnsi="新細明體"/>
              </w:rPr>
            </w:pPr>
          </w:p>
        </w:tc>
        <w:tc>
          <w:tcPr>
            <w:tcW w:w="1276" w:type="dxa"/>
            <w:vMerge/>
            <w:shd w:val="clear" w:color="auto" w:fill="auto"/>
          </w:tcPr>
          <w:p w14:paraId="29A47DF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680D56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(五)已認可之系統開發計畫是否包含下列項目：</w:t>
            </w:r>
          </w:p>
        </w:tc>
        <w:tc>
          <w:tcPr>
            <w:tcW w:w="5387" w:type="dxa"/>
            <w:tcBorders>
              <w:top w:val="nil"/>
              <w:bottom w:val="nil"/>
            </w:tcBorders>
            <w:shd w:val="clear" w:color="auto" w:fill="auto"/>
          </w:tcPr>
          <w:p w14:paraId="3788A3F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(五)已認可之系統開發計畫是否包含下列項目：</w:t>
            </w:r>
          </w:p>
        </w:tc>
        <w:tc>
          <w:tcPr>
            <w:tcW w:w="2023" w:type="dxa"/>
            <w:vMerge/>
            <w:tcBorders>
              <w:right w:val="single" w:sz="12" w:space="0" w:color="auto"/>
            </w:tcBorders>
            <w:shd w:val="clear" w:color="auto" w:fill="auto"/>
          </w:tcPr>
          <w:p w14:paraId="100828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BBADDC" w14:textId="77777777">
        <w:tc>
          <w:tcPr>
            <w:tcW w:w="1384" w:type="dxa"/>
            <w:vMerge/>
            <w:tcBorders>
              <w:left w:val="single" w:sz="12" w:space="0" w:color="auto"/>
            </w:tcBorders>
            <w:shd w:val="clear" w:color="auto" w:fill="auto"/>
          </w:tcPr>
          <w:p w14:paraId="45CD52B6" w14:textId="77777777" w:rsidR="003B3105" w:rsidRDefault="003B3105" w:rsidP="001E533B">
            <w:pPr>
              <w:rPr>
                <w:rFonts w:ascii="新細明體" w:eastAsia="新細明體" w:hAnsi="新細明體"/>
              </w:rPr>
            </w:pPr>
          </w:p>
        </w:tc>
        <w:tc>
          <w:tcPr>
            <w:tcW w:w="1276" w:type="dxa"/>
            <w:vMerge/>
            <w:shd w:val="clear" w:color="auto" w:fill="auto"/>
          </w:tcPr>
          <w:p w14:paraId="70EADD7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D3E23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1.計劃之目的及範圍皆有周詳之定義。</w:t>
            </w:r>
          </w:p>
        </w:tc>
        <w:tc>
          <w:tcPr>
            <w:tcW w:w="5387" w:type="dxa"/>
            <w:tcBorders>
              <w:top w:val="nil"/>
              <w:bottom w:val="nil"/>
            </w:tcBorders>
            <w:shd w:val="clear" w:color="auto" w:fill="auto"/>
          </w:tcPr>
          <w:p w14:paraId="53DC0B9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1.計劃之目的及範圍皆有周詳之定義。</w:t>
            </w:r>
          </w:p>
        </w:tc>
        <w:tc>
          <w:tcPr>
            <w:tcW w:w="2023" w:type="dxa"/>
            <w:vMerge/>
            <w:tcBorders>
              <w:right w:val="single" w:sz="12" w:space="0" w:color="auto"/>
            </w:tcBorders>
            <w:shd w:val="clear" w:color="auto" w:fill="auto"/>
          </w:tcPr>
          <w:p w14:paraId="3BB4C3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765206" w14:textId="77777777">
        <w:tc>
          <w:tcPr>
            <w:tcW w:w="1384" w:type="dxa"/>
            <w:vMerge/>
            <w:tcBorders>
              <w:left w:val="single" w:sz="12" w:space="0" w:color="auto"/>
            </w:tcBorders>
            <w:shd w:val="clear" w:color="auto" w:fill="auto"/>
          </w:tcPr>
          <w:p w14:paraId="5B098D8A" w14:textId="77777777" w:rsidR="003B3105" w:rsidRDefault="003B3105" w:rsidP="001E533B">
            <w:pPr>
              <w:rPr>
                <w:rFonts w:ascii="新細明體" w:eastAsia="新細明體" w:hAnsi="新細明體"/>
              </w:rPr>
            </w:pPr>
          </w:p>
        </w:tc>
        <w:tc>
          <w:tcPr>
            <w:tcW w:w="1276" w:type="dxa"/>
            <w:vMerge/>
            <w:shd w:val="clear" w:color="auto" w:fill="auto"/>
          </w:tcPr>
          <w:p w14:paraId="1887BEF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AB545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2.針對各種可行方案合理估計成本效益並作比較分析。</w:t>
            </w:r>
          </w:p>
        </w:tc>
        <w:tc>
          <w:tcPr>
            <w:tcW w:w="5387" w:type="dxa"/>
            <w:tcBorders>
              <w:top w:val="nil"/>
              <w:bottom w:val="nil"/>
            </w:tcBorders>
            <w:shd w:val="clear" w:color="auto" w:fill="auto"/>
          </w:tcPr>
          <w:p w14:paraId="073CBA5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2.針對各種可行方案合理估計成本效益並作比較分析。</w:t>
            </w:r>
          </w:p>
        </w:tc>
        <w:tc>
          <w:tcPr>
            <w:tcW w:w="2023" w:type="dxa"/>
            <w:vMerge/>
            <w:tcBorders>
              <w:right w:val="single" w:sz="12" w:space="0" w:color="auto"/>
            </w:tcBorders>
            <w:shd w:val="clear" w:color="auto" w:fill="auto"/>
          </w:tcPr>
          <w:p w14:paraId="3FC512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EB68CD" w14:textId="77777777">
        <w:tc>
          <w:tcPr>
            <w:tcW w:w="1384" w:type="dxa"/>
            <w:vMerge/>
            <w:tcBorders>
              <w:left w:val="single" w:sz="12" w:space="0" w:color="auto"/>
            </w:tcBorders>
            <w:shd w:val="clear" w:color="auto" w:fill="auto"/>
          </w:tcPr>
          <w:p w14:paraId="0435690E" w14:textId="77777777" w:rsidR="003B3105" w:rsidRDefault="003B3105" w:rsidP="001E533B">
            <w:pPr>
              <w:rPr>
                <w:rFonts w:ascii="新細明體" w:eastAsia="新細明體" w:hAnsi="新細明體"/>
              </w:rPr>
            </w:pPr>
          </w:p>
        </w:tc>
        <w:tc>
          <w:tcPr>
            <w:tcW w:w="1276" w:type="dxa"/>
            <w:vMerge/>
            <w:shd w:val="clear" w:color="auto" w:fill="auto"/>
          </w:tcPr>
          <w:p w14:paraId="100BEC6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4789BE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3.依系統開發階段訂定合理的進度表。</w:t>
            </w:r>
          </w:p>
        </w:tc>
        <w:tc>
          <w:tcPr>
            <w:tcW w:w="5387" w:type="dxa"/>
            <w:tcBorders>
              <w:top w:val="nil"/>
              <w:bottom w:val="nil"/>
            </w:tcBorders>
            <w:shd w:val="clear" w:color="auto" w:fill="auto"/>
          </w:tcPr>
          <w:p w14:paraId="1201FC7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3.依系統開發階段訂定合理的進度表。</w:t>
            </w:r>
          </w:p>
        </w:tc>
        <w:tc>
          <w:tcPr>
            <w:tcW w:w="2023" w:type="dxa"/>
            <w:vMerge/>
            <w:tcBorders>
              <w:right w:val="single" w:sz="12" w:space="0" w:color="auto"/>
            </w:tcBorders>
            <w:shd w:val="clear" w:color="auto" w:fill="auto"/>
          </w:tcPr>
          <w:p w14:paraId="713FD5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4A975D" w14:textId="77777777">
        <w:tc>
          <w:tcPr>
            <w:tcW w:w="1384" w:type="dxa"/>
            <w:vMerge/>
            <w:tcBorders>
              <w:left w:val="single" w:sz="12" w:space="0" w:color="auto"/>
            </w:tcBorders>
            <w:shd w:val="clear" w:color="auto" w:fill="auto"/>
          </w:tcPr>
          <w:p w14:paraId="3A204EEC" w14:textId="77777777" w:rsidR="003B3105" w:rsidRDefault="003B3105" w:rsidP="001E533B">
            <w:pPr>
              <w:rPr>
                <w:rFonts w:ascii="新細明體" w:eastAsia="新細明體" w:hAnsi="新細明體"/>
              </w:rPr>
            </w:pPr>
          </w:p>
        </w:tc>
        <w:tc>
          <w:tcPr>
            <w:tcW w:w="1276" w:type="dxa"/>
            <w:vMerge/>
            <w:shd w:val="clear" w:color="auto" w:fill="auto"/>
          </w:tcPr>
          <w:p w14:paraId="0480946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3C9A64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(六)系統分析報告是否包含下列項目：</w:t>
            </w:r>
          </w:p>
        </w:tc>
        <w:tc>
          <w:tcPr>
            <w:tcW w:w="5387" w:type="dxa"/>
            <w:tcBorders>
              <w:top w:val="nil"/>
              <w:bottom w:val="nil"/>
            </w:tcBorders>
            <w:shd w:val="clear" w:color="auto" w:fill="auto"/>
          </w:tcPr>
          <w:p w14:paraId="79FDE05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(六)系統分析報告是否包含下列項目：</w:t>
            </w:r>
          </w:p>
        </w:tc>
        <w:tc>
          <w:tcPr>
            <w:tcW w:w="2023" w:type="dxa"/>
            <w:vMerge/>
            <w:tcBorders>
              <w:right w:val="single" w:sz="12" w:space="0" w:color="auto"/>
            </w:tcBorders>
            <w:shd w:val="clear" w:color="auto" w:fill="auto"/>
          </w:tcPr>
          <w:p w14:paraId="1B9459E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5D48FE" w14:textId="77777777">
        <w:tc>
          <w:tcPr>
            <w:tcW w:w="1384" w:type="dxa"/>
            <w:vMerge/>
            <w:tcBorders>
              <w:left w:val="single" w:sz="12" w:space="0" w:color="auto"/>
            </w:tcBorders>
            <w:shd w:val="clear" w:color="auto" w:fill="auto"/>
          </w:tcPr>
          <w:p w14:paraId="399DA274" w14:textId="77777777" w:rsidR="003B3105" w:rsidRDefault="003B3105" w:rsidP="001E533B">
            <w:pPr>
              <w:rPr>
                <w:rFonts w:ascii="新細明體" w:eastAsia="新細明體" w:hAnsi="新細明體"/>
              </w:rPr>
            </w:pPr>
          </w:p>
        </w:tc>
        <w:tc>
          <w:tcPr>
            <w:tcW w:w="1276" w:type="dxa"/>
            <w:vMerge/>
            <w:shd w:val="clear" w:color="auto" w:fill="auto"/>
          </w:tcPr>
          <w:p w14:paraId="6F6E038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A8AEFA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1.現行系統之問題點及其改善方式。</w:t>
            </w:r>
          </w:p>
        </w:tc>
        <w:tc>
          <w:tcPr>
            <w:tcW w:w="5387" w:type="dxa"/>
            <w:tcBorders>
              <w:top w:val="nil"/>
              <w:bottom w:val="nil"/>
            </w:tcBorders>
            <w:shd w:val="clear" w:color="auto" w:fill="auto"/>
          </w:tcPr>
          <w:p w14:paraId="6F195CD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1.現行系統之問題點及其改善方式。</w:t>
            </w:r>
          </w:p>
        </w:tc>
        <w:tc>
          <w:tcPr>
            <w:tcW w:w="2023" w:type="dxa"/>
            <w:vMerge/>
            <w:tcBorders>
              <w:right w:val="single" w:sz="12" w:space="0" w:color="auto"/>
            </w:tcBorders>
            <w:shd w:val="clear" w:color="auto" w:fill="auto"/>
          </w:tcPr>
          <w:p w14:paraId="3B0BAF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CDD8C9" w14:textId="77777777">
        <w:tc>
          <w:tcPr>
            <w:tcW w:w="1384" w:type="dxa"/>
            <w:vMerge/>
            <w:tcBorders>
              <w:left w:val="single" w:sz="12" w:space="0" w:color="auto"/>
            </w:tcBorders>
            <w:shd w:val="clear" w:color="auto" w:fill="auto"/>
          </w:tcPr>
          <w:p w14:paraId="77C61721" w14:textId="77777777" w:rsidR="003B3105" w:rsidRDefault="003B3105" w:rsidP="001E533B">
            <w:pPr>
              <w:rPr>
                <w:rFonts w:ascii="新細明體" w:eastAsia="新細明體" w:hAnsi="新細明體"/>
              </w:rPr>
            </w:pPr>
          </w:p>
        </w:tc>
        <w:tc>
          <w:tcPr>
            <w:tcW w:w="1276" w:type="dxa"/>
            <w:vMerge/>
            <w:shd w:val="clear" w:color="auto" w:fill="auto"/>
          </w:tcPr>
          <w:p w14:paraId="05724B8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CC8E56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2.新系統之成本效益比較分析。</w:t>
            </w:r>
          </w:p>
        </w:tc>
        <w:tc>
          <w:tcPr>
            <w:tcW w:w="5387" w:type="dxa"/>
            <w:tcBorders>
              <w:top w:val="nil"/>
              <w:bottom w:val="nil"/>
            </w:tcBorders>
            <w:shd w:val="clear" w:color="auto" w:fill="auto"/>
          </w:tcPr>
          <w:p w14:paraId="12151B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2.新系統之成本效益比較分析。</w:t>
            </w:r>
          </w:p>
        </w:tc>
        <w:tc>
          <w:tcPr>
            <w:tcW w:w="2023" w:type="dxa"/>
            <w:vMerge/>
            <w:tcBorders>
              <w:right w:val="single" w:sz="12" w:space="0" w:color="auto"/>
            </w:tcBorders>
            <w:shd w:val="clear" w:color="auto" w:fill="auto"/>
          </w:tcPr>
          <w:p w14:paraId="4ED18A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9B072B" w14:textId="77777777">
        <w:tc>
          <w:tcPr>
            <w:tcW w:w="1384" w:type="dxa"/>
            <w:vMerge/>
            <w:tcBorders>
              <w:left w:val="single" w:sz="12" w:space="0" w:color="auto"/>
            </w:tcBorders>
            <w:shd w:val="clear" w:color="auto" w:fill="auto"/>
          </w:tcPr>
          <w:p w14:paraId="0F027ECC" w14:textId="77777777" w:rsidR="003B3105" w:rsidRDefault="003B3105" w:rsidP="001E533B">
            <w:pPr>
              <w:rPr>
                <w:rFonts w:ascii="新細明體" w:eastAsia="新細明體" w:hAnsi="新細明體"/>
              </w:rPr>
            </w:pPr>
          </w:p>
        </w:tc>
        <w:tc>
          <w:tcPr>
            <w:tcW w:w="1276" w:type="dxa"/>
            <w:vMerge/>
            <w:shd w:val="clear" w:color="auto" w:fill="auto"/>
          </w:tcPr>
          <w:p w14:paraId="6DC7218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B5E85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3.新系統之輸入、輸出及內部流程之明確列出。</w:t>
            </w:r>
          </w:p>
        </w:tc>
        <w:tc>
          <w:tcPr>
            <w:tcW w:w="5387" w:type="dxa"/>
            <w:tcBorders>
              <w:top w:val="nil"/>
              <w:bottom w:val="nil"/>
            </w:tcBorders>
            <w:shd w:val="clear" w:color="auto" w:fill="auto"/>
          </w:tcPr>
          <w:p w14:paraId="442B95B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3.新系統之輸入、輸出及內部流程之明確列出。</w:t>
            </w:r>
          </w:p>
        </w:tc>
        <w:tc>
          <w:tcPr>
            <w:tcW w:w="2023" w:type="dxa"/>
            <w:vMerge/>
            <w:tcBorders>
              <w:right w:val="single" w:sz="12" w:space="0" w:color="auto"/>
            </w:tcBorders>
            <w:shd w:val="clear" w:color="auto" w:fill="auto"/>
          </w:tcPr>
          <w:p w14:paraId="571A50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B2201D" w14:textId="77777777">
        <w:tc>
          <w:tcPr>
            <w:tcW w:w="1384" w:type="dxa"/>
            <w:vMerge/>
            <w:tcBorders>
              <w:left w:val="single" w:sz="12" w:space="0" w:color="auto"/>
            </w:tcBorders>
            <w:shd w:val="clear" w:color="auto" w:fill="auto"/>
          </w:tcPr>
          <w:p w14:paraId="016EBAAA" w14:textId="77777777" w:rsidR="003B3105" w:rsidRDefault="003B3105" w:rsidP="001E533B">
            <w:pPr>
              <w:rPr>
                <w:rFonts w:ascii="新細明體" w:eastAsia="新細明體" w:hAnsi="新細明體"/>
              </w:rPr>
            </w:pPr>
          </w:p>
        </w:tc>
        <w:tc>
          <w:tcPr>
            <w:tcW w:w="1276" w:type="dxa"/>
            <w:vMerge/>
            <w:shd w:val="clear" w:color="auto" w:fill="auto"/>
          </w:tcPr>
          <w:p w14:paraId="0FFBCE8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A2E981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(七)環境評估報告是否依規定製作。</w:t>
            </w:r>
          </w:p>
        </w:tc>
        <w:tc>
          <w:tcPr>
            <w:tcW w:w="5387" w:type="dxa"/>
            <w:tcBorders>
              <w:top w:val="nil"/>
              <w:bottom w:val="nil"/>
            </w:tcBorders>
            <w:shd w:val="clear" w:color="auto" w:fill="auto"/>
          </w:tcPr>
          <w:p w14:paraId="788D6C2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(七)環境評估報告是否依規定製作。</w:t>
            </w:r>
          </w:p>
        </w:tc>
        <w:tc>
          <w:tcPr>
            <w:tcW w:w="2023" w:type="dxa"/>
            <w:vMerge/>
            <w:tcBorders>
              <w:right w:val="single" w:sz="12" w:space="0" w:color="auto"/>
            </w:tcBorders>
            <w:shd w:val="clear" w:color="auto" w:fill="auto"/>
          </w:tcPr>
          <w:p w14:paraId="647BFD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313C48" w14:textId="77777777">
        <w:tc>
          <w:tcPr>
            <w:tcW w:w="1384" w:type="dxa"/>
            <w:vMerge/>
            <w:tcBorders>
              <w:left w:val="single" w:sz="12" w:space="0" w:color="auto"/>
            </w:tcBorders>
            <w:shd w:val="clear" w:color="auto" w:fill="auto"/>
          </w:tcPr>
          <w:p w14:paraId="6386AC89" w14:textId="77777777" w:rsidR="003B3105" w:rsidRDefault="003B3105" w:rsidP="001E533B">
            <w:pPr>
              <w:rPr>
                <w:rFonts w:ascii="新細明體" w:eastAsia="新細明體" w:hAnsi="新細明體"/>
              </w:rPr>
            </w:pPr>
          </w:p>
        </w:tc>
        <w:tc>
          <w:tcPr>
            <w:tcW w:w="1276" w:type="dxa"/>
            <w:vMerge/>
            <w:shd w:val="clear" w:color="auto" w:fill="auto"/>
          </w:tcPr>
          <w:p w14:paraId="4095DFD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0B9B77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(八)是否使用具有合法版權之軟體。</w:t>
            </w:r>
          </w:p>
        </w:tc>
        <w:tc>
          <w:tcPr>
            <w:tcW w:w="5387" w:type="dxa"/>
            <w:tcBorders>
              <w:top w:val="nil"/>
              <w:bottom w:val="nil"/>
            </w:tcBorders>
            <w:shd w:val="clear" w:color="auto" w:fill="auto"/>
          </w:tcPr>
          <w:p w14:paraId="7FC0211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(八)是否使用具有合法版權之軟體。</w:t>
            </w:r>
          </w:p>
        </w:tc>
        <w:tc>
          <w:tcPr>
            <w:tcW w:w="2023" w:type="dxa"/>
            <w:vMerge/>
            <w:tcBorders>
              <w:right w:val="single" w:sz="12" w:space="0" w:color="auto"/>
            </w:tcBorders>
            <w:shd w:val="clear" w:color="auto" w:fill="auto"/>
          </w:tcPr>
          <w:p w14:paraId="08C1D5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D70369" w14:textId="77777777">
        <w:tc>
          <w:tcPr>
            <w:tcW w:w="1384" w:type="dxa"/>
            <w:vMerge/>
            <w:tcBorders>
              <w:left w:val="single" w:sz="12" w:space="0" w:color="auto"/>
            </w:tcBorders>
            <w:shd w:val="clear" w:color="auto" w:fill="auto"/>
          </w:tcPr>
          <w:p w14:paraId="6EE2455C" w14:textId="77777777" w:rsidR="003B3105" w:rsidRDefault="003B3105" w:rsidP="001E533B">
            <w:pPr>
              <w:rPr>
                <w:rFonts w:ascii="新細明體" w:eastAsia="新細明體" w:hAnsi="新細明體"/>
              </w:rPr>
            </w:pPr>
          </w:p>
        </w:tc>
        <w:tc>
          <w:tcPr>
            <w:tcW w:w="1276" w:type="dxa"/>
            <w:vMerge/>
            <w:shd w:val="clear" w:color="auto" w:fill="auto"/>
          </w:tcPr>
          <w:p w14:paraId="798BC4E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20D636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(九)資訊軟、硬體設備及作業管理有委外管理情形者，是否符合下列事項：</w:t>
            </w:r>
          </w:p>
        </w:tc>
        <w:tc>
          <w:tcPr>
            <w:tcW w:w="5387" w:type="dxa"/>
            <w:tcBorders>
              <w:top w:val="nil"/>
              <w:bottom w:val="nil"/>
            </w:tcBorders>
            <w:shd w:val="clear" w:color="auto" w:fill="auto"/>
          </w:tcPr>
          <w:p w14:paraId="56AA402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(九)資訊軟、硬體設備及作業管理有委外管理情形者，是否符合下列事項：</w:t>
            </w:r>
          </w:p>
        </w:tc>
        <w:tc>
          <w:tcPr>
            <w:tcW w:w="2023" w:type="dxa"/>
            <w:vMerge/>
            <w:tcBorders>
              <w:right w:val="single" w:sz="12" w:space="0" w:color="auto"/>
            </w:tcBorders>
            <w:shd w:val="clear" w:color="auto" w:fill="auto"/>
          </w:tcPr>
          <w:p w14:paraId="5C6BEFA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762460" w14:textId="77777777">
        <w:tc>
          <w:tcPr>
            <w:tcW w:w="1384" w:type="dxa"/>
            <w:vMerge/>
            <w:tcBorders>
              <w:left w:val="single" w:sz="12" w:space="0" w:color="auto"/>
            </w:tcBorders>
            <w:shd w:val="clear" w:color="auto" w:fill="auto"/>
          </w:tcPr>
          <w:p w14:paraId="5AAAB021" w14:textId="77777777" w:rsidR="003B3105" w:rsidRDefault="003B3105" w:rsidP="001E533B">
            <w:pPr>
              <w:rPr>
                <w:rFonts w:ascii="新細明體" w:eastAsia="新細明體" w:hAnsi="新細明體"/>
              </w:rPr>
            </w:pPr>
          </w:p>
        </w:tc>
        <w:tc>
          <w:tcPr>
            <w:tcW w:w="1276" w:type="dxa"/>
            <w:vMerge/>
            <w:shd w:val="clear" w:color="auto" w:fill="auto"/>
          </w:tcPr>
          <w:p w14:paraId="6133CBC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B1DCA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1.委外作業是否簽訂契約，且委外作業契約內容是否包含以下內容：合約期限、服務範圍、服務交付日期、服務水準要求、</w:t>
            </w:r>
            <w:r>
              <w:rPr>
                <w:rFonts w:ascii="新細明體" w:eastAsia="新細明體" w:hAnsi="新細明體" w:cs="新細明體" w:hint="eastAsia"/>
              </w:rPr>
              <w:lastRenderedPageBreak/>
              <w:t>服務變更規範、服務驗收之標準、資通安全事件通報及應變處理作業程序、對資訊服務供應商之稽核權條款、合約轉讓或同意分包之規範、保密義務條款、罰則與損害賠償條款、爭議處理程序、違約處理條款、合約終止規範、合約終止後之處理、保固、權利及責任。</w:t>
            </w:r>
          </w:p>
        </w:tc>
        <w:tc>
          <w:tcPr>
            <w:tcW w:w="5387" w:type="dxa"/>
            <w:tcBorders>
              <w:top w:val="nil"/>
              <w:bottom w:val="nil"/>
            </w:tcBorders>
            <w:shd w:val="clear" w:color="auto" w:fill="auto"/>
          </w:tcPr>
          <w:p w14:paraId="60E0A5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1.委外作業是否簽訂契約，且委外作業契約內容是否包含以下內容：合約期限、服務範圍、服務交付日期、服務水準要求、</w:t>
            </w:r>
            <w:r>
              <w:rPr>
                <w:rFonts w:ascii="新細明體" w:eastAsia="新細明體" w:hAnsi="新細明體" w:cs="新細明體" w:hint="eastAsia"/>
              </w:rPr>
              <w:lastRenderedPageBreak/>
              <w:t>服務變更規範、服務驗收之標準、資通安全事件通報及應變處理作業程序、對資訊服務供應商之稽核權條款、合約轉讓或同意分包之規範、保密義務條款、罰則與損害賠償條款、爭議處理程序、違約處理條款、合約終止規範、合約終止後之處理、保固、權利及責任。</w:t>
            </w:r>
          </w:p>
        </w:tc>
        <w:tc>
          <w:tcPr>
            <w:tcW w:w="2023" w:type="dxa"/>
            <w:vMerge/>
            <w:tcBorders>
              <w:right w:val="single" w:sz="12" w:space="0" w:color="auto"/>
            </w:tcBorders>
            <w:shd w:val="clear" w:color="auto" w:fill="auto"/>
          </w:tcPr>
          <w:p w14:paraId="252841E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BE9F2D" w14:textId="77777777">
        <w:tc>
          <w:tcPr>
            <w:tcW w:w="1384" w:type="dxa"/>
            <w:vMerge/>
            <w:tcBorders>
              <w:left w:val="single" w:sz="12" w:space="0" w:color="auto"/>
            </w:tcBorders>
            <w:shd w:val="clear" w:color="auto" w:fill="auto"/>
          </w:tcPr>
          <w:p w14:paraId="135E3358" w14:textId="77777777" w:rsidR="003B3105" w:rsidRDefault="003B3105" w:rsidP="001E533B">
            <w:pPr>
              <w:rPr>
                <w:rFonts w:ascii="新細明體" w:eastAsia="新細明體" w:hAnsi="新細明體"/>
              </w:rPr>
            </w:pPr>
          </w:p>
        </w:tc>
        <w:tc>
          <w:tcPr>
            <w:tcW w:w="1276" w:type="dxa"/>
            <w:vMerge/>
            <w:shd w:val="clear" w:color="auto" w:fill="auto"/>
          </w:tcPr>
          <w:p w14:paraId="1FE480D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C2FE26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2.委外契約是否明確訂定雙方之責任區分及雙方之資訊人員管理規範。</w:t>
            </w:r>
          </w:p>
        </w:tc>
        <w:tc>
          <w:tcPr>
            <w:tcW w:w="5387" w:type="dxa"/>
            <w:tcBorders>
              <w:top w:val="nil"/>
              <w:bottom w:val="nil"/>
            </w:tcBorders>
            <w:shd w:val="clear" w:color="auto" w:fill="auto"/>
          </w:tcPr>
          <w:p w14:paraId="740DF7B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2.委外契約是否明確訂定雙方之責任區分及雙方之資訊人員管理規範。</w:t>
            </w:r>
          </w:p>
        </w:tc>
        <w:tc>
          <w:tcPr>
            <w:tcW w:w="2023" w:type="dxa"/>
            <w:vMerge/>
            <w:tcBorders>
              <w:right w:val="single" w:sz="12" w:space="0" w:color="auto"/>
            </w:tcBorders>
            <w:shd w:val="clear" w:color="auto" w:fill="auto"/>
          </w:tcPr>
          <w:p w14:paraId="56E40C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672ECA" w14:textId="77777777">
        <w:tc>
          <w:tcPr>
            <w:tcW w:w="1384" w:type="dxa"/>
            <w:vMerge/>
            <w:tcBorders>
              <w:left w:val="single" w:sz="12" w:space="0" w:color="auto"/>
            </w:tcBorders>
            <w:shd w:val="clear" w:color="auto" w:fill="auto"/>
          </w:tcPr>
          <w:p w14:paraId="7CED3D70" w14:textId="77777777" w:rsidR="003B3105" w:rsidRDefault="003B3105" w:rsidP="001E533B">
            <w:pPr>
              <w:rPr>
                <w:rFonts w:ascii="新細明體" w:eastAsia="新細明體" w:hAnsi="新細明體"/>
              </w:rPr>
            </w:pPr>
          </w:p>
        </w:tc>
        <w:tc>
          <w:tcPr>
            <w:tcW w:w="1276" w:type="dxa"/>
            <w:vMerge/>
            <w:shd w:val="clear" w:color="auto" w:fill="auto"/>
          </w:tcPr>
          <w:p w14:paraId="345AE57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E215F0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3.公司是否針對資訊委外業務項目之資通安全風險與委外作業可行性，及資訊服務供應商作業能力及集中度，由相關資訊單位共同執行風險評估，評估結果是否提報適當管理層級並取得同意。</w:t>
            </w:r>
          </w:p>
        </w:tc>
        <w:tc>
          <w:tcPr>
            <w:tcW w:w="5387" w:type="dxa"/>
            <w:tcBorders>
              <w:top w:val="nil"/>
              <w:bottom w:val="nil"/>
            </w:tcBorders>
            <w:shd w:val="clear" w:color="auto" w:fill="auto"/>
          </w:tcPr>
          <w:p w14:paraId="014802E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3.公司是否針對資訊委外業務項目之資通安全風險與委外作業可行性，及資訊服務供應商作業能力及集中度，由相關資訊單位共同執行風險評估，評估結果是否提報適當管理層級並取得同意。</w:t>
            </w:r>
          </w:p>
        </w:tc>
        <w:tc>
          <w:tcPr>
            <w:tcW w:w="2023" w:type="dxa"/>
            <w:vMerge/>
            <w:tcBorders>
              <w:right w:val="single" w:sz="12" w:space="0" w:color="auto"/>
            </w:tcBorders>
            <w:shd w:val="clear" w:color="auto" w:fill="auto"/>
          </w:tcPr>
          <w:p w14:paraId="42A47D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EEFD0D" w14:textId="77777777">
        <w:tc>
          <w:tcPr>
            <w:tcW w:w="1384" w:type="dxa"/>
            <w:vMerge/>
            <w:tcBorders>
              <w:left w:val="single" w:sz="12" w:space="0" w:color="auto"/>
            </w:tcBorders>
            <w:shd w:val="clear" w:color="auto" w:fill="auto"/>
          </w:tcPr>
          <w:p w14:paraId="007AD573" w14:textId="77777777" w:rsidR="003B3105" w:rsidRDefault="003B3105" w:rsidP="001E533B">
            <w:pPr>
              <w:rPr>
                <w:rFonts w:ascii="新細明體" w:eastAsia="新細明體" w:hAnsi="新細明體"/>
              </w:rPr>
            </w:pPr>
          </w:p>
        </w:tc>
        <w:tc>
          <w:tcPr>
            <w:tcW w:w="1276" w:type="dxa"/>
            <w:vMerge/>
            <w:shd w:val="clear" w:color="auto" w:fill="auto"/>
          </w:tcPr>
          <w:p w14:paraId="035B5CF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30B494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4.資訊服務供應商是否提供安全性檢測證明 (如行動應用程 式資安檢測、源碼</w:t>
            </w:r>
            <w:r>
              <w:rPr>
                <w:rFonts w:ascii="新細明體" w:eastAsia="新細明體" w:hAnsi="新細明體" w:cs="新細明體" w:hint="eastAsia"/>
                <w:b/>
                <w:color w:val="FF0000"/>
                <w:u w:val="single"/>
              </w:rPr>
              <w:t>掃描</w:t>
            </w:r>
            <w:r>
              <w:rPr>
                <w:rFonts w:ascii="新細明體" w:eastAsia="新細明體" w:hAnsi="新細明體" w:cs="新細明體" w:hint="eastAsia"/>
              </w:rPr>
              <w:t>、弱點掃描等)，並確保交付之系統或程式無惡意程式及後門程式，其放置於網際網路之程式是否通過源碼掃描或黑箱測試。</w:t>
            </w:r>
          </w:p>
        </w:tc>
        <w:tc>
          <w:tcPr>
            <w:tcW w:w="5387" w:type="dxa"/>
            <w:tcBorders>
              <w:top w:val="nil"/>
              <w:bottom w:val="nil"/>
            </w:tcBorders>
            <w:shd w:val="clear" w:color="auto" w:fill="auto"/>
          </w:tcPr>
          <w:p w14:paraId="4307E9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4.資訊服務供應商是否提供安全性檢測證明 (如行動應用程 式資安檢測、源碼</w:t>
            </w:r>
            <w:r>
              <w:rPr>
                <w:rFonts w:ascii="新細明體" w:eastAsia="新細明體" w:hAnsi="新細明體" w:cs="新細明體" w:hint="eastAsia"/>
                <w:b/>
                <w:color w:val="FF0000"/>
              </w:rPr>
              <w:t>檢測</w:t>
            </w:r>
            <w:r>
              <w:rPr>
                <w:rFonts w:ascii="新細明體" w:eastAsia="新細明體" w:hAnsi="新細明體" w:cs="新細明體" w:hint="eastAsia"/>
              </w:rPr>
              <w:t>、弱點掃描等)，並確保交付之系統或程式無惡意程式及後門程式，其放置於網際網路之程式是否通過源碼掃描或黑箱測試。</w:t>
            </w:r>
          </w:p>
        </w:tc>
        <w:tc>
          <w:tcPr>
            <w:tcW w:w="2023" w:type="dxa"/>
            <w:vMerge/>
            <w:tcBorders>
              <w:right w:val="single" w:sz="12" w:space="0" w:color="auto"/>
            </w:tcBorders>
            <w:shd w:val="clear" w:color="auto" w:fill="auto"/>
          </w:tcPr>
          <w:p w14:paraId="21A1E5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98E530" w14:textId="77777777">
        <w:tc>
          <w:tcPr>
            <w:tcW w:w="1384" w:type="dxa"/>
            <w:vMerge/>
            <w:tcBorders>
              <w:left w:val="single" w:sz="12" w:space="0" w:color="auto"/>
            </w:tcBorders>
            <w:shd w:val="clear" w:color="auto" w:fill="auto"/>
          </w:tcPr>
          <w:p w14:paraId="1D6EBE7B" w14:textId="77777777" w:rsidR="003B3105" w:rsidRDefault="003B3105" w:rsidP="001E533B">
            <w:pPr>
              <w:rPr>
                <w:rFonts w:ascii="新細明體" w:eastAsia="新細明體" w:hAnsi="新細明體"/>
              </w:rPr>
            </w:pPr>
          </w:p>
        </w:tc>
        <w:tc>
          <w:tcPr>
            <w:tcW w:w="1276" w:type="dxa"/>
            <w:vMerge/>
            <w:shd w:val="clear" w:color="auto" w:fill="auto"/>
          </w:tcPr>
          <w:p w14:paraId="3C8E379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6F7A3E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5.公司應訂定相關規範管控，與資訊服務供應商資訊委外關係於終止、解除或結束後之相關作業。</w:t>
            </w:r>
          </w:p>
        </w:tc>
        <w:tc>
          <w:tcPr>
            <w:tcW w:w="5387" w:type="dxa"/>
            <w:tcBorders>
              <w:top w:val="nil"/>
              <w:bottom w:val="nil"/>
            </w:tcBorders>
            <w:shd w:val="clear" w:color="auto" w:fill="auto"/>
          </w:tcPr>
          <w:p w14:paraId="55588F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5.公司應訂定相關規範管控，與資訊服務供應商資訊委外關係於終止、解除或結束後之相關作業。</w:t>
            </w:r>
          </w:p>
        </w:tc>
        <w:tc>
          <w:tcPr>
            <w:tcW w:w="2023" w:type="dxa"/>
            <w:vMerge/>
            <w:tcBorders>
              <w:right w:val="single" w:sz="12" w:space="0" w:color="auto"/>
            </w:tcBorders>
            <w:shd w:val="clear" w:color="auto" w:fill="auto"/>
          </w:tcPr>
          <w:p w14:paraId="418796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BA4DEB" w14:textId="77777777">
        <w:tc>
          <w:tcPr>
            <w:tcW w:w="1384" w:type="dxa"/>
            <w:vMerge/>
            <w:tcBorders>
              <w:left w:val="single" w:sz="12" w:space="0" w:color="auto"/>
            </w:tcBorders>
            <w:shd w:val="clear" w:color="auto" w:fill="auto"/>
          </w:tcPr>
          <w:p w14:paraId="499D15B0" w14:textId="77777777" w:rsidR="003B3105" w:rsidRDefault="003B3105" w:rsidP="001E533B">
            <w:pPr>
              <w:rPr>
                <w:rFonts w:ascii="新細明體" w:eastAsia="新細明體" w:hAnsi="新細明體"/>
              </w:rPr>
            </w:pPr>
          </w:p>
        </w:tc>
        <w:tc>
          <w:tcPr>
            <w:tcW w:w="1276" w:type="dxa"/>
            <w:vMerge/>
            <w:shd w:val="clear" w:color="auto" w:fill="auto"/>
          </w:tcPr>
          <w:p w14:paraId="2A55E41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C1B45E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6.委外資訊服務供應商是否揭露第三方程式元件之來源與授權證明</w:t>
            </w:r>
          </w:p>
        </w:tc>
        <w:tc>
          <w:tcPr>
            <w:tcW w:w="5387" w:type="dxa"/>
            <w:tcBorders>
              <w:top w:val="nil"/>
              <w:bottom w:val="nil"/>
            </w:tcBorders>
            <w:shd w:val="clear" w:color="auto" w:fill="auto"/>
          </w:tcPr>
          <w:p w14:paraId="7D5688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6.委外資訊服務供應商是否揭露第三方程式元件之來源與授權證明</w:t>
            </w:r>
          </w:p>
        </w:tc>
        <w:tc>
          <w:tcPr>
            <w:tcW w:w="2023" w:type="dxa"/>
            <w:vMerge/>
            <w:tcBorders>
              <w:right w:val="single" w:sz="12" w:space="0" w:color="auto"/>
            </w:tcBorders>
            <w:shd w:val="clear" w:color="auto" w:fill="auto"/>
          </w:tcPr>
          <w:p w14:paraId="7BC1D2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38B505" w14:textId="77777777">
        <w:tc>
          <w:tcPr>
            <w:tcW w:w="1384" w:type="dxa"/>
            <w:vMerge/>
            <w:tcBorders>
              <w:left w:val="single" w:sz="12" w:space="0" w:color="auto"/>
            </w:tcBorders>
            <w:shd w:val="clear" w:color="auto" w:fill="auto"/>
          </w:tcPr>
          <w:p w14:paraId="674C0BB5" w14:textId="77777777" w:rsidR="003B3105" w:rsidRDefault="003B3105" w:rsidP="001E533B">
            <w:pPr>
              <w:rPr>
                <w:rFonts w:ascii="新細明體" w:eastAsia="新細明體" w:hAnsi="新細明體"/>
              </w:rPr>
            </w:pPr>
          </w:p>
        </w:tc>
        <w:tc>
          <w:tcPr>
            <w:tcW w:w="1276" w:type="dxa"/>
            <w:vMerge/>
            <w:shd w:val="clear" w:color="auto" w:fill="auto"/>
          </w:tcPr>
          <w:p w14:paraId="6B6A08B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DDCB51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7.公司是否管控資訊服務供應商存取權限，對於電腦通行使用權利進行適當控</w:t>
            </w:r>
            <w:r>
              <w:rPr>
                <w:rFonts w:ascii="新細明體" w:eastAsia="新細明體" w:hAnsi="新細明體" w:cs="新細明體" w:hint="eastAsia"/>
              </w:rPr>
              <w:lastRenderedPageBreak/>
              <w:t>管。</w:t>
            </w:r>
          </w:p>
        </w:tc>
        <w:tc>
          <w:tcPr>
            <w:tcW w:w="5387" w:type="dxa"/>
            <w:tcBorders>
              <w:top w:val="nil"/>
              <w:bottom w:val="nil"/>
            </w:tcBorders>
            <w:shd w:val="clear" w:color="auto" w:fill="auto"/>
          </w:tcPr>
          <w:p w14:paraId="771BE2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7.公司是否管控資訊服務供應商存取權限，對於電腦通行使用權利進行適當控</w:t>
            </w:r>
            <w:r>
              <w:rPr>
                <w:rFonts w:ascii="新細明體" w:eastAsia="新細明體" w:hAnsi="新細明體" w:cs="新細明體" w:hint="eastAsia"/>
              </w:rPr>
              <w:lastRenderedPageBreak/>
              <w:t>管。</w:t>
            </w:r>
          </w:p>
        </w:tc>
        <w:tc>
          <w:tcPr>
            <w:tcW w:w="2023" w:type="dxa"/>
            <w:vMerge/>
            <w:tcBorders>
              <w:right w:val="single" w:sz="12" w:space="0" w:color="auto"/>
            </w:tcBorders>
            <w:shd w:val="clear" w:color="auto" w:fill="auto"/>
          </w:tcPr>
          <w:p w14:paraId="03D812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2AE277" w14:textId="77777777">
        <w:tc>
          <w:tcPr>
            <w:tcW w:w="1384" w:type="dxa"/>
            <w:vMerge/>
            <w:tcBorders>
              <w:left w:val="single" w:sz="12" w:space="0" w:color="auto"/>
            </w:tcBorders>
            <w:shd w:val="clear" w:color="auto" w:fill="auto"/>
          </w:tcPr>
          <w:p w14:paraId="01853AD1" w14:textId="77777777" w:rsidR="003B3105" w:rsidRDefault="003B3105" w:rsidP="001E533B">
            <w:pPr>
              <w:rPr>
                <w:rFonts w:ascii="新細明體" w:eastAsia="新細明體" w:hAnsi="新細明體"/>
              </w:rPr>
            </w:pPr>
          </w:p>
        </w:tc>
        <w:tc>
          <w:tcPr>
            <w:tcW w:w="1276" w:type="dxa"/>
            <w:vMerge/>
            <w:shd w:val="clear" w:color="auto" w:fill="auto"/>
          </w:tcPr>
          <w:p w14:paraId="6F2E07A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3E8F74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8.公司是否對資訊服務供應商服務內容變更進行風險評估。</w:t>
            </w:r>
          </w:p>
        </w:tc>
        <w:tc>
          <w:tcPr>
            <w:tcW w:w="5387" w:type="dxa"/>
            <w:tcBorders>
              <w:top w:val="nil"/>
              <w:bottom w:val="nil"/>
            </w:tcBorders>
            <w:shd w:val="clear" w:color="auto" w:fill="auto"/>
          </w:tcPr>
          <w:p w14:paraId="2B62263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8.公司是否對資訊服務供應商服務內容變更進行風險評估。</w:t>
            </w:r>
          </w:p>
        </w:tc>
        <w:tc>
          <w:tcPr>
            <w:tcW w:w="2023" w:type="dxa"/>
            <w:vMerge/>
            <w:tcBorders>
              <w:right w:val="single" w:sz="12" w:space="0" w:color="auto"/>
            </w:tcBorders>
            <w:shd w:val="clear" w:color="auto" w:fill="auto"/>
          </w:tcPr>
          <w:p w14:paraId="6F620A1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1325A5" w14:textId="77777777">
        <w:tc>
          <w:tcPr>
            <w:tcW w:w="1384" w:type="dxa"/>
            <w:vMerge/>
            <w:tcBorders>
              <w:left w:val="single" w:sz="12" w:space="0" w:color="auto"/>
            </w:tcBorders>
            <w:shd w:val="clear" w:color="auto" w:fill="auto"/>
          </w:tcPr>
          <w:p w14:paraId="4B3EA04F" w14:textId="77777777" w:rsidR="003B3105" w:rsidRDefault="003B3105" w:rsidP="001E533B">
            <w:pPr>
              <w:rPr>
                <w:rFonts w:ascii="新細明體" w:eastAsia="新細明體" w:hAnsi="新細明體"/>
              </w:rPr>
            </w:pPr>
          </w:p>
        </w:tc>
        <w:tc>
          <w:tcPr>
            <w:tcW w:w="1276" w:type="dxa"/>
            <w:vMerge/>
            <w:shd w:val="clear" w:color="auto" w:fill="auto"/>
          </w:tcPr>
          <w:p w14:paraId="3C98CF9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D5FB17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9.公司對於委外資訊服務供應商於委外關係所涉及公司資訊資產，是否於委外關係終止、解除或結束時完整歸還、確保銷毀或轉交予其他資訊服務供應商，並要求資訊服務供應商持續遵守保密承諾。</w:t>
            </w:r>
          </w:p>
        </w:tc>
        <w:tc>
          <w:tcPr>
            <w:tcW w:w="5387" w:type="dxa"/>
            <w:tcBorders>
              <w:top w:val="nil"/>
              <w:bottom w:val="nil"/>
            </w:tcBorders>
            <w:shd w:val="clear" w:color="auto" w:fill="auto"/>
          </w:tcPr>
          <w:p w14:paraId="6B28CAA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9.公司對於委外資訊服務供應商於委外關係所涉及公司資訊資產，是否於委外關係終止、解除或結束時完整歸還、確保銷毀或轉交予其他資訊服務供應商，並要求資訊服務供應商持續遵守保密承諾。</w:t>
            </w:r>
          </w:p>
        </w:tc>
        <w:tc>
          <w:tcPr>
            <w:tcW w:w="2023" w:type="dxa"/>
            <w:vMerge/>
            <w:tcBorders>
              <w:right w:val="single" w:sz="12" w:space="0" w:color="auto"/>
            </w:tcBorders>
            <w:shd w:val="clear" w:color="auto" w:fill="auto"/>
          </w:tcPr>
          <w:p w14:paraId="16F30B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AD0CAA" w14:textId="77777777">
        <w:tc>
          <w:tcPr>
            <w:tcW w:w="1384" w:type="dxa"/>
            <w:vMerge/>
            <w:tcBorders>
              <w:left w:val="single" w:sz="12" w:space="0" w:color="auto"/>
            </w:tcBorders>
            <w:shd w:val="clear" w:color="auto" w:fill="auto"/>
          </w:tcPr>
          <w:p w14:paraId="4A97D6D9" w14:textId="77777777" w:rsidR="003B3105" w:rsidRDefault="003B3105" w:rsidP="001E533B">
            <w:pPr>
              <w:rPr>
                <w:rFonts w:ascii="新細明體" w:eastAsia="新細明體" w:hAnsi="新細明體"/>
              </w:rPr>
            </w:pPr>
          </w:p>
        </w:tc>
        <w:tc>
          <w:tcPr>
            <w:tcW w:w="1276" w:type="dxa"/>
            <w:vMerge/>
            <w:shd w:val="clear" w:color="auto" w:fill="auto"/>
          </w:tcPr>
          <w:p w14:paraId="3E1A2D9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D5466E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10.公司是否載明資訊服務供應商配合進行壓力測試及調整服務負載量之義務，並是否於市場交易量、業務變化及客戶屬性等發生顯著異動時發動辦理。</w:t>
            </w:r>
          </w:p>
        </w:tc>
        <w:tc>
          <w:tcPr>
            <w:tcW w:w="5387" w:type="dxa"/>
            <w:tcBorders>
              <w:top w:val="nil"/>
              <w:bottom w:val="nil"/>
            </w:tcBorders>
            <w:shd w:val="clear" w:color="auto" w:fill="auto"/>
          </w:tcPr>
          <w:p w14:paraId="79FD87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10.公司是否載明資訊服務供應商配合進行壓力測試及調整服務負載量之義務，並是否於市場交易量、業務變化及客戶屬性等發生顯著異動時發動辦理。</w:t>
            </w:r>
          </w:p>
        </w:tc>
        <w:tc>
          <w:tcPr>
            <w:tcW w:w="2023" w:type="dxa"/>
            <w:vMerge/>
            <w:tcBorders>
              <w:right w:val="single" w:sz="12" w:space="0" w:color="auto"/>
            </w:tcBorders>
            <w:shd w:val="clear" w:color="auto" w:fill="auto"/>
          </w:tcPr>
          <w:p w14:paraId="0E38F8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2E6515" w14:textId="77777777">
        <w:tc>
          <w:tcPr>
            <w:tcW w:w="1384" w:type="dxa"/>
            <w:vMerge/>
            <w:tcBorders>
              <w:left w:val="single" w:sz="12" w:space="0" w:color="auto"/>
            </w:tcBorders>
            <w:shd w:val="clear" w:color="auto" w:fill="auto"/>
          </w:tcPr>
          <w:p w14:paraId="1BCBA0D7" w14:textId="77777777" w:rsidR="003B3105" w:rsidRDefault="003B3105" w:rsidP="001E533B">
            <w:pPr>
              <w:rPr>
                <w:rFonts w:ascii="新細明體" w:eastAsia="新細明體" w:hAnsi="新細明體"/>
              </w:rPr>
            </w:pPr>
          </w:p>
        </w:tc>
        <w:tc>
          <w:tcPr>
            <w:tcW w:w="1276" w:type="dxa"/>
            <w:vMerge/>
            <w:shd w:val="clear" w:color="auto" w:fill="auto"/>
          </w:tcPr>
          <w:p w14:paraId="6DE60BB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D5CE48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11.於資訊服務委外期間是否定期對資訊服務供應商進行稽核，並是否要求資訊服務供應商定期提交服務水準報告，相關結果是否提報適當管理層級審查。</w:t>
            </w:r>
          </w:p>
        </w:tc>
        <w:tc>
          <w:tcPr>
            <w:tcW w:w="5387" w:type="dxa"/>
            <w:tcBorders>
              <w:top w:val="nil"/>
              <w:bottom w:val="nil"/>
            </w:tcBorders>
            <w:shd w:val="clear" w:color="auto" w:fill="auto"/>
          </w:tcPr>
          <w:p w14:paraId="5FB879A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11.於資訊服務委外期間是否定期對資訊服務供應商進行稽核，並是否要求資訊服務供應商定期提交服務水準報告，相關結果是否提報適當管理層級審查。</w:t>
            </w:r>
          </w:p>
        </w:tc>
        <w:tc>
          <w:tcPr>
            <w:tcW w:w="2023" w:type="dxa"/>
            <w:vMerge/>
            <w:tcBorders>
              <w:right w:val="single" w:sz="12" w:space="0" w:color="auto"/>
            </w:tcBorders>
            <w:shd w:val="clear" w:color="auto" w:fill="auto"/>
          </w:tcPr>
          <w:p w14:paraId="431F7DE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DB2BF5" w14:textId="77777777">
        <w:tc>
          <w:tcPr>
            <w:tcW w:w="1384" w:type="dxa"/>
            <w:vMerge/>
            <w:tcBorders>
              <w:left w:val="single" w:sz="12" w:space="0" w:color="auto"/>
            </w:tcBorders>
            <w:shd w:val="clear" w:color="auto" w:fill="auto"/>
          </w:tcPr>
          <w:p w14:paraId="50E89FC2" w14:textId="77777777" w:rsidR="003B3105" w:rsidRDefault="003B3105" w:rsidP="001E533B">
            <w:pPr>
              <w:rPr>
                <w:rFonts w:ascii="新細明體" w:eastAsia="新細明體" w:hAnsi="新細明體"/>
              </w:rPr>
            </w:pPr>
          </w:p>
        </w:tc>
        <w:tc>
          <w:tcPr>
            <w:tcW w:w="1276" w:type="dxa"/>
            <w:vMerge/>
            <w:shd w:val="clear" w:color="auto" w:fill="auto"/>
          </w:tcPr>
          <w:p w14:paraId="0745BA1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901757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(十)資料庫設計之欄位是否滿足業務需求。</w:t>
            </w:r>
          </w:p>
        </w:tc>
        <w:tc>
          <w:tcPr>
            <w:tcW w:w="5387" w:type="dxa"/>
            <w:tcBorders>
              <w:top w:val="nil"/>
              <w:bottom w:val="nil"/>
            </w:tcBorders>
            <w:shd w:val="clear" w:color="auto" w:fill="auto"/>
          </w:tcPr>
          <w:p w14:paraId="680490B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(十)資料庫設計之欄位是否滿足業務需求。</w:t>
            </w:r>
          </w:p>
        </w:tc>
        <w:tc>
          <w:tcPr>
            <w:tcW w:w="2023" w:type="dxa"/>
            <w:vMerge/>
            <w:tcBorders>
              <w:right w:val="single" w:sz="12" w:space="0" w:color="auto"/>
            </w:tcBorders>
            <w:shd w:val="clear" w:color="auto" w:fill="auto"/>
          </w:tcPr>
          <w:p w14:paraId="12310D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DDD5AF" w14:textId="77777777">
        <w:tc>
          <w:tcPr>
            <w:tcW w:w="1384" w:type="dxa"/>
            <w:vMerge/>
            <w:tcBorders>
              <w:left w:val="single" w:sz="12" w:space="0" w:color="auto"/>
            </w:tcBorders>
            <w:shd w:val="clear" w:color="auto" w:fill="auto"/>
          </w:tcPr>
          <w:p w14:paraId="39326185" w14:textId="77777777" w:rsidR="003B3105" w:rsidRDefault="003B3105" w:rsidP="001E533B">
            <w:pPr>
              <w:rPr>
                <w:rFonts w:ascii="新細明體" w:eastAsia="新細明體" w:hAnsi="新細明體"/>
              </w:rPr>
            </w:pPr>
          </w:p>
        </w:tc>
        <w:tc>
          <w:tcPr>
            <w:tcW w:w="1276" w:type="dxa"/>
            <w:vMerge/>
            <w:shd w:val="clear" w:color="auto" w:fill="auto"/>
          </w:tcPr>
          <w:p w14:paraId="5CD40D8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E1892B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(十一)資料庫設計是否預留擴充彈性。</w:t>
            </w:r>
          </w:p>
        </w:tc>
        <w:tc>
          <w:tcPr>
            <w:tcW w:w="5387" w:type="dxa"/>
            <w:tcBorders>
              <w:top w:val="nil"/>
              <w:bottom w:val="nil"/>
            </w:tcBorders>
            <w:shd w:val="clear" w:color="auto" w:fill="auto"/>
          </w:tcPr>
          <w:p w14:paraId="1FC1750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(十一)資料庫設計是否預留擴充彈性。</w:t>
            </w:r>
          </w:p>
        </w:tc>
        <w:tc>
          <w:tcPr>
            <w:tcW w:w="2023" w:type="dxa"/>
            <w:vMerge/>
            <w:tcBorders>
              <w:right w:val="single" w:sz="12" w:space="0" w:color="auto"/>
            </w:tcBorders>
            <w:shd w:val="clear" w:color="auto" w:fill="auto"/>
          </w:tcPr>
          <w:p w14:paraId="5BB3AC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B55114" w14:textId="77777777">
        <w:tc>
          <w:tcPr>
            <w:tcW w:w="1384" w:type="dxa"/>
            <w:vMerge/>
            <w:tcBorders>
              <w:left w:val="single" w:sz="12" w:space="0" w:color="auto"/>
            </w:tcBorders>
            <w:shd w:val="clear" w:color="auto" w:fill="auto"/>
          </w:tcPr>
          <w:p w14:paraId="575B608E" w14:textId="77777777" w:rsidR="003B3105" w:rsidRDefault="003B3105" w:rsidP="001E533B">
            <w:pPr>
              <w:rPr>
                <w:rFonts w:ascii="新細明體" w:eastAsia="新細明體" w:hAnsi="新細明體"/>
              </w:rPr>
            </w:pPr>
          </w:p>
        </w:tc>
        <w:tc>
          <w:tcPr>
            <w:tcW w:w="1276" w:type="dxa"/>
            <w:vMerge/>
            <w:shd w:val="clear" w:color="auto" w:fill="auto"/>
          </w:tcPr>
          <w:p w14:paraId="67941A7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7C7991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(十二)系統作業流程設計是否考慮錯誤處理程序。</w:t>
            </w:r>
          </w:p>
        </w:tc>
        <w:tc>
          <w:tcPr>
            <w:tcW w:w="5387" w:type="dxa"/>
            <w:tcBorders>
              <w:top w:val="nil"/>
              <w:bottom w:val="nil"/>
            </w:tcBorders>
            <w:shd w:val="clear" w:color="auto" w:fill="auto"/>
          </w:tcPr>
          <w:p w14:paraId="7F484BE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(十二)系統作業流程設計是否考慮錯誤處理程序。</w:t>
            </w:r>
          </w:p>
        </w:tc>
        <w:tc>
          <w:tcPr>
            <w:tcW w:w="2023" w:type="dxa"/>
            <w:vMerge/>
            <w:tcBorders>
              <w:right w:val="single" w:sz="12" w:space="0" w:color="auto"/>
            </w:tcBorders>
            <w:shd w:val="clear" w:color="auto" w:fill="auto"/>
          </w:tcPr>
          <w:p w14:paraId="13960E7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D3A6A4" w14:textId="77777777">
        <w:tc>
          <w:tcPr>
            <w:tcW w:w="1384" w:type="dxa"/>
            <w:vMerge/>
            <w:tcBorders>
              <w:left w:val="single" w:sz="12" w:space="0" w:color="auto"/>
            </w:tcBorders>
            <w:shd w:val="clear" w:color="auto" w:fill="auto"/>
          </w:tcPr>
          <w:p w14:paraId="0CF45D69" w14:textId="77777777" w:rsidR="003B3105" w:rsidRDefault="003B3105" w:rsidP="001E533B">
            <w:pPr>
              <w:rPr>
                <w:rFonts w:ascii="新細明體" w:eastAsia="新細明體" w:hAnsi="新細明體"/>
              </w:rPr>
            </w:pPr>
          </w:p>
        </w:tc>
        <w:tc>
          <w:tcPr>
            <w:tcW w:w="1276" w:type="dxa"/>
            <w:vMerge/>
            <w:shd w:val="clear" w:color="auto" w:fill="auto"/>
          </w:tcPr>
          <w:p w14:paraId="15B0436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616EAD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(十三)處理過程之控制設計是否適切</w:t>
            </w:r>
          </w:p>
        </w:tc>
        <w:tc>
          <w:tcPr>
            <w:tcW w:w="5387" w:type="dxa"/>
            <w:tcBorders>
              <w:top w:val="nil"/>
              <w:bottom w:val="nil"/>
            </w:tcBorders>
            <w:shd w:val="clear" w:color="auto" w:fill="auto"/>
          </w:tcPr>
          <w:p w14:paraId="583AF4F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(十三)處理過程之控制設計是否適切</w:t>
            </w:r>
          </w:p>
        </w:tc>
        <w:tc>
          <w:tcPr>
            <w:tcW w:w="2023" w:type="dxa"/>
            <w:vMerge/>
            <w:tcBorders>
              <w:right w:val="single" w:sz="12" w:space="0" w:color="auto"/>
            </w:tcBorders>
            <w:shd w:val="clear" w:color="auto" w:fill="auto"/>
          </w:tcPr>
          <w:p w14:paraId="68D4ABE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3FE924" w14:textId="77777777">
        <w:tc>
          <w:tcPr>
            <w:tcW w:w="1384" w:type="dxa"/>
            <w:vMerge/>
            <w:tcBorders>
              <w:left w:val="single" w:sz="12" w:space="0" w:color="auto"/>
            </w:tcBorders>
            <w:shd w:val="clear" w:color="auto" w:fill="auto"/>
          </w:tcPr>
          <w:p w14:paraId="6FACC6BB" w14:textId="77777777" w:rsidR="003B3105" w:rsidRDefault="003B3105" w:rsidP="001E533B">
            <w:pPr>
              <w:rPr>
                <w:rFonts w:ascii="新細明體" w:eastAsia="新細明體" w:hAnsi="新細明體"/>
              </w:rPr>
            </w:pPr>
          </w:p>
        </w:tc>
        <w:tc>
          <w:tcPr>
            <w:tcW w:w="1276" w:type="dxa"/>
            <w:vMerge/>
            <w:shd w:val="clear" w:color="auto" w:fill="auto"/>
          </w:tcPr>
          <w:p w14:paraId="5250D60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22F287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(十四)對於交易時間、地點、作業人員及作業內容等事項是否記錄足夠供查詢之資訊</w:t>
            </w:r>
          </w:p>
        </w:tc>
        <w:tc>
          <w:tcPr>
            <w:tcW w:w="5387" w:type="dxa"/>
            <w:tcBorders>
              <w:top w:val="nil"/>
              <w:bottom w:val="nil"/>
            </w:tcBorders>
            <w:shd w:val="clear" w:color="auto" w:fill="auto"/>
          </w:tcPr>
          <w:p w14:paraId="662FAB2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(十四)對於交易時間、地點、作業人員及作業內容等事項是否記錄足夠供查詢之資訊</w:t>
            </w:r>
          </w:p>
        </w:tc>
        <w:tc>
          <w:tcPr>
            <w:tcW w:w="2023" w:type="dxa"/>
            <w:vMerge/>
            <w:tcBorders>
              <w:right w:val="single" w:sz="12" w:space="0" w:color="auto"/>
            </w:tcBorders>
            <w:shd w:val="clear" w:color="auto" w:fill="auto"/>
          </w:tcPr>
          <w:p w14:paraId="4DC6D0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05F165" w14:textId="77777777">
        <w:tc>
          <w:tcPr>
            <w:tcW w:w="1384" w:type="dxa"/>
            <w:vMerge/>
            <w:tcBorders>
              <w:left w:val="single" w:sz="12" w:space="0" w:color="auto"/>
            </w:tcBorders>
            <w:shd w:val="clear" w:color="auto" w:fill="auto"/>
          </w:tcPr>
          <w:p w14:paraId="31DFECAF" w14:textId="77777777" w:rsidR="003B3105" w:rsidRDefault="003B3105" w:rsidP="001E533B">
            <w:pPr>
              <w:rPr>
                <w:rFonts w:ascii="新細明體" w:eastAsia="新細明體" w:hAnsi="新細明體"/>
              </w:rPr>
            </w:pPr>
          </w:p>
        </w:tc>
        <w:tc>
          <w:tcPr>
            <w:tcW w:w="1276" w:type="dxa"/>
            <w:vMerge/>
            <w:shd w:val="clear" w:color="auto" w:fill="auto"/>
          </w:tcPr>
          <w:p w14:paraId="7687D0E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366649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(十五)系統規格是否與有關單位充分討論</w:t>
            </w:r>
          </w:p>
        </w:tc>
        <w:tc>
          <w:tcPr>
            <w:tcW w:w="5387" w:type="dxa"/>
            <w:tcBorders>
              <w:top w:val="nil"/>
              <w:bottom w:val="nil"/>
            </w:tcBorders>
            <w:shd w:val="clear" w:color="auto" w:fill="auto"/>
          </w:tcPr>
          <w:p w14:paraId="1A2DEF1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(十五)系統規格是否與有關單位充分討論</w:t>
            </w:r>
          </w:p>
        </w:tc>
        <w:tc>
          <w:tcPr>
            <w:tcW w:w="2023" w:type="dxa"/>
            <w:vMerge/>
            <w:tcBorders>
              <w:right w:val="single" w:sz="12" w:space="0" w:color="auto"/>
            </w:tcBorders>
            <w:shd w:val="clear" w:color="auto" w:fill="auto"/>
          </w:tcPr>
          <w:p w14:paraId="6F391C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ECD54E" w14:textId="77777777">
        <w:tc>
          <w:tcPr>
            <w:tcW w:w="1384" w:type="dxa"/>
            <w:vMerge/>
            <w:tcBorders>
              <w:left w:val="single" w:sz="12" w:space="0" w:color="auto"/>
            </w:tcBorders>
            <w:shd w:val="clear" w:color="auto" w:fill="auto"/>
          </w:tcPr>
          <w:p w14:paraId="680AACBF" w14:textId="77777777" w:rsidR="003B3105" w:rsidRDefault="003B3105" w:rsidP="001E533B">
            <w:pPr>
              <w:rPr>
                <w:rFonts w:ascii="新細明體" w:eastAsia="新細明體" w:hAnsi="新細明體"/>
              </w:rPr>
            </w:pPr>
          </w:p>
        </w:tc>
        <w:tc>
          <w:tcPr>
            <w:tcW w:w="1276" w:type="dxa"/>
            <w:vMerge/>
            <w:shd w:val="clear" w:color="auto" w:fill="auto"/>
          </w:tcPr>
          <w:p w14:paraId="7C91FB5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765392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(十六)系統規格應經相關權責主管核示。</w:t>
            </w:r>
          </w:p>
        </w:tc>
        <w:tc>
          <w:tcPr>
            <w:tcW w:w="5387" w:type="dxa"/>
            <w:tcBorders>
              <w:top w:val="nil"/>
              <w:bottom w:val="nil"/>
            </w:tcBorders>
            <w:shd w:val="clear" w:color="auto" w:fill="auto"/>
          </w:tcPr>
          <w:p w14:paraId="514DD47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(十六)系統規格應經相關權責主管核示。</w:t>
            </w:r>
          </w:p>
        </w:tc>
        <w:tc>
          <w:tcPr>
            <w:tcW w:w="2023" w:type="dxa"/>
            <w:vMerge/>
            <w:tcBorders>
              <w:right w:val="single" w:sz="12" w:space="0" w:color="auto"/>
            </w:tcBorders>
            <w:shd w:val="clear" w:color="auto" w:fill="auto"/>
          </w:tcPr>
          <w:p w14:paraId="31DC065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BC2A3A" w14:textId="77777777">
        <w:tc>
          <w:tcPr>
            <w:tcW w:w="1384" w:type="dxa"/>
            <w:vMerge/>
            <w:tcBorders>
              <w:left w:val="single" w:sz="12" w:space="0" w:color="auto"/>
            </w:tcBorders>
            <w:shd w:val="clear" w:color="auto" w:fill="auto"/>
          </w:tcPr>
          <w:p w14:paraId="78C00206" w14:textId="77777777" w:rsidR="003B3105" w:rsidRDefault="003B3105" w:rsidP="001E533B">
            <w:pPr>
              <w:rPr>
                <w:rFonts w:ascii="新細明體" w:eastAsia="新細明體" w:hAnsi="新細明體"/>
              </w:rPr>
            </w:pPr>
          </w:p>
        </w:tc>
        <w:tc>
          <w:tcPr>
            <w:tcW w:w="1276" w:type="dxa"/>
            <w:vMerge/>
            <w:shd w:val="clear" w:color="auto" w:fill="auto"/>
          </w:tcPr>
          <w:p w14:paraId="791AA79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E9B94F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(十七)是否依規定編定程式代號。</w:t>
            </w:r>
          </w:p>
        </w:tc>
        <w:tc>
          <w:tcPr>
            <w:tcW w:w="5387" w:type="dxa"/>
            <w:tcBorders>
              <w:top w:val="nil"/>
              <w:bottom w:val="nil"/>
            </w:tcBorders>
            <w:shd w:val="clear" w:color="auto" w:fill="auto"/>
          </w:tcPr>
          <w:p w14:paraId="01AD694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(十七)是否依規定編定程式代號。</w:t>
            </w:r>
          </w:p>
        </w:tc>
        <w:tc>
          <w:tcPr>
            <w:tcW w:w="2023" w:type="dxa"/>
            <w:vMerge/>
            <w:tcBorders>
              <w:right w:val="single" w:sz="12" w:space="0" w:color="auto"/>
            </w:tcBorders>
            <w:shd w:val="clear" w:color="auto" w:fill="auto"/>
          </w:tcPr>
          <w:p w14:paraId="74AC4A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18682C" w14:textId="77777777">
        <w:tc>
          <w:tcPr>
            <w:tcW w:w="1384" w:type="dxa"/>
            <w:vMerge/>
            <w:tcBorders>
              <w:left w:val="single" w:sz="12" w:space="0" w:color="auto"/>
            </w:tcBorders>
            <w:shd w:val="clear" w:color="auto" w:fill="auto"/>
          </w:tcPr>
          <w:p w14:paraId="1DACBD54" w14:textId="77777777" w:rsidR="003B3105" w:rsidRDefault="003B3105" w:rsidP="001E533B">
            <w:pPr>
              <w:rPr>
                <w:rFonts w:ascii="新細明體" w:eastAsia="新細明體" w:hAnsi="新細明體"/>
              </w:rPr>
            </w:pPr>
          </w:p>
        </w:tc>
        <w:tc>
          <w:tcPr>
            <w:tcW w:w="1276" w:type="dxa"/>
            <w:vMerge/>
            <w:shd w:val="clear" w:color="auto" w:fill="auto"/>
          </w:tcPr>
          <w:p w14:paraId="06E7F33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B6A6B9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(十八)是否依規定撰寫程式說明。</w:t>
            </w:r>
          </w:p>
        </w:tc>
        <w:tc>
          <w:tcPr>
            <w:tcW w:w="5387" w:type="dxa"/>
            <w:tcBorders>
              <w:top w:val="nil"/>
              <w:bottom w:val="nil"/>
            </w:tcBorders>
            <w:shd w:val="clear" w:color="auto" w:fill="auto"/>
          </w:tcPr>
          <w:p w14:paraId="0CAD19F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(十八)是否依規定撰寫程式說明。</w:t>
            </w:r>
          </w:p>
        </w:tc>
        <w:tc>
          <w:tcPr>
            <w:tcW w:w="2023" w:type="dxa"/>
            <w:vMerge/>
            <w:tcBorders>
              <w:right w:val="single" w:sz="12" w:space="0" w:color="auto"/>
            </w:tcBorders>
            <w:shd w:val="clear" w:color="auto" w:fill="auto"/>
          </w:tcPr>
          <w:p w14:paraId="67CA5B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D71A0A" w14:textId="77777777">
        <w:tc>
          <w:tcPr>
            <w:tcW w:w="1384" w:type="dxa"/>
            <w:vMerge/>
            <w:tcBorders>
              <w:left w:val="single" w:sz="12" w:space="0" w:color="auto"/>
            </w:tcBorders>
            <w:shd w:val="clear" w:color="auto" w:fill="auto"/>
          </w:tcPr>
          <w:p w14:paraId="18613AE0" w14:textId="77777777" w:rsidR="003B3105" w:rsidRDefault="003B3105" w:rsidP="001E533B">
            <w:pPr>
              <w:rPr>
                <w:rFonts w:ascii="新細明體" w:eastAsia="新細明體" w:hAnsi="新細明體"/>
              </w:rPr>
            </w:pPr>
          </w:p>
        </w:tc>
        <w:tc>
          <w:tcPr>
            <w:tcW w:w="1276" w:type="dxa"/>
            <w:vMerge/>
            <w:shd w:val="clear" w:color="auto" w:fill="auto"/>
          </w:tcPr>
          <w:p w14:paraId="651C638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D22850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(十九)是否依規定語言及方式撰寫程式。</w:t>
            </w:r>
          </w:p>
        </w:tc>
        <w:tc>
          <w:tcPr>
            <w:tcW w:w="5387" w:type="dxa"/>
            <w:tcBorders>
              <w:top w:val="nil"/>
              <w:bottom w:val="nil"/>
            </w:tcBorders>
            <w:shd w:val="clear" w:color="auto" w:fill="auto"/>
          </w:tcPr>
          <w:p w14:paraId="0055979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(十九)是否依規定語言及方式撰寫程式。</w:t>
            </w:r>
          </w:p>
        </w:tc>
        <w:tc>
          <w:tcPr>
            <w:tcW w:w="2023" w:type="dxa"/>
            <w:vMerge/>
            <w:tcBorders>
              <w:right w:val="single" w:sz="12" w:space="0" w:color="auto"/>
            </w:tcBorders>
            <w:shd w:val="clear" w:color="auto" w:fill="auto"/>
          </w:tcPr>
          <w:p w14:paraId="6EA4301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5A2879" w14:textId="77777777">
        <w:tc>
          <w:tcPr>
            <w:tcW w:w="1384" w:type="dxa"/>
            <w:vMerge/>
            <w:tcBorders>
              <w:left w:val="single" w:sz="12" w:space="0" w:color="auto"/>
            </w:tcBorders>
            <w:shd w:val="clear" w:color="auto" w:fill="auto"/>
          </w:tcPr>
          <w:p w14:paraId="760EAE66" w14:textId="77777777" w:rsidR="003B3105" w:rsidRDefault="003B3105" w:rsidP="001E533B">
            <w:pPr>
              <w:rPr>
                <w:rFonts w:ascii="新細明體" w:eastAsia="新細明體" w:hAnsi="新細明體"/>
              </w:rPr>
            </w:pPr>
          </w:p>
        </w:tc>
        <w:tc>
          <w:tcPr>
            <w:tcW w:w="1276" w:type="dxa"/>
            <w:vMerge/>
            <w:shd w:val="clear" w:color="auto" w:fill="auto"/>
          </w:tcPr>
          <w:p w14:paraId="2C4564C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D39267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(二十)程式測試是否經由不同人員再行驗證。</w:t>
            </w:r>
          </w:p>
        </w:tc>
        <w:tc>
          <w:tcPr>
            <w:tcW w:w="5387" w:type="dxa"/>
            <w:tcBorders>
              <w:top w:val="nil"/>
              <w:bottom w:val="nil"/>
            </w:tcBorders>
            <w:shd w:val="clear" w:color="auto" w:fill="auto"/>
          </w:tcPr>
          <w:p w14:paraId="1484EE0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(二十)程式測試是否經由不同人員再行驗證。</w:t>
            </w:r>
          </w:p>
        </w:tc>
        <w:tc>
          <w:tcPr>
            <w:tcW w:w="2023" w:type="dxa"/>
            <w:vMerge/>
            <w:tcBorders>
              <w:right w:val="single" w:sz="12" w:space="0" w:color="auto"/>
            </w:tcBorders>
            <w:shd w:val="clear" w:color="auto" w:fill="auto"/>
          </w:tcPr>
          <w:p w14:paraId="4AAC84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295A8A" w14:textId="77777777">
        <w:tc>
          <w:tcPr>
            <w:tcW w:w="1384" w:type="dxa"/>
            <w:vMerge/>
            <w:tcBorders>
              <w:left w:val="single" w:sz="12" w:space="0" w:color="auto"/>
            </w:tcBorders>
            <w:shd w:val="clear" w:color="auto" w:fill="auto"/>
          </w:tcPr>
          <w:p w14:paraId="38CF7DA7" w14:textId="77777777" w:rsidR="003B3105" w:rsidRDefault="003B3105" w:rsidP="001E533B">
            <w:pPr>
              <w:rPr>
                <w:rFonts w:ascii="新細明體" w:eastAsia="新細明體" w:hAnsi="新細明體"/>
              </w:rPr>
            </w:pPr>
          </w:p>
        </w:tc>
        <w:tc>
          <w:tcPr>
            <w:tcW w:w="1276" w:type="dxa"/>
            <w:vMerge/>
            <w:shd w:val="clear" w:color="auto" w:fill="auto"/>
          </w:tcPr>
          <w:p w14:paraId="0B14456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3B6B90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(二十一)測試經過及結果是否留有完整紀錄。</w:t>
            </w:r>
          </w:p>
        </w:tc>
        <w:tc>
          <w:tcPr>
            <w:tcW w:w="5387" w:type="dxa"/>
            <w:tcBorders>
              <w:top w:val="nil"/>
              <w:bottom w:val="nil"/>
            </w:tcBorders>
            <w:shd w:val="clear" w:color="auto" w:fill="auto"/>
          </w:tcPr>
          <w:p w14:paraId="33E47DF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(二十一)測試經過及結果是否留有完整紀錄。</w:t>
            </w:r>
          </w:p>
        </w:tc>
        <w:tc>
          <w:tcPr>
            <w:tcW w:w="2023" w:type="dxa"/>
            <w:vMerge/>
            <w:tcBorders>
              <w:right w:val="single" w:sz="12" w:space="0" w:color="auto"/>
            </w:tcBorders>
            <w:shd w:val="clear" w:color="auto" w:fill="auto"/>
          </w:tcPr>
          <w:p w14:paraId="5FC0FF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8217F7" w14:textId="77777777">
        <w:tc>
          <w:tcPr>
            <w:tcW w:w="1384" w:type="dxa"/>
            <w:vMerge/>
            <w:tcBorders>
              <w:left w:val="single" w:sz="12" w:space="0" w:color="auto"/>
            </w:tcBorders>
            <w:shd w:val="clear" w:color="auto" w:fill="auto"/>
          </w:tcPr>
          <w:p w14:paraId="6F831A80" w14:textId="77777777" w:rsidR="003B3105" w:rsidRDefault="003B3105" w:rsidP="001E533B">
            <w:pPr>
              <w:rPr>
                <w:rFonts w:ascii="新細明體" w:eastAsia="新細明體" w:hAnsi="新細明體"/>
              </w:rPr>
            </w:pPr>
          </w:p>
        </w:tc>
        <w:tc>
          <w:tcPr>
            <w:tcW w:w="1276" w:type="dxa"/>
            <w:vMerge/>
            <w:shd w:val="clear" w:color="auto" w:fill="auto"/>
          </w:tcPr>
          <w:p w14:paraId="139C8D7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7EB2C7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(二十二)測試所發現錯誤經修改後，是否將所有設計上相關之改變配合修訂更新。</w:t>
            </w:r>
          </w:p>
        </w:tc>
        <w:tc>
          <w:tcPr>
            <w:tcW w:w="5387" w:type="dxa"/>
            <w:tcBorders>
              <w:top w:val="nil"/>
              <w:bottom w:val="nil"/>
            </w:tcBorders>
            <w:shd w:val="clear" w:color="auto" w:fill="auto"/>
          </w:tcPr>
          <w:p w14:paraId="1415100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(二十二)測試所發現錯誤經修改後，是否將所有設計上相關之改變配合修訂更新。</w:t>
            </w:r>
          </w:p>
        </w:tc>
        <w:tc>
          <w:tcPr>
            <w:tcW w:w="2023" w:type="dxa"/>
            <w:vMerge/>
            <w:tcBorders>
              <w:right w:val="single" w:sz="12" w:space="0" w:color="auto"/>
            </w:tcBorders>
            <w:shd w:val="clear" w:color="auto" w:fill="auto"/>
          </w:tcPr>
          <w:p w14:paraId="07154E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96A8E2" w14:textId="77777777">
        <w:tc>
          <w:tcPr>
            <w:tcW w:w="1384" w:type="dxa"/>
            <w:vMerge/>
            <w:tcBorders>
              <w:left w:val="single" w:sz="12" w:space="0" w:color="auto"/>
            </w:tcBorders>
            <w:shd w:val="clear" w:color="auto" w:fill="auto"/>
          </w:tcPr>
          <w:p w14:paraId="34DE4336" w14:textId="77777777" w:rsidR="003B3105" w:rsidRDefault="003B3105" w:rsidP="001E533B">
            <w:pPr>
              <w:rPr>
                <w:rFonts w:ascii="新細明體" w:eastAsia="新細明體" w:hAnsi="新細明體"/>
              </w:rPr>
            </w:pPr>
          </w:p>
        </w:tc>
        <w:tc>
          <w:tcPr>
            <w:tcW w:w="1276" w:type="dxa"/>
            <w:vMerge/>
            <w:shd w:val="clear" w:color="auto" w:fill="auto"/>
          </w:tcPr>
          <w:p w14:paraId="4DC5385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20F7DF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(二十三)系統設置計畫之訂定與執行是否確實依作業程序辦理。</w:t>
            </w:r>
          </w:p>
        </w:tc>
        <w:tc>
          <w:tcPr>
            <w:tcW w:w="5387" w:type="dxa"/>
            <w:tcBorders>
              <w:top w:val="nil"/>
              <w:bottom w:val="nil"/>
            </w:tcBorders>
            <w:shd w:val="clear" w:color="auto" w:fill="auto"/>
          </w:tcPr>
          <w:p w14:paraId="4760E33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(二十三)系統設置計畫之訂定與執行是否確實依作業程序辦理。</w:t>
            </w:r>
          </w:p>
        </w:tc>
        <w:tc>
          <w:tcPr>
            <w:tcW w:w="2023" w:type="dxa"/>
            <w:vMerge/>
            <w:tcBorders>
              <w:right w:val="single" w:sz="12" w:space="0" w:color="auto"/>
            </w:tcBorders>
            <w:shd w:val="clear" w:color="auto" w:fill="auto"/>
          </w:tcPr>
          <w:p w14:paraId="6AFAB2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AD5181" w14:textId="77777777">
        <w:tc>
          <w:tcPr>
            <w:tcW w:w="1384" w:type="dxa"/>
            <w:vMerge/>
            <w:tcBorders>
              <w:left w:val="single" w:sz="12" w:space="0" w:color="auto"/>
            </w:tcBorders>
            <w:shd w:val="clear" w:color="auto" w:fill="auto"/>
          </w:tcPr>
          <w:p w14:paraId="64D9C46F" w14:textId="77777777" w:rsidR="003B3105" w:rsidRDefault="003B3105" w:rsidP="001E533B">
            <w:pPr>
              <w:rPr>
                <w:rFonts w:ascii="新細明體" w:eastAsia="新細明體" w:hAnsi="新細明體"/>
              </w:rPr>
            </w:pPr>
          </w:p>
        </w:tc>
        <w:tc>
          <w:tcPr>
            <w:tcW w:w="1276" w:type="dxa"/>
            <w:vMerge/>
            <w:shd w:val="clear" w:color="auto" w:fill="auto"/>
          </w:tcPr>
          <w:p w14:paraId="1151CA7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9D0FF8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(二十四)是否訂定應用系統操作手冊，並訓練使用人員熟悉操作。</w:t>
            </w:r>
          </w:p>
        </w:tc>
        <w:tc>
          <w:tcPr>
            <w:tcW w:w="5387" w:type="dxa"/>
            <w:tcBorders>
              <w:top w:val="nil"/>
              <w:bottom w:val="nil"/>
            </w:tcBorders>
            <w:shd w:val="clear" w:color="auto" w:fill="auto"/>
          </w:tcPr>
          <w:p w14:paraId="31E80F7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(二十四)是否訂定應用系統操作手冊，並訓練使用人員熟悉操作。</w:t>
            </w:r>
          </w:p>
        </w:tc>
        <w:tc>
          <w:tcPr>
            <w:tcW w:w="2023" w:type="dxa"/>
            <w:vMerge/>
            <w:tcBorders>
              <w:right w:val="single" w:sz="12" w:space="0" w:color="auto"/>
            </w:tcBorders>
            <w:shd w:val="clear" w:color="auto" w:fill="auto"/>
          </w:tcPr>
          <w:p w14:paraId="2EA673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F9DD42" w14:textId="77777777">
        <w:tc>
          <w:tcPr>
            <w:tcW w:w="1384" w:type="dxa"/>
            <w:vMerge/>
            <w:tcBorders>
              <w:left w:val="single" w:sz="12" w:space="0" w:color="auto"/>
            </w:tcBorders>
            <w:shd w:val="clear" w:color="auto" w:fill="auto"/>
          </w:tcPr>
          <w:p w14:paraId="0E1CA00D" w14:textId="77777777" w:rsidR="003B3105" w:rsidRDefault="003B3105" w:rsidP="001E533B">
            <w:pPr>
              <w:rPr>
                <w:rFonts w:ascii="新細明體" w:eastAsia="新細明體" w:hAnsi="新細明體"/>
              </w:rPr>
            </w:pPr>
          </w:p>
        </w:tc>
        <w:tc>
          <w:tcPr>
            <w:tcW w:w="1276" w:type="dxa"/>
            <w:vMerge/>
            <w:shd w:val="clear" w:color="auto" w:fill="auto"/>
          </w:tcPr>
          <w:p w14:paraId="7B34D28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47EAED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(二十五)轉換是否挑選恰當之時機。</w:t>
            </w:r>
          </w:p>
        </w:tc>
        <w:tc>
          <w:tcPr>
            <w:tcW w:w="5387" w:type="dxa"/>
            <w:tcBorders>
              <w:top w:val="nil"/>
              <w:bottom w:val="nil"/>
            </w:tcBorders>
            <w:shd w:val="clear" w:color="auto" w:fill="auto"/>
          </w:tcPr>
          <w:p w14:paraId="7B0711F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(二十五)轉換是否挑選恰當之時機。</w:t>
            </w:r>
          </w:p>
        </w:tc>
        <w:tc>
          <w:tcPr>
            <w:tcW w:w="2023" w:type="dxa"/>
            <w:vMerge/>
            <w:tcBorders>
              <w:right w:val="single" w:sz="12" w:space="0" w:color="auto"/>
            </w:tcBorders>
            <w:shd w:val="clear" w:color="auto" w:fill="auto"/>
          </w:tcPr>
          <w:p w14:paraId="594883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51C2DF" w14:textId="77777777">
        <w:tc>
          <w:tcPr>
            <w:tcW w:w="1384" w:type="dxa"/>
            <w:vMerge/>
            <w:tcBorders>
              <w:left w:val="single" w:sz="12" w:space="0" w:color="auto"/>
            </w:tcBorders>
            <w:shd w:val="clear" w:color="auto" w:fill="auto"/>
          </w:tcPr>
          <w:p w14:paraId="05AA15BB" w14:textId="77777777" w:rsidR="003B3105" w:rsidRDefault="003B3105" w:rsidP="001E533B">
            <w:pPr>
              <w:rPr>
                <w:rFonts w:ascii="新細明體" w:eastAsia="新細明體" w:hAnsi="新細明體"/>
              </w:rPr>
            </w:pPr>
          </w:p>
        </w:tc>
        <w:tc>
          <w:tcPr>
            <w:tcW w:w="1276" w:type="dxa"/>
            <w:vMerge/>
            <w:shd w:val="clear" w:color="auto" w:fill="auto"/>
          </w:tcPr>
          <w:p w14:paraId="691057D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307843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(二十六)轉換前資料是否留存備份。</w:t>
            </w:r>
          </w:p>
        </w:tc>
        <w:tc>
          <w:tcPr>
            <w:tcW w:w="5387" w:type="dxa"/>
            <w:tcBorders>
              <w:top w:val="nil"/>
              <w:bottom w:val="nil"/>
            </w:tcBorders>
            <w:shd w:val="clear" w:color="auto" w:fill="auto"/>
          </w:tcPr>
          <w:p w14:paraId="4267FE0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(二十六)轉換前資料是否留存備份。</w:t>
            </w:r>
          </w:p>
        </w:tc>
        <w:tc>
          <w:tcPr>
            <w:tcW w:w="2023" w:type="dxa"/>
            <w:vMerge/>
            <w:tcBorders>
              <w:right w:val="single" w:sz="12" w:space="0" w:color="auto"/>
            </w:tcBorders>
            <w:shd w:val="clear" w:color="auto" w:fill="auto"/>
          </w:tcPr>
          <w:p w14:paraId="2A8960C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B038B3" w14:textId="77777777">
        <w:tc>
          <w:tcPr>
            <w:tcW w:w="1384" w:type="dxa"/>
            <w:vMerge/>
            <w:tcBorders>
              <w:left w:val="single" w:sz="12" w:space="0" w:color="auto"/>
            </w:tcBorders>
            <w:shd w:val="clear" w:color="auto" w:fill="auto"/>
          </w:tcPr>
          <w:p w14:paraId="22ADE165" w14:textId="77777777" w:rsidR="003B3105" w:rsidRDefault="003B3105" w:rsidP="001E533B">
            <w:pPr>
              <w:rPr>
                <w:rFonts w:ascii="新細明體" w:eastAsia="新細明體" w:hAnsi="新細明體"/>
              </w:rPr>
            </w:pPr>
          </w:p>
        </w:tc>
        <w:tc>
          <w:tcPr>
            <w:tcW w:w="1276" w:type="dxa"/>
            <w:vMerge/>
            <w:shd w:val="clear" w:color="auto" w:fill="auto"/>
          </w:tcPr>
          <w:p w14:paraId="03ACA74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19907A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(二十七)是否事先考慮新舊系統間無法轉換時資料應如何處理。</w:t>
            </w:r>
          </w:p>
        </w:tc>
        <w:tc>
          <w:tcPr>
            <w:tcW w:w="5387" w:type="dxa"/>
            <w:tcBorders>
              <w:top w:val="nil"/>
              <w:bottom w:val="nil"/>
            </w:tcBorders>
            <w:shd w:val="clear" w:color="auto" w:fill="auto"/>
          </w:tcPr>
          <w:p w14:paraId="36C6B35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(二十七)是否事先考慮新舊系統間無法轉換時資料應如何處理。</w:t>
            </w:r>
          </w:p>
        </w:tc>
        <w:tc>
          <w:tcPr>
            <w:tcW w:w="2023" w:type="dxa"/>
            <w:vMerge/>
            <w:tcBorders>
              <w:right w:val="single" w:sz="12" w:space="0" w:color="auto"/>
            </w:tcBorders>
            <w:shd w:val="clear" w:color="auto" w:fill="auto"/>
          </w:tcPr>
          <w:p w14:paraId="7FDAA9C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511747" w14:textId="77777777">
        <w:tc>
          <w:tcPr>
            <w:tcW w:w="1384" w:type="dxa"/>
            <w:vMerge/>
            <w:tcBorders>
              <w:left w:val="single" w:sz="12" w:space="0" w:color="auto"/>
            </w:tcBorders>
            <w:shd w:val="clear" w:color="auto" w:fill="auto"/>
          </w:tcPr>
          <w:p w14:paraId="3D7BD2D1" w14:textId="77777777" w:rsidR="003B3105" w:rsidRDefault="003B3105" w:rsidP="001E533B">
            <w:pPr>
              <w:rPr>
                <w:rFonts w:ascii="新細明體" w:eastAsia="新細明體" w:hAnsi="新細明體"/>
              </w:rPr>
            </w:pPr>
          </w:p>
        </w:tc>
        <w:tc>
          <w:tcPr>
            <w:tcW w:w="1276" w:type="dxa"/>
            <w:vMerge/>
            <w:shd w:val="clear" w:color="auto" w:fill="auto"/>
          </w:tcPr>
          <w:p w14:paraId="525360B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3B20D3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(二十八)正式作業資料是否確實輸入新舊系統。</w:t>
            </w:r>
          </w:p>
        </w:tc>
        <w:tc>
          <w:tcPr>
            <w:tcW w:w="5387" w:type="dxa"/>
            <w:tcBorders>
              <w:top w:val="nil"/>
              <w:bottom w:val="nil"/>
            </w:tcBorders>
            <w:shd w:val="clear" w:color="auto" w:fill="auto"/>
          </w:tcPr>
          <w:p w14:paraId="40B1F4C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(二十八)正式作業資料是否確實輸入新舊系統。</w:t>
            </w:r>
          </w:p>
        </w:tc>
        <w:tc>
          <w:tcPr>
            <w:tcW w:w="2023" w:type="dxa"/>
            <w:vMerge/>
            <w:tcBorders>
              <w:right w:val="single" w:sz="12" w:space="0" w:color="auto"/>
            </w:tcBorders>
            <w:shd w:val="clear" w:color="auto" w:fill="auto"/>
          </w:tcPr>
          <w:p w14:paraId="06089B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412773" w14:textId="77777777">
        <w:tc>
          <w:tcPr>
            <w:tcW w:w="1384" w:type="dxa"/>
            <w:vMerge/>
            <w:tcBorders>
              <w:left w:val="single" w:sz="12" w:space="0" w:color="auto"/>
            </w:tcBorders>
            <w:shd w:val="clear" w:color="auto" w:fill="auto"/>
          </w:tcPr>
          <w:p w14:paraId="28F6C108" w14:textId="77777777" w:rsidR="003B3105" w:rsidRDefault="003B3105" w:rsidP="001E533B">
            <w:pPr>
              <w:rPr>
                <w:rFonts w:ascii="新細明體" w:eastAsia="新細明體" w:hAnsi="新細明體"/>
              </w:rPr>
            </w:pPr>
          </w:p>
        </w:tc>
        <w:tc>
          <w:tcPr>
            <w:tcW w:w="1276" w:type="dxa"/>
            <w:vMerge/>
            <w:shd w:val="clear" w:color="auto" w:fill="auto"/>
          </w:tcPr>
          <w:p w14:paraId="1D58194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7CDF28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(二十九)新舊系統併行作業測試無誤正式上線前是否經相關權責主管核准。</w:t>
            </w:r>
          </w:p>
        </w:tc>
        <w:tc>
          <w:tcPr>
            <w:tcW w:w="5387" w:type="dxa"/>
            <w:tcBorders>
              <w:top w:val="nil"/>
              <w:bottom w:val="nil"/>
            </w:tcBorders>
            <w:shd w:val="clear" w:color="auto" w:fill="auto"/>
          </w:tcPr>
          <w:p w14:paraId="12DD56E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(二十九)新舊系統併行作業測試無誤正式上線前是否經相關權責主管核准。</w:t>
            </w:r>
          </w:p>
        </w:tc>
        <w:tc>
          <w:tcPr>
            <w:tcW w:w="2023" w:type="dxa"/>
            <w:vMerge/>
            <w:tcBorders>
              <w:right w:val="single" w:sz="12" w:space="0" w:color="auto"/>
            </w:tcBorders>
            <w:shd w:val="clear" w:color="auto" w:fill="auto"/>
          </w:tcPr>
          <w:p w14:paraId="505B57B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008A1B" w14:textId="77777777">
        <w:tc>
          <w:tcPr>
            <w:tcW w:w="1384" w:type="dxa"/>
            <w:vMerge/>
            <w:tcBorders>
              <w:left w:val="single" w:sz="12" w:space="0" w:color="auto"/>
            </w:tcBorders>
            <w:shd w:val="clear" w:color="auto" w:fill="auto"/>
          </w:tcPr>
          <w:p w14:paraId="6D935F69" w14:textId="77777777" w:rsidR="003B3105" w:rsidRDefault="003B3105" w:rsidP="001E533B">
            <w:pPr>
              <w:rPr>
                <w:rFonts w:ascii="新細明體" w:eastAsia="新細明體" w:hAnsi="新細明體"/>
              </w:rPr>
            </w:pPr>
          </w:p>
        </w:tc>
        <w:tc>
          <w:tcPr>
            <w:tcW w:w="1276" w:type="dxa"/>
            <w:vMerge/>
            <w:shd w:val="clear" w:color="auto" w:fill="auto"/>
          </w:tcPr>
          <w:p w14:paraId="49C029E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C14F01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(三十)各項說明文件是否齊全。</w:t>
            </w:r>
          </w:p>
        </w:tc>
        <w:tc>
          <w:tcPr>
            <w:tcW w:w="5387" w:type="dxa"/>
            <w:tcBorders>
              <w:top w:val="nil"/>
              <w:bottom w:val="nil"/>
            </w:tcBorders>
            <w:shd w:val="clear" w:color="auto" w:fill="auto"/>
          </w:tcPr>
          <w:p w14:paraId="7A4A91E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(三十)各項說明文件是否齊全。</w:t>
            </w:r>
          </w:p>
        </w:tc>
        <w:tc>
          <w:tcPr>
            <w:tcW w:w="2023" w:type="dxa"/>
            <w:vMerge/>
            <w:tcBorders>
              <w:right w:val="single" w:sz="12" w:space="0" w:color="auto"/>
            </w:tcBorders>
            <w:shd w:val="clear" w:color="auto" w:fill="auto"/>
          </w:tcPr>
          <w:p w14:paraId="19CBD0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09DE5E" w14:textId="77777777">
        <w:tc>
          <w:tcPr>
            <w:tcW w:w="1384" w:type="dxa"/>
            <w:vMerge/>
            <w:tcBorders>
              <w:left w:val="single" w:sz="12" w:space="0" w:color="auto"/>
            </w:tcBorders>
            <w:shd w:val="clear" w:color="auto" w:fill="auto"/>
          </w:tcPr>
          <w:p w14:paraId="1EBEEE66" w14:textId="77777777" w:rsidR="003B3105" w:rsidRDefault="003B3105" w:rsidP="001E533B">
            <w:pPr>
              <w:rPr>
                <w:rFonts w:ascii="新細明體" w:eastAsia="新細明體" w:hAnsi="新細明體"/>
              </w:rPr>
            </w:pPr>
          </w:p>
        </w:tc>
        <w:tc>
          <w:tcPr>
            <w:tcW w:w="1276" w:type="dxa"/>
            <w:vMerge/>
            <w:shd w:val="clear" w:color="auto" w:fill="auto"/>
          </w:tcPr>
          <w:p w14:paraId="1DCC889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A9FB70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(三十一)各項文件與手冊是否經適當維護與控制；是否由專人保管，且僅限於相關業務人員借閱。</w:t>
            </w:r>
          </w:p>
        </w:tc>
        <w:tc>
          <w:tcPr>
            <w:tcW w:w="5387" w:type="dxa"/>
            <w:tcBorders>
              <w:top w:val="nil"/>
              <w:bottom w:val="nil"/>
            </w:tcBorders>
            <w:shd w:val="clear" w:color="auto" w:fill="auto"/>
          </w:tcPr>
          <w:p w14:paraId="6C3E7D8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(三十一)各項文件與手冊是否經適當維護與控制；是否由專人保管，且僅限於相關業務人員借閱。</w:t>
            </w:r>
          </w:p>
        </w:tc>
        <w:tc>
          <w:tcPr>
            <w:tcW w:w="2023" w:type="dxa"/>
            <w:vMerge/>
            <w:tcBorders>
              <w:right w:val="single" w:sz="12" w:space="0" w:color="auto"/>
            </w:tcBorders>
            <w:shd w:val="clear" w:color="auto" w:fill="auto"/>
          </w:tcPr>
          <w:p w14:paraId="3461D3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1714E2" w14:textId="77777777">
        <w:tc>
          <w:tcPr>
            <w:tcW w:w="1384" w:type="dxa"/>
            <w:vMerge/>
            <w:tcBorders>
              <w:left w:val="single" w:sz="12" w:space="0" w:color="auto"/>
            </w:tcBorders>
            <w:shd w:val="clear" w:color="auto" w:fill="auto"/>
          </w:tcPr>
          <w:p w14:paraId="1DA47326" w14:textId="77777777" w:rsidR="003B3105" w:rsidRDefault="003B3105" w:rsidP="001E533B">
            <w:pPr>
              <w:rPr>
                <w:rFonts w:ascii="新細明體" w:eastAsia="新細明體" w:hAnsi="新細明體"/>
              </w:rPr>
            </w:pPr>
          </w:p>
        </w:tc>
        <w:tc>
          <w:tcPr>
            <w:tcW w:w="1276" w:type="dxa"/>
            <w:vMerge/>
            <w:shd w:val="clear" w:color="auto" w:fill="auto"/>
          </w:tcPr>
          <w:p w14:paraId="48E238B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9A6C25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(三十二)整理後之文件是否與系統保持一致。</w:t>
            </w:r>
          </w:p>
        </w:tc>
        <w:tc>
          <w:tcPr>
            <w:tcW w:w="5387" w:type="dxa"/>
            <w:tcBorders>
              <w:top w:val="nil"/>
              <w:bottom w:val="nil"/>
            </w:tcBorders>
            <w:shd w:val="clear" w:color="auto" w:fill="auto"/>
          </w:tcPr>
          <w:p w14:paraId="7D7B234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(三十二)整理後之文件是否與系統保持一致。</w:t>
            </w:r>
          </w:p>
        </w:tc>
        <w:tc>
          <w:tcPr>
            <w:tcW w:w="2023" w:type="dxa"/>
            <w:vMerge/>
            <w:tcBorders>
              <w:right w:val="single" w:sz="12" w:space="0" w:color="auto"/>
            </w:tcBorders>
            <w:shd w:val="clear" w:color="auto" w:fill="auto"/>
          </w:tcPr>
          <w:p w14:paraId="78045A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0B469A" w14:textId="77777777">
        <w:tc>
          <w:tcPr>
            <w:tcW w:w="1384" w:type="dxa"/>
            <w:vMerge/>
            <w:tcBorders>
              <w:left w:val="single" w:sz="12" w:space="0" w:color="auto"/>
            </w:tcBorders>
            <w:shd w:val="clear" w:color="auto" w:fill="auto"/>
          </w:tcPr>
          <w:p w14:paraId="4288F5F2" w14:textId="77777777" w:rsidR="003B3105" w:rsidRDefault="003B3105" w:rsidP="001E533B">
            <w:pPr>
              <w:rPr>
                <w:rFonts w:ascii="新細明體" w:eastAsia="新細明體" w:hAnsi="新細明體"/>
              </w:rPr>
            </w:pPr>
          </w:p>
        </w:tc>
        <w:tc>
          <w:tcPr>
            <w:tcW w:w="1276" w:type="dxa"/>
            <w:vMerge/>
            <w:shd w:val="clear" w:color="auto" w:fill="auto"/>
          </w:tcPr>
          <w:p w14:paraId="1B50289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D3132D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(三十三)應用系統之維護是否指派專人辦理。</w:t>
            </w:r>
          </w:p>
        </w:tc>
        <w:tc>
          <w:tcPr>
            <w:tcW w:w="5387" w:type="dxa"/>
            <w:tcBorders>
              <w:top w:val="nil"/>
              <w:bottom w:val="nil"/>
            </w:tcBorders>
            <w:shd w:val="clear" w:color="auto" w:fill="auto"/>
          </w:tcPr>
          <w:p w14:paraId="13785F1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(三十三)應用系統之維護是否指派專人辦理。</w:t>
            </w:r>
          </w:p>
        </w:tc>
        <w:tc>
          <w:tcPr>
            <w:tcW w:w="2023" w:type="dxa"/>
            <w:vMerge/>
            <w:tcBorders>
              <w:right w:val="single" w:sz="12" w:space="0" w:color="auto"/>
            </w:tcBorders>
            <w:shd w:val="clear" w:color="auto" w:fill="auto"/>
          </w:tcPr>
          <w:p w14:paraId="0BE4A7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8FA6CD" w14:textId="77777777">
        <w:tc>
          <w:tcPr>
            <w:tcW w:w="1384" w:type="dxa"/>
            <w:vMerge/>
            <w:tcBorders>
              <w:left w:val="single" w:sz="12" w:space="0" w:color="auto"/>
            </w:tcBorders>
            <w:shd w:val="clear" w:color="auto" w:fill="auto"/>
          </w:tcPr>
          <w:p w14:paraId="71A0666C" w14:textId="77777777" w:rsidR="003B3105" w:rsidRDefault="003B3105" w:rsidP="001E533B">
            <w:pPr>
              <w:rPr>
                <w:rFonts w:ascii="新細明體" w:eastAsia="新細明體" w:hAnsi="新細明體"/>
              </w:rPr>
            </w:pPr>
          </w:p>
        </w:tc>
        <w:tc>
          <w:tcPr>
            <w:tcW w:w="1276" w:type="dxa"/>
            <w:vMerge/>
            <w:shd w:val="clear" w:color="auto" w:fill="auto"/>
          </w:tcPr>
          <w:p w14:paraId="31862D5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385BF2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(三十四)系統修訂後是否將所有設計上相關之改變配合修訂、更新。</w:t>
            </w:r>
          </w:p>
        </w:tc>
        <w:tc>
          <w:tcPr>
            <w:tcW w:w="5387" w:type="dxa"/>
            <w:tcBorders>
              <w:top w:val="nil"/>
              <w:bottom w:val="nil"/>
            </w:tcBorders>
            <w:shd w:val="clear" w:color="auto" w:fill="auto"/>
          </w:tcPr>
          <w:p w14:paraId="3D038B5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(三十四)系統修訂後是否將所有設計上相關之改變配合修訂、更新。</w:t>
            </w:r>
          </w:p>
        </w:tc>
        <w:tc>
          <w:tcPr>
            <w:tcW w:w="2023" w:type="dxa"/>
            <w:vMerge/>
            <w:tcBorders>
              <w:right w:val="single" w:sz="12" w:space="0" w:color="auto"/>
            </w:tcBorders>
            <w:shd w:val="clear" w:color="auto" w:fill="auto"/>
          </w:tcPr>
          <w:p w14:paraId="4C0493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640D74" w14:textId="77777777">
        <w:tc>
          <w:tcPr>
            <w:tcW w:w="1384" w:type="dxa"/>
            <w:vMerge/>
            <w:tcBorders>
              <w:left w:val="single" w:sz="12" w:space="0" w:color="auto"/>
            </w:tcBorders>
            <w:shd w:val="clear" w:color="auto" w:fill="auto"/>
          </w:tcPr>
          <w:p w14:paraId="2FFEE4CF" w14:textId="77777777" w:rsidR="003B3105" w:rsidRDefault="003B3105" w:rsidP="001E533B">
            <w:pPr>
              <w:rPr>
                <w:rFonts w:ascii="新細明體" w:eastAsia="新細明體" w:hAnsi="新細明體"/>
              </w:rPr>
            </w:pPr>
          </w:p>
        </w:tc>
        <w:tc>
          <w:tcPr>
            <w:tcW w:w="1276" w:type="dxa"/>
            <w:vMerge/>
            <w:shd w:val="clear" w:color="auto" w:fill="auto"/>
          </w:tcPr>
          <w:p w14:paraId="609CA6F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4BE8D2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(三十五)已完成之程式因故需維護時，是否依</w:t>
            </w:r>
            <w:r>
              <w:rPr>
                <w:rFonts w:ascii="新細明體" w:eastAsia="新細明體" w:hAnsi="新細明體" w:cs="新細明體" w:hint="eastAsia"/>
              </w:rPr>
              <w:lastRenderedPageBreak/>
              <w:t>據經過正式核准之程序辦理。</w:t>
            </w:r>
          </w:p>
        </w:tc>
        <w:tc>
          <w:tcPr>
            <w:tcW w:w="5387" w:type="dxa"/>
            <w:tcBorders>
              <w:top w:val="nil"/>
              <w:bottom w:val="nil"/>
            </w:tcBorders>
            <w:shd w:val="clear" w:color="auto" w:fill="auto"/>
          </w:tcPr>
          <w:p w14:paraId="4D38E95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(三十五)已完成之程式因故需維護時，是否依</w:t>
            </w:r>
            <w:r>
              <w:rPr>
                <w:rFonts w:ascii="新細明體" w:eastAsia="新細明體" w:hAnsi="新細明體" w:cs="新細明體" w:hint="eastAsia"/>
              </w:rPr>
              <w:lastRenderedPageBreak/>
              <w:t>據經過正式核准之程序辦理。</w:t>
            </w:r>
          </w:p>
        </w:tc>
        <w:tc>
          <w:tcPr>
            <w:tcW w:w="2023" w:type="dxa"/>
            <w:vMerge/>
            <w:tcBorders>
              <w:right w:val="single" w:sz="12" w:space="0" w:color="auto"/>
            </w:tcBorders>
            <w:shd w:val="clear" w:color="auto" w:fill="auto"/>
          </w:tcPr>
          <w:p w14:paraId="1B5C1A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397A1A" w14:textId="77777777">
        <w:tc>
          <w:tcPr>
            <w:tcW w:w="1384" w:type="dxa"/>
            <w:vMerge/>
            <w:tcBorders>
              <w:left w:val="single" w:sz="12" w:space="0" w:color="auto"/>
            </w:tcBorders>
            <w:shd w:val="clear" w:color="auto" w:fill="auto"/>
          </w:tcPr>
          <w:p w14:paraId="1464F954" w14:textId="77777777" w:rsidR="003B3105" w:rsidRDefault="003B3105" w:rsidP="001E533B">
            <w:pPr>
              <w:rPr>
                <w:rFonts w:ascii="新細明體" w:eastAsia="新細明體" w:hAnsi="新細明體"/>
              </w:rPr>
            </w:pPr>
          </w:p>
        </w:tc>
        <w:tc>
          <w:tcPr>
            <w:tcW w:w="1276" w:type="dxa"/>
            <w:vMerge/>
            <w:shd w:val="clear" w:color="auto" w:fill="auto"/>
          </w:tcPr>
          <w:p w14:paraId="00BDCB5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C2F329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(三十六)正式作業與測試作業之程式、資料、工作控制指令等檔案是否分開存放。</w:t>
            </w:r>
          </w:p>
        </w:tc>
        <w:tc>
          <w:tcPr>
            <w:tcW w:w="5387" w:type="dxa"/>
            <w:tcBorders>
              <w:top w:val="nil"/>
              <w:bottom w:val="nil"/>
            </w:tcBorders>
            <w:shd w:val="clear" w:color="auto" w:fill="auto"/>
          </w:tcPr>
          <w:p w14:paraId="09B5484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(三十六)正式作業與測試作業之程式、資料、工作控制指令等檔案是否分開存放。</w:t>
            </w:r>
          </w:p>
        </w:tc>
        <w:tc>
          <w:tcPr>
            <w:tcW w:w="2023" w:type="dxa"/>
            <w:vMerge/>
            <w:tcBorders>
              <w:right w:val="single" w:sz="12" w:space="0" w:color="auto"/>
            </w:tcBorders>
            <w:shd w:val="clear" w:color="auto" w:fill="auto"/>
          </w:tcPr>
          <w:p w14:paraId="0AA223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3C3093" w14:textId="77777777">
        <w:tc>
          <w:tcPr>
            <w:tcW w:w="1384" w:type="dxa"/>
            <w:vMerge/>
            <w:tcBorders>
              <w:left w:val="single" w:sz="12" w:space="0" w:color="auto"/>
            </w:tcBorders>
            <w:shd w:val="clear" w:color="auto" w:fill="auto"/>
          </w:tcPr>
          <w:p w14:paraId="7D0DEBEE" w14:textId="77777777" w:rsidR="003B3105" w:rsidRDefault="003B3105" w:rsidP="001E533B">
            <w:pPr>
              <w:rPr>
                <w:rFonts w:ascii="新細明體" w:eastAsia="新細明體" w:hAnsi="新細明體"/>
              </w:rPr>
            </w:pPr>
          </w:p>
        </w:tc>
        <w:tc>
          <w:tcPr>
            <w:tcW w:w="1276" w:type="dxa"/>
            <w:vMerge/>
            <w:shd w:val="clear" w:color="auto" w:fill="auto"/>
          </w:tcPr>
          <w:p w14:paraId="1A20FFA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EFCD1B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(三十七)應用程式文件是否與異動程式相符，正式作業環境之程式是否與所異動程式時間相符</w:t>
            </w:r>
            <w:r>
              <w:rPr>
                <w:rFonts w:ascii="新細明體" w:eastAsia="新細明體" w:hAnsi="新細明體" w:cs="新細明體" w:hint="eastAsia"/>
                <w:b/>
                <w:color w:val="FF0000"/>
                <w:u w:val="single"/>
              </w:rPr>
              <w:t>，</w:t>
            </w:r>
            <w:r>
              <w:rPr>
                <w:rFonts w:ascii="新細明體" w:eastAsia="新細明體" w:hAnsi="新細明體" w:cs="新細明體" w:hint="eastAsia"/>
              </w:rPr>
              <w:t>且</w:t>
            </w:r>
            <w:r>
              <w:rPr>
                <w:rFonts w:ascii="新細明體" w:eastAsia="新細明體" w:hAnsi="新細明體" w:cs="新細明體" w:hint="eastAsia"/>
                <w:b/>
                <w:color w:val="FF0000"/>
                <w:u w:val="single"/>
              </w:rPr>
              <w:t>程式變更上線前是否進行完整測試，</w:t>
            </w:r>
            <w:r>
              <w:rPr>
                <w:rFonts w:ascii="新細明體" w:eastAsia="新細明體" w:hAnsi="新細明體" w:cs="新細明體" w:hint="eastAsia"/>
              </w:rPr>
              <w:t>變更完成後是否檢核與申請內容是否相符，並進行驗證以確認變更作業之</w:t>
            </w:r>
            <w:r>
              <w:rPr>
                <w:rFonts w:ascii="新細明體" w:eastAsia="新細明體" w:hAnsi="新細明體" w:cs="新細明體" w:hint="eastAsia"/>
                <w:b/>
                <w:color w:val="FF0000"/>
                <w:u w:val="single"/>
              </w:rPr>
              <w:t>可用性及</w:t>
            </w:r>
            <w:r>
              <w:rPr>
                <w:rFonts w:ascii="新細明體" w:eastAsia="新細明體" w:hAnsi="新細明體" w:cs="新細明體" w:hint="eastAsia"/>
              </w:rPr>
              <w:t>正確性。</w:t>
            </w:r>
          </w:p>
        </w:tc>
        <w:tc>
          <w:tcPr>
            <w:tcW w:w="5387" w:type="dxa"/>
            <w:tcBorders>
              <w:top w:val="nil"/>
              <w:bottom w:val="nil"/>
            </w:tcBorders>
            <w:shd w:val="clear" w:color="auto" w:fill="auto"/>
          </w:tcPr>
          <w:p w14:paraId="4406DCE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(三十七)應用程式文件是否與異動程式相符，正式作業環境之程式是否與所異動程式時間相符且</w:t>
            </w:r>
            <w:r>
              <w:rPr>
                <w:rFonts w:ascii="新細明體" w:eastAsia="新細明體" w:hAnsi="新細明體" w:cs="新細明體" w:hint="eastAsia"/>
                <w:b/>
                <w:color w:val="FF0000"/>
              </w:rPr>
              <w:t>系統</w:t>
            </w:r>
            <w:r>
              <w:rPr>
                <w:rFonts w:ascii="新細明體" w:eastAsia="新細明體" w:hAnsi="新細明體" w:cs="新細明體" w:hint="eastAsia"/>
              </w:rPr>
              <w:t>變更完成後是否檢核與申請內容是否相符，並進行</w:t>
            </w:r>
            <w:r>
              <w:rPr>
                <w:rFonts w:ascii="新細明體" w:eastAsia="新細明體" w:hAnsi="新細明體" w:cs="新細明體" w:hint="eastAsia"/>
                <w:b/>
                <w:color w:val="FF0000"/>
              </w:rPr>
              <w:t>必要</w:t>
            </w:r>
            <w:r>
              <w:rPr>
                <w:rFonts w:ascii="新細明體" w:eastAsia="新細明體" w:hAnsi="新細明體" w:cs="新細明體" w:hint="eastAsia"/>
              </w:rPr>
              <w:t>驗證以確認變更作業之正確性。</w:t>
            </w:r>
          </w:p>
        </w:tc>
        <w:tc>
          <w:tcPr>
            <w:tcW w:w="2023" w:type="dxa"/>
            <w:vMerge/>
            <w:tcBorders>
              <w:right w:val="single" w:sz="12" w:space="0" w:color="auto"/>
            </w:tcBorders>
            <w:shd w:val="clear" w:color="auto" w:fill="auto"/>
          </w:tcPr>
          <w:p w14:paraId="56549D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12F567" w14:textId="77777777">
        <w:tc>
          <w:tcPr>
            <w:tcW w:w="1384" w:type="dxa"/>
            <w:vMerge/>
            <w:tcBorders>
              <w:left w:val="single" w:sz="12" w:space="0" w:color="auto"/>
            </w:tcBorders>
            <w:shd w:val="clear" w:color="auto" w:fill="auto"/>
          </w:tcPr>
          <w:p w14:paraId="2B201AD8" w14:textId="77777777" w:rsidR="003B3105" w:rsidRDefault="003B3105" w:rsidP="001E533B">
            <w:pPr>
              <w:rPr>
                <w:rFonts w:ascii="新細明體" w:eastAsia="新細明體" w:hAnsi="新細明體"/>
              </w:rPr>
            </w:pPr>
          </w:p>
        </w:tc>
        <w:tc>
          <w:tcPr>
            <w:tcW w:w="1276" w:type="dxa"/>
            <w:vMerge/>
            <w:shd w:val="clear" w:color="auto" w:fill="auto"/>
          </w:tcPr>
          <w:p w14:paraId="09B2A71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5C0CFE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(三十八)程式經修改其相關文件是否及時更新。</w:t>
            </w:r>
          </w:p>
        </w:tc>
        <w:tc>
          <w:tcPr>
            <w:tcW w:w="5387" w:type="dxa"/>
            <w:tcBorders>
              <w:top w:val="nil"/>
              <w:bottom w:val="nil"/>
            </w:tcBorders>
            <w:shd w:val="clear" w:color="auto" w:fill="auto"/>
          </w:tcPr>
          <w:p w14:paraId="70F5CE9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(三十八)程式經修改其相關文件是否及時更新。</w:t>
            </w:r>
          </w:p>
        </w:tc>
        <w:tc>
          <w:tcPr>
            <w:tcW w:w="2023" w:type="dxa"/>
            <w:vMerge/>
            <w:tcBorders>
              <w:right w:val="single" w:sz="12" w:space="0" w:color="auto"/>
            </w:tcBorders>
            <w:shd w:val="clear" w:color="auto" w:fill="auto"/>
          </w:tcPr>
          <w:p w14:paraId="2103CE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80A2DB" w14:textId="77777777">
        <w:tc>
          <w:tcPr>
            <w:tcW w:w="1384" w:type="dxa"/>
            <w:vMerge/>
            <w:tcBorders>
              <w:left w:val="single" w:sz="12" w:space="0" w:color="auto"/>
            </w:tcBorders>
            <w:shd w:val="clear" w:color="auto" w:fill="auto"/>
          </w:tcPr>
          <w:p w14:paraId="345D4709" w14:textId="77777777" w:rsidR="003B3105" w:rsidRDefault="003B3105" w:rsidP="001E533B">
            <w:pPr>
              <w:rPr>
                <w:rFonts w:ascii="新細明體" w:eastAsia="新細明體" w:hAnsi="新細明體"/>
              </w:rPr>
            </w:pPr>
          </w:p>
        </w:tc>
        <w:tc>
          <w:tcPr>
            <w:tcW w:w="1276" w:type="dxa"/>
            <w:vMerge/>
            <w:shd w:val="clear" w:color="auto" w:fill="auto"/>
          </w:tcPr>
          <w:p w14:paraId="797AFD3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E50CB6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(三十九)各資通系統是否定期(至少每半年一次)進行弱點掃描。（適用網際網路下單證券商）</w:t>
            </w:r>
          </w:p>
        </w:tc>
        <w:tc>
          <w:tcPr>
            <w:tcW w:w="5387" w:type="dxa"/>
            <w:tcBorders>
              <w:top w:val="nil"/>
              <w:bottom w:val="nil"/>
            </w:tcBorders>
            <w:shd w:val="clear" w:color="auto" w:fill="auto"/>
          </w:tcPr>
          <w:p w14:paraId="7C97C65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(三十九)各資通系統是否定期(至少每半年一次)進行弱點掃描。（適用網際網路下單證券商）</w:t>
            </w:r>
          </w:p>
        </w:tc>
        <w:tc>
          <w:tcPr>
            <w:tcW w:w="2023" w:type="dxa"/>
            <w:vMerge/>
            <w:tcBorders>
              <w:right w:val="single" w:sz="12" w:space="0" w:color="auto"/>
            </w:tcBorders>
            <w:shd w:val="clear" w:color="auto" w:fill="auto"/>
          </w:tcPr>
          <w:p w14:paraId="65A00F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602511" w14:textId="77777777">
        <w:tc>
          <w:tcPr>
            <w:tcW w:w="1384" w:type="dxa"/>
            <w:vMerge/>
            <w:tcBorders>
              <w:left w:val="single" w:sz="12" w:space="0" w:color="auto"/>
            </w:tcBorders>
            <w:shd w:val="clear" w:color="auto" w:fill="auto"/>
          </w:tcPr>
          <w:p w14:paraId="09F48C38" w14:textId="77777777" w:rsidR="003B3105" w:rsidRDefault="003B3105" w:rsidP="001E533B">
            <w:pPr>
              <w:rPr>
                <w:rFonts w:ascii="新細明體" w:eastAsia="新細明體" w:hAnsi="新細明體"/>
              </w:rPr>
            </w:pPr>
          </w:p>
        </w:tc>
        <w:tc>
          <w:tcPr>
            <w:tcW w:w="1276" w:type="dxa"/>
            <w:vMerge/>
            <w:shd w:val="clear" w:color="auto" w:fill="auto"/>
          </w:tcPr>
          <w:p w14:paraId="05B3FFF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56F3C0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(四十)弱點掃描所辨識出之潛在系統弱點，應評估其相關風險或安裝修補程式，並留存紀錄。（適用網際網路下單證券商）</w:t>
            </w:r>
          </w:p>
        </w:tc>
        <w:tc>
          <w:tcPr>
            <w:tcW w:w="5387" w:type="dxa"/>
            <w:tcBorders>
              <w:top w:val="nil"/>
              <w:bottom w:val="nil"/>
            </w:tcBorders>
            <w:shd w:val="clear" w:color="auto" w:fill="auto"/>
          </w:tcPr>
          <w:p w14:paraId="775E090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(四十)弱點掃描所辨識出之潛在系統弱點，應評估其相關風險或安裝修補程式，並留存紀錄。（適用網際網路下單證券商）</w:t>
            </w:r>
          </w:p>
        </w:tc>
        <w:tc>
          <w:tcPr>
            <w:tcW w:w="2023" w:type="dxa"/>
            <w:vMerge/>
            <w:tcBorders>
              <w:right w:val="single" w:sz="12" w:space="0" w:color="auto"/>
            </w:tcBorders>
            <w:shd w:val="clear" w:color="auto" w:fill="auto"/>
          </w:tcPr>
          <w:p w14:paraId="6D8DCF8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418F8C" w14:textId="77777777">
        <w:tc>
          <w:tcPr>
            <w:tcW w:w="1384" w:type="dxa"/>
            <w:vMerge/>
            <w:tcBorders>
              <w:left w:val="single" w:sz="12" w:space="0" w:color="auto"/>
            </w:tcBorders>
            <w:shd w:val="clear" w:color="auto" w:fill="auto"/>
          </w:tcPr>
          <w:p w14:paraId="277AFD15" w14:textId="77777777" w:rsidR="003B3105" w:rsidRDefault="003B3105" w:rsidP="001E533B">
            <w:pPr>
              <w:rPr>
                <w:rFonts w:ascii="新細明體" w:eastAsia="新細明體" w:hAnsi="新細明體"/>
              </w:rPr>
            </w:pPr>
          </w:p>
        </w:tc>
        <w:tc>
          <w:tcPr>
            <w:tcW w:w="1276" w:type="dxa"/>
            <w:vMerge/>
            <w:shd w:val="clear" w:color="auto" w:fill="auto"/>
          </w:tcPr>
          <w:p w14:paraId="344BC48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9BE535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(四十一)行動應用程式是否於可信任來源之行動應用程式商店或網站發布，且是否於發布時說明欲存取之敏感性資料、行動裝置資源及宣告之權限用途。（適用網際網路下單證券商）</w:t>
            </w:r>
          </w:p>
        </w:tc>
        <w:tc>
          <w:tcPr>
            <w:tcW w:w="5387" w:type="dxa"/>
            <w:tcBorders>
              <w:top w:val="nil"/>
              <w:bottom w:val="nil"/>
            </w:tcBorders>
            <w:shd w:val="clear" w:color="auto" w:fill="auto"/>
          </w:tcPr>
          <w:p w14:paraId="75901F9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(四十一)行動應用程式是否於可信任來源之行動應用程式商店或網站發布，且是否於發布時說明欲存取之敏感性資料、行動裝置資源及宣告之權限用途。（適用網際網路下單證券商）</w:t>
            </w:r>
          </w:p>
        </w:tc>
        <w:tc>
          <w:tcPr>
            <w:tcW w:w="2023" w:type="dxa"/>
            <w:vMerge/>
            <w:tcBorders>
              <w:right w:val="single" w:sz="12" w:space="0" w:color="auto"/>
            </w:tcBorders>
            <w:shd w:val="clear" w:color="auto" w:fill="auto"/>
          </w:tcPr>
          <w:p w14:paraId="351824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AA57D9" w14:textId="77777777">
        <w:tc>
          <w:tcPr>
            <w:tcW w:w="1384" w:type="dxa"/>
            <w:vMerge/>
            <w:tcBorders>
              <w:left w:val="single" w:sz="12" w:space="0" w:color="auto"/>
            </w:tcBorders>
            <w:shd w:val="clear" w:color="auto" w:fill="auto"/>
          </w:tcPr>
          <w:p w14:paraId="402CD902" w14:textId="77777777" w:rsidR="003B3105" w:rsidRDefault="003B3105" w:rsidP="001E533B">
            <w:pPr>
              <w:rPr>
                <w:rFonts w:ascii="新細明體" w:eastAsia="新細明體" w:hAnsi="新細明體"/>
              </w:rPr>
            </w:pPr>
          </w:p>
        </w:tc>
        <w:tc>
          <w:tcPr>
            <w:tcW w:w="1276" w:type="dxa"/>
            <w:vMerge/>
            <w:shd w:val="clear" w:color="auto" w:fill="auto"/>
          </w:tcPr>
          <w:p w14:paraId="138DF1F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788CBE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(四十二)是否於官網上提供行動應用程式之名稱、版本與下載位置。（適用網際網路下單證券商）</w:t>
            </w:r>
          </w:p>
        </w:tc>
        <w:tc>
          <w:tcPr>
            <w:tcW w:w="5387" w:type="dxa"/>
            <w:tcBorders>
              <w:top w:val="nil"/>
              <w:bottom w:val="nil"/>
            </w:tcBorders>
            <w:shd w:val="clear" w:color="auto" w:fill="auto"/>
          </w:tcPr>
          <w:p w14:paraId="66032CB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(四十二)是否於官網上提供行動應用程式之名稱、版本與下載位置。（適用網際網路下單證券商）</w:t>
            </w:r>
          </w:p>
        </w:tc>
        <w:tc>
          <w:tcPr>
            <w:tcW w:w="2023" w:type="dxa"/>
            <w:vMerge/>
            <w:tcBorders>
              <w:right w:val="single" w:sz="12" w:space="0" w:color="auto"/>
            </w:tcBorders>
            <w:shd w:val="clear" w:color="auto" w:fill="auto"/>
          </w:tcPr>
          <w:p w14:paraId="22D753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159B87" w14:textId="77777777">
        <w:tc>
          <w:tcPr>
            <w:tcW w:w="1384" w:type="dxa"/>
            <w:vMerge/>
            <w:tcBorders>
              <w:left w:val="single" w:sz="12" w:space="0" w:color="auto"/>
            </w:tcBorders>
            <w:shd w:val="clear" w:color="auto" w:fill="auto"/>
          </w:tcPr>
          <w:p w14:paraId="56F8E238" w14:textId="77777777" w:rsidR="003B3105" w:rsidRDefault="003B3105" w:rsidP="001E533B">
            <w:pPr>
              <w:rPr>
                <w:rFonts w:ascii="新細明體" w:eastAsia="新細明體" w:hAnsi="新細明體"/>
              </w:rPr>
            </w:pPr>
          </w:p>
        </w:tc>
        <w:tc>
          <w:tcPr>
            <w:tcW w:w="1276" w:type="dxa"/>
            <w:vMerge/>
            <w:shd w:val="clear" w:color="auto" w:fill="auto"/>
          </w:tcPr>
          <w:p w14:paraId="250B55A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EE1192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(四十三)是否建立偽冒行動應用程式偵測機制，以維護客戶權益。（適用網際網路下</w:t>
            </w:r>
            <w:r>
              <w:rPr>
                <w:rFonts w:ascii="新細明體" w:eastAsia="新細明體" w:hAnsi="新細明體" w:cs="新細明體" w:hint="eastAsia"/>
              </w:rPr>
              <w:lastRenderedPageBreak/>
              <w:t>單證券商）</w:t>
            </w:r>
          </w:p>
        </w:tc>
        <w:tc>
          <w:tcPr>
            <w:tcW w:w="5387" w:type="dxa"/>
            <w:tcBorders>
              <w:top w:val="nil"/>
              <w:bottom w:val="nil"/>
            </w:tcBorders>
            <w:shd w:val="clear" w:color="auto" w:fill="auto"/>
          </w:tcPr>
          <w:p w14:paraId="5C8E6C7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(四十三)是否建立偽冒行動應用程式偵測機制，以維護客戶權益。（適用網際網路下</w:t>
            </w:r>
            <w:r>
              <w:rPr>
                <w:rFonts w:ascii="新細明體" w:eastAsia="新細明體" w:hAnsi="新細明體" w:cs="新細明體" w:hint="eastAsia"/>
              </w:rPr>
              <w:lastRenderedPageBreak/>
              <w:t>單證券商）</w:t>
            </w:r>
          </w:p>
        </w:tc>
        <w:tc>
          <w:tcPr>
            <w:tcW w:w="2023" w:type="dxa"/>
            <w:vMerge/>
            <w:tcBorders>
              <w:right w:val="single" w:sz="12" w:space="0" w:color="auto"/>
            </w:tcBorders>
            <w:shd w:val="clear" w:color="auto" w:fill="auto"/>
          </w:tcPr>
          <w:p w14:paraId="5EE505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A214AF" w14:textId="77777777">
        <w:tc>
          <w:tcPr>
            <w:tcW w:w="1384" w:type="dxa"/>
            <w:vMerge/>
            <w:tcBorders>
              <w:left w:val="single" w:sz="12" w:space="0" w:color="auto"/>
            </w:tcBorders>
            <w:shd w:val="clear" w:color="auto" w:fill="auto"/>
          </w:tcPr>
          <w:p w14:paraId="3EFC39B3" w14:textId="77777777" w:rsidR="003B3105" w:rsidRDefault="003B3105" w:rsidP="001E533B">
            <w:pPr>
              <w:rPr>
                <w:rFonts w:ascii="新細明體" w:eastAsia="新細明體" w:hAnsi="新細明體"/>
              </w:rPr>
            </w:pPr>
          </w:p>
        </w:tc>
        <w:tc>
          <w:tcPr>
            <w:tcW w:w="1276" w:type="dxa"/>
            <w:vMerge/>
            <w:shd w:val="clear" w:color="auto" w:fill="auto"/>
          </w:tcPr>
          <w:p w14:paraId="6D3E4F9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A7FF2E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(四十四)啟動行動應用程式時，如偵測行動裝置疑似遭破解（如root、jailbreak、USB debugging 等），是否提示使用者注意風險。（適用網際網路下單證券商）</w:t>
            </w:r>
          </w:p>
        </w:tc>
        <w:tc>
          <w:tcPr>
            <w:tcW w:w="5387" w:type="dxa"/>
            <w:tcBorders>
              <w:top w:val="nil"/>
              <w:bottom w:val="nil"/>
            </w:tcBorders>
            <w:shd w:val="clear" w:color="auto" w:fill="auto"/>
          </w:tcPr>
          <w:p w14:paraId="69955D0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(四十四)啟動行動應用程式時，如偵測行動裝置疑似遭破解（如root、jailbreak、USB debugging 等），是否提示使用者注意風險。（適用網際網路下單證券商）</w:t>
            </w:r>
          </w:p>
        </w:tc>
        <w:tc>
          <w:tcPr>
            <w:tcW w:w="2023" w:type="dxa"/>
            <w:vMerge/>
            <w:tcBorders>
              <w:right w:val="single" w:sz="12" w:space="0" w:color="auto"/>
            </w:tcBorders>
            <w:shd w:val="clear" w:color="auto" w:fill="auto"/>
          </w:tcPr>
          <w:p w14:paraId="221DE3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B81EFE" w14:textId="77777777">
        <w:tc>
          <w:tcPr>
            <w:tcW w:w="1384" w:type="dxa"/>
            <w:vMerge/>
            <w:tcBorders>
              <w:left w:val="single" w:sz="12" w:space="0" w:color="auto"/>
            </w:tcBorders>
            <w:shd w:val="clear" w:color="auto" w:fill="auto"/>
          </w:tcPr>
          <w:p w14:paraId="380072C3" w14:textId="77777777" w:rsidR="003B3105" w:rsidRDefault="003B3105" w:rsidP="001E533B">
            <w:pPr>
              <w:rPr>
                <w:rFonts w:ascii="新細明體" w:eastAsia="新細明體" w:hAnsi="新細明體"/>
              </w:rPr>
            </w:pPr>
          </w:p>
        </w:tc>
        <w:tc>
          <w:tcPr>
            <w:tcW w:w="1276" w:type="dxa"/>
            <w:vMerge/>
            <w:shd w:val="clear" w:color="auto" w:fill="auto"/>
          </w:tcPr>
          <w:p w14:paraId="043F7FF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31D6B3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五)涉及投資人使用之行動應用程式於初次上架前及每年是否委由經財團法人全國認證基金會(TAF)認證合格之第三方檢測實驗室進行並完成通過資安檢測，檢測範圍以目的事業主管機關「行動應用APP基本資安檢測基準」項目進行檢測。（適用網際網路下單證券商）</w:t>
            </w:r>
          </w:p>
        </w:tc>
        <w:tc>
          <w:tcPr>
            <w:tcW w:w="5387" w:type="dxa"/>
            <w:tcBorders>
              <w:top w:val="nil"/>
              <w:bottom w:val="nil"/>
            </w:tcBorders>
            <w:shd w:val="clear" w:color="auto" w:fill="auto"/>
          </w:tcPr>
          <w:p w14:paraId="6AA61AA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五)涉及投資人使用之行動應用程式於初次上架前及每年是否委由經財團法人全國認證基金會(TAF)認證合格之第三方檢測實驗室進行並完成通過資安檢測，檢測範圍以目的事業主管機關「行動應用APP基本資安檢測基準」項目進行檢測。（適用網際網路下單證券商）</w:t>
            </w:r>
          </w:p>
        </w:tc>
        <w:tc>
          <w:tcPr>
            <w:tcW w:w="2023" w:type="dxa"/>
            <w:vMerge/>
            <w:tcBorders>
              <w:right w:val="single" w:sz="12" w:space="0" w:color="auto"/>
            </w:tcBorders>
            <w:shd w:val="clear" w:color="auto" w:fill="auto"/>
          </w:tcPr>
          <w:p w14:paraId="015A63E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38D337" w14:textId="77777777">
        <w:tc>
          <w:tcPr>
            <w:tcW w:w="1384" w:type="dxa"/>
            <w:vMerge/>
            <w:tcBorders>
              <w:left w:val="single" w:sz="12" w:space="0" w:color="auto"/>
            </w:tcBorders>
            <w:shd w:val="clear" w:color="auto" w:fill="auto"/>
          </w:tcPr>
          <w:p w14:paraId="4989A9FA" w14:textId="77777777" w:rsidR="003B3105" w:rsidRDefault="003B3105" w:rsidP="001E533B">
            <w:pPr>
              <w:rPr>
                <w:rFonts w:ascii="新細明體" w:eastAsia="新細明體" w:hAnsi="新細明體"/>
              </w:rPr>
            </w:pPr>
          </w:p>
        </w:tc>
        <w:tc>
          <w:tcPr>
            <w:tcW w:w="1276" w:type="dxa"/>
            <w:vMerge/>
            <w:shd w:val="clear" w:color="auto" w:fill="auto"/>
          </w:tcPr>
          <w:p w14:paraId="414AA78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809E07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(四十六)如通過實驗室檢測後一年內有更新上架之需要，是</w:t>
            </w:r>
          </w:p>
        </w:tc>
        <w:tc>
          <w:tcPr>
            <w:tcW w:w="5387" w:type="dxa"/>
            <w:tcBorders>
              <w:top w:val="nil"/>
              <w:bottom w:val="nil"/>
            </w:tcBorders>
            <w:shd w:val="clear" w:color="auto" w:fill="auto"/>
          </w:tcPr>
          <w:p w14:paraId="5DF57A8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(四十六)如通過實驗室檢測後一年內有更新上架之需要，是</w:t>
            </w:r>
          </w:p>
        </w:tc>
        <w:tc>
          <w:tcPr>
            <w:tcW w:w="2023" w:type="dxa"/>
            <w:vMerge/>
            <w:tcBorders>
              <w:right w:val="single" w:sz="12" w:space="0" w:color="auto"/>
            </w:tcBorders>
            <w:shd w:val="clear" w:color="auto" w:fill="auto"/>
          </w:tcPr>
          <w:p w14:paraId="2D69FDC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81A8D5" w14:textId="77777777">
        <w:tc>
          <w:tcPr>
            <w:tcW w:w="1384" w:type="dxa"/>
            <w:vMerge/>
            <w:tcBorders>
              <w:left w:val="single" w:sz="12" w:space="0" w:color="auto"/>
            </w:tcBorders>
            <w:shd w:val="clear" w:color="auto" w:fill="auto"/>
          </w:tcPr>
          <w:p w14:paraId="5D0BD9B8" w14:textId="77777777" w:rsidR="003B3105" w:rsidRDefault="003B3105" w:rsidP="001E533B">
            <w:pPr>
              <w:rPr>
                <w:rFonts w:ascii="新細明體" w:eastAsia="新細明體" w:hAnsi="新細明體"/>
              </w:rPr>
            </w:pPr>
          </w:p>
        </w:tc>
        <w:tc>
          <w:tcPr>
            <w:tcW w:w="1276" w:type="dxa"/>
            <w:vMerge/>
            <w:shd w:val="clear" w:color="auto" w:fill="auto"/>
          </w:tcPr>
          <w:p w14:paraId="2AAC418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D5AE88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否於每次上架前就重大更新項目進行委外或自行檢測；所謂重大更新項目為與「下單交易」、「帳務查詢」及「身份辨識」有關之功能異動。檢測範圍是否以OWASP MOBILE TOP 10之標準為依據，並留存相關檢測紀錄。(適用網際網路下單證券商)</w:t>
            </w:r>
          </w:p>
        </w:tc>
        <w:tc>
          <w:tcPr>
            <w:tcW w:w="5387" w:type="dxa"/>
            <w:tcBorders>
              <w:top w:val="nil"/>
              <w:bottom w:val="nil"/>
            </w:tcBorders>
            <w:shd w:val="clear" w:color="auto" w:fill="auto"/>
          </w:tcPr>
          <w:p w14:paraId="13967E7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否於每次上架前就重大更新項目進行委外或自行檢測；所謂重大更新項目為與「下單交易」、「帳務查詢」及「身份辨識」有關之功能異動。檢測範圍是否以OWASP MOBILE TOP 10之標準為依據，並留存相關檢測紀錄。(適用網際網路下單證券商)</w:t>
            </w:r>
          </w:p>
        </w:tc>
        <w:tc>
          <w:tcPr>
            <w:tcW w:w="2023" w:type="dxa"/>
            <w:vMerge/>
            <w:tcBorders>
              <w:right w:val="single" w:sz="12" w:space="0" w:color="auto"/>
            </w:tcBorders>
            <w:shd w:val="clear" w:color="auto" w:fill="auto"/>
          </w:tcPr>
          <w:p w14:paraId="0F7F9B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24A69A" w14:textId="77777777">
        <w:tc>
          <w:tcPr>
            <w:tcW w:w="1384" w:type="dxa"/>
            <w:vMerge/>
            <w:tcBorders>
              <w:left w:val="single" w:sz="12" w:space="0" w:color="auto"/>
            </w:tcBorders>
            <w:shd w:val="clear" w:color="auto" w:fill="auto"/>
          </w:tcPr>
          <w:p w14:paraId="6236C234" w14:textId="77777777" w:rsidR="003B3105" w:rsidRDefault="003B3105" w:rsidP="001E533B">
            <w:pPr>
              <w:rPr>
                <w:rFonts w:ascii="新細明體" w:eastAsia="新細明體" w:hAnsi="新細明體"/>
              </w:rPr>
            </w:pPr>
          </w:p>
        </w:tc>
        <w:tc>
          <w:tcPr>
            <w:tcW w:w="1276" w:type="dxa"/>
            <w:vMerge/>
            <w:shd w:val="clear" w:color="auto" w:fill="auto"/>
          </w:tcPr>
          <w:p w14:paraId="69C5220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AB737E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(四十七)對第三方檢測實驗室所提交之APP檢測報告，是否建立覆核機制，以確保檢測項目及內容一致，並留存覆核紀錄。（適用網際網路下單證券商）</w:t>
            </w:r>
          </w:p>
        </w:tc>
        <w:tc>
          <w:tcPr>
            <w:tcW w:w="5387" w:type="dxa"/>
            <w:tcBorders>
              <w:top w:val="nil"/>
              <w:bottom w:val="nil"/>
            </w:tcBorders>
            <w:shd w:val="clear" w:color="auto" w:fill="auto"/>
          </w:tcPr>
          <w:p w14:paraId="71E8EFE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(四十七)對第三方檢測實驗室所提交之APP檢測報告，是否建立覆核機制，以確保檢測項目及內容一致，並留存覆核紀錄。（適用網際網路下單證券商）</w:t>
            </w:r>
          </w:p>
        </w:tc>
        <w:tc>
          <w:tcPr>
            <w:tcW w:w="2023" w:type="dxa"/>
            <w:vMerge/>
            <w:tcBorders>
              <w:right w:val="single" w:sz="12" w:space="0" w:color="auto"/>
            </w:tcBorders>
            <w:shd w:val="clear" w:color="auto" w:fill="auto"/>
          </w:tcPr>
          <w:p w14:paraId="1047B6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83B2CF" w14:textId="77777777">
        <w:tc>
          <w:tcPr>
            <w:tcW w:w="1384" w:type="dxa"/>
            <w:vMerge/>
            <w:tcBorders>
              <w:left w:val="single" w:sz="12" w:space="0" w:color="auto"/>
            </w:tcBorders>
            <w:shd w:val="clear" w:color="auto" w:fill="auto"/>
          </w:tcPr>
          <w:p w14:paraId="5B183C02" w14:textId="77777777" w:rsidR="003B3105" w:rsidRDefault="003B3105" w:rsidP="001E533B">
            <w:pPr>
              <w:rPr>
                <w:rFonts w:ascii="新細明體" w:eastAsia="新細明體" w:hAnsi="新細明體"/>
              </w:rPr>
            </w:pPr>
          </w:p>
        </w:tc>
        <w:tc>
          <w:tcPr>
            <w:tcW w:w="1276" w:type="dxa"/>
            <w:vMerge/>
            <w:shd w:val="clear" w:color="auto" w:fill="auto"/>
          </w:tcPr>
          <w:p w14:paraId="4BC2FF4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2C9205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(四十八)是否於發布前檢視應用程式所需權限與提供服務相當，首次發布或權限變動應經資安、法遵單位同意，並留有紀錄，</w:t>
            </w:r>
            <w:r>
              <w:rPr>
                <w:rFonts w:ascii="新細明體" w:eastAsia="新細明體" w:hAnsi="新細明體" w:cs="新細明體" w:hint="eastAsia"/>
              </w:rPr>
              <w:lastRenderedPageBreak/>
              <w:t>以利綜合評估是否符合個人資料保護法之告知義務」。(適用網際網路下單證券商)</w:t>
            </w:r>
          </w:p>
        </w:tc>
        <w:tc>
          <w:tcPr>
            <w:tcW w:w="5387" w:type="dxa"/>
            <w:tcBorders>
              <w:top w:val="nil"/>
              <w:bottom w:val="nil"/>
            </w:tcBorders>
            <w:shd w:val="clear" w:color="auto" w:fill="auto"/>
          </w:tcPr>
          <w:p w14:paraId="48EB5F2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(四十八)是否於發布前檢視應用程式所需權限與提供服務相當，首次發布或權限變動應經資安、法遵單位同意，並留有紀錄，</w:t>
            </w:r>
            <w:r>
              <w:rPr>
                <w:rFonts w:ascii="新細明體" w:eastAsia="新細明體" w:hAnsi="新細明體" w:cs="新細明體" w:hint="eastAsia"/>
              </w:rPr>
              <w:lastRenderedPageBreak/>
              <w:t>以利綜合評估是否符合個人資料保護法之告知義務」。(適用網際網路下單證券商)</w:t>
            </w:r>
          </w:p>
        </w:tc>
        <w:tc>
          <w:tcPr>
            <w:tcW w:w="2023" w:type="dxa"/>
            <w:vMerge/>
            <w:tcBorders>
              <w:right w:val="single" w:sz="12" w:space="0" w:color="auto"/>
            </w:tcBorders>
            <w:shd w:val="clear" w:color="auto" w:fill="auto"/>
          </w:tcPr>
          <w:p w14:paraId="08AD82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55D68F" w14:textId="77777777">
        <w:tc>
          <w:tcPr>
            <w:tcW w:w="1384" w:type="dxa"/>
            <w:vMerge/>
            <w:tcBorders>
              <w:left w:val="single" w:sz="12" w:space="0" w:color="auto"/>
            </w:tcBorders>
            <w:shd w:val="clear" w:color="auto" w:fill="auto"/>
          </w:tcPr>
          <w:p w14:paraId="6E6F6F56" w14:textId="77777777" w:rsidR="003B3105" w:rsidRDefault="003B3105" w:rsidP="001E533B">
            <w:pPr>
              <w:rPr>
                <w:rFonts w:ascii="新細明體" w:eastAsia="新細明體" w:hAnsi="新細明體"/>
              </w:rPr>
            </w:pPr>
          </w:p>
        </w:tc>
        <w:tc>
          <w:tcPr>
            <w:tcW w:w="1276" w:type="dxa"/>
            <w:vMerge/>
            <w:shd w:val="clear" w:color="auto" w:fill="auto"/>
          </w:tcPr>
          <w:p w14:paraId="440F22A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3B1A74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(四十九)委外系統如涉及機敏性資料傳送(如：客戶帳號密碼或交易資料等)是否檢驗相關資料流，傳遞對象之妥適性並留存相關紀錄。</w:t>
            </w:r>
          </w:p>
        </w:tc>
        <w:tc>
          <w:tcPr>
            <w:tcW w:w="5387" w:type="dxa"/>
            <w:tcBorders>
              <w:top w:val="nil"/>
              <w:bottom w:val="nil"/>
            </w:tcBorders>
            <w:shd w:val="clear" w:color="auto" w:fill="auto"/>
          </w:tcPr>
          <w:p w14:paraId="216C231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(四十九)委外系統如涉及機敏性資料傳送(如：客戶帳號密碼或交易資料等)是否檢驗相關資料流，傳遞對象之妥適性並留存相關紀錄。</w:t>
            </w:r>
          </w:p>
        </w:tc>
        <w:tc>
          <w:tcPr>
            <w:tcW w:w="2023" w:type="dxa"/>
            <w:vMerge/>
            <w:tcBorders>
              <w:right w:val="single" w:sz="12" w:space="0" w:color="auto"/>
            </w:tcBorders>
            <w:shd w:val="clear" w:color="auto" w:fill="auto"/>
          </w:tcPr>
          <w:p w14:paraId="4C8C10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26D886" w14:textId="77777777">
        <w:tc>
          <w:tcPr>
            <w:tcW w:w="1384" w:type="dxa"/>
            <w:vMerge/>
            <w:tcBorders>
              <w:left w:val="single" w:sz="12" w:space="0" w:color="auto"/>
            </w:tcBorders>
            <w:shd w:val="clear" w:color="auto" w:fill="auto"/>
          </w:tcPr>
          <w:p w14:paraId="5C14EC9C" w14:textId="77777777" w:rsidR="003B3105" w:rsidRDefault="003B3105" w:rsidP="001E533B">
            <w:pPr>
              <w:rPr>
                <w:rFonts w:ascii="新細明體" w:eastAsia="新細明體" w:hAnsi="新細明體"/>
              </w:rPr>
            </w:pPr>
          </w:p>
        </w:tc>
        <w:tc>
          <w:tcPr>
            <w:tcW w:w="1276" w:type="dxa"/>
            <w:vMerge/>
            <w:shd w:val="clear" w:color="auto" w:fill="auto"/>
          </w:tcPr>
          <w:p w14:paraId="29C6138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EE73F3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(五十)核心系統</w:t>
            </w:r>
            <w:r>
              <w:rPr>
                <w:rFonts w:ascii="新細明體" w:eastAsia="新細明體" w:hAnsi="新細明體" w:cs="新細明體" w:hint="eastAsia"/>
                <w:b/>
                <w:color w:val="FF0000"/>
                <w:u w:val="single"/>
              </w:rPr>
              <w:t>發生錯誤時，</w:t>
            </w:r>
            <w:r>
              <w:rPr>
                <w:rFonts w:ascii="新細明體" w:eastAsia="新細明體" w:hAnsi="新細明體" w:cs="新細明體" w:hint="eastAsia"/>
              </w:rPr>
              <w:t>針對使用者頁面</w:t>
            </w:r>
            <w:r>
              <w:rPr>
                <w:rFonts w:ascii="新細明體" w:eastAsia="新細明體" w:hAnsi="新細明體" w:cs="新細明體" w:hint="eastAsia"/>
                <w:b/>
                <w:color w:val="FF0000"/>
                <w:u w:val="single"/>
              </w:rPr>
              <w:t>是否</w:t>
            </w:r>
            <w:r>
              <w:rPr>
                <w:rFonts w:ascii="新細明體" w:eastAsia="新細明體" w:hAnsi="新細明體" w:cs="新細明體" w:hint="eastAsia"/>
              </w:rPr>
              <w:t>僅顯示簡短錯誤訊息及代碼，不包含詳細之錯誤訊息。</w:t>
            </w:r>
          </w:p>
        </w:tc>
        <w:tc>
          <w:tcPr>
            <w:tcW w:w="5387" w:type="dxa"/>
            <w:tcBorders>
              <w:top w:val="nil"/>
              <w:bottom w:val="nil"/>
            </w:tcBorders>
            <w:shd w:val="clear" w:color="auto" w:fill="auto"/>
          </w:tcPr>
          <w:p w14:paraId="7870E46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(五十)核心系統</w:t>
            </w:r>
            <w:r>
              <w:rPr>
                <w:rFonts w:ascii="新細明體" w:eastAsia="新細明體" w:hAnsi="新細明體" w:cs="新細明體" w:hint="eastAsia"/>
                <w:b/>
                <w:color w:val="FF0000"/>
              </w:rPr>
              <w:t>是否</w:t>
            </w:r>
            <w:r>
              <w:rPr>
                <w:rFonts w:ascii="新細明體" w:eastAsia="新細明體" w:hAnsi="新細明體" w:cs="新細明體" w:hint="eastAsia"/>
              </w:rPr>
              <w:t>針對</w:t>
            </w:r>
            <w:r>
              <w:rPr>
                <w:rFonts w:ascii="新細明體" w:eastAsia="新細明體" w:hAnsi="新細明體" w:cs="新細明體" w:hint="eastAsia"/>
                <w:b/>
                <w:color w:val="FF0000"/>
              </w:rPr>
              <w:t>風險評估</w:t>
            </w:r>
            <w:r>
              <w:rPr>
                <w:rFonts w:ascii="新細明體" w:eastAsia="新細明體" w:hAnsi="新細明體" w:cs="新細明體" w:hint="eastAsia"/>
              </w:rPr>
              <w:t>使用者頁面僅顯示簡短錯誤訊息及代碼，不包含詳細之錯誤訊息。</w:t>
            </w:r>
          </w:p>
        </w:tc>
        <w:tc>
          <w:tcPr>
            <w:tcW w:w="2023" w:type="dxa"/>
            <w:vMerge/>
            <w:tcBorders>
              <w:right w:val="single" w:sz="12" w:space="0" w:color="auto"/>
            </w:tcBorders>
            <w:shd w:val="clear" w:color="auto" w:fill="auto"/>
          </w:tcPr>
          <w:p w14:paraId="1DF7A2A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500D1A" w14:textId="77777777">
        <w:tc>
          <w:tcPr>
            <w:tcW w:w="1384" w:type="dxa"/>
            <w:vMerge/>
            <w:tcBorders>
              <w:left w:val="single" w:sz="12" w:space="0" w:color="auto"/>
            </w:tcBorders>
            <w:shd w:val="clear" w:color="auto" w:fill="auto"/>
          </w:tcPr>
          <w:p w14:paraId="2D4D64F2" w14:textId="77777777" w:rsidR="003B3105" w:rsidRDefault="003B3105" w:rsidP="001E533B">
            <w:pPr>
              <w:rPr>
                <w:rFonts w:ascii="新細明體" w:eastAsia="新細明體" w:hAnsi="新細明體"/>
              </w:rPr>
            </w:pPr>
          </w:p>
        </w:tc>
        <w:tc>
          <w:tcPr>
            <w:tcW w:w="1276" w:type="dxa"/>
            <w:vMerge/>
            <w:shd w:val="clear" w:color="auto" w:fill="auto"/>
          </w:tcPr>
          <w:p w14:paraId="0D2670B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6BE8C9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(五十一)提供網際網路下單服務之核心系統上架前及系統更新時是否執行「源碼掃描」安全檢測。</w:t>
            </w:r>
          </w:p>
        </w:tc>
        <w:tc>
          <w:tcPr>
            <w:tcW w:w="5387" w:type="dxa"/>
            <w:tcBorders>
              <w:top w:val="nil"/>
              <w:bottom w:val="nil"/>
            </w:tcBorders>
            <w:shd w:val="clear" w:color="auto" w:fill="auto"/>
          </w:tcPr>
          <w:p w14:paraId="27248FF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(五十一)提供網際網路下單服務之核心系統上架前及系統更新時是否執行「源碼掃描」安全檢測。</w:t>
            </w:r>
          </w:p>
        </w:tc>
        <w:tc>
          <w:tcPr>
            <w:tcW w:w="2023" w:type="dxa"/>
            <w:vMerge/>
            <w:tcBorders>
              <w:right w:val="single" w:sz="12" w:space="0" w:color="auto"/>
            </w:tcBorders>
            <w:shd w:val="clear" w:color="auto" w:fill="auto"/>
          </w:tcPr>
          <w:p w14:paraId="40B2D98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shd w:val="clear" w:color="auto" w:fill="auto"/>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shd w:val="clear" w:color="auto" w:fill="auto"/>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shd w:val="clear" w:color="auto" w:fill="auto"/>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(五十二)與資訊公司異業合作平台，是否無提供或介接未經金融監督管理委員會許可之證券期貨業者所提供之證券期貨業務（如證券期貨業務有關之開戶及下單功能）。</w:t>
            </w:r>
          </w:p>
        </w:tc>
        <w:tc>
          <w:tcPr>
            <w:tcW w:w="5387" w:type="dxa"/>
            <w:tcBorders>
              <w:top w:val="nil"/>
              <w:bottom w:val="single" w:sz="12" w:space="0" w:color="auto"/>
            </w:tcBorders>
            <w:shd w:val="clear" w:color="auto" w:fill="auto"/>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(五十二)與資訊公司異業合作平台，是否無提供或介接未經金融監督管理委員會許可之證券期貨業者所提供之證券期貨業務（如證券期貨業務有關之開戶及下單功能）。</w:t>
            </w:r>
          </w:p>
        </w:tc>
        <w:tc>
          <w:tcPr>
            <w:tcW w:w="2023" w:type="dxa"/>
            <w:vMerge/>
            <w:tcBorders>
              <w:bottom w:val="single" w:sz="12" w:space="0" w:color="auto"/>
              <w:right w:val="single" w:sz="12" w:space="0" w:color="auto"/>
            </w:tcBorders>
            <w:shd w:val="clear" w:color="auto" w:fill="auto"/>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abstractNumId w:val="8"/>
  </w:num>
  <w:num w:numId="2">
    <w:abstractNumId w:val="7"/>
  </w:num>
  <w:num w:numId="3">
    <w:abstractNumId w:val="13"/>
  </w:num>
  <w:num w:numId="4">
    <w:abstractNumId w:val="0"/>
  </w:num>
  <w:num w:numId="5">
    <w:abstractNumId w:val="11"/>
  </w:num>
  <w:num w:numId="6">
    <w:abstractNumId w:val="2"/>
  </w:num>
  <w:num w:numId="7">
    <w:abstractNumId w:val="4"/>
  </w:num>
  <w:num w:numId="8">
    <w:abstractNumId w:val="12"/>
  </w:num>
  <w:num w:numId="9">
    <w:abstractNumId w:val="16"/>
  </w:num>
  <w:num w:numId="10">
    <w:abstractNumId w:val="5"/>
  </w:num>
  <w:num w:numId="11">
    <w:abstractNumId w:val="17"/>
  </w:num>
  <w:num w:numId="12">
    <w:abstractNumId w:val="6"/>
  </w:num>
  <w:num w:numId="13">
    <w:abstractNumId w:val="1"/>
  </w:num>
  <w:num w:numId="14">
    <w:abstractNumId w:val="14"/>
  </w:num>
  <w:num w:numId="15">
    <w:abstractNumId w:val="15"/>
  </w:num>
  <w:num w:numId="16">
    <w:abstractNumId w:val="19"/>
  </w:num>
  <w:num w:numId="17">
    <w:abstractNumId w:val="18"/>
  </w:num>
  <w:num w:numId="18">
    <w:abstractNumId w:val="9"/>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35B22"/>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942</Words>
  <Characters>5371</Characters>
  <Application>Microsoft Office Word</Application>
  <DocSecurity>0</DocSecurity>
  <Lines>44</Lines>
  <Paragraphs>12</Paragraphs>
  <ScaleCrop>false</ScaleCrop>
  <Company>Hewlett-Packard Company</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謝昌勝</cp:lastModifiedBy>
  <cp:revision>15</cp:revision>
  <cp:lastPrinted>2004-03-09T19:20:00Z</cp:lastPrinted>
  <dcterms:created xsi:type="dcterms:W3CDTF">2025-04-18T10:47:00Z</dcterms:created>
  <dcterms:modified xsi:type="dcterms:W3CDTF">2026-06-25T01:46:00Z</dcterms:modified>
</cp:coreProperties>
</file>