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EB4F3" w14:textId="1E1FFD0A" w:rsidR="00A24FFC" w:rsidRPr="00FB3CAF" w:rsidRDefault="00E87601" w:rsidP="00FB3CAF">
      <w:pPr>
        <w:pStyle w:val="1"/>
        <w:spacing w:line="360" w:lineRule="exact"/>
        <w:rPr>
          <w:rFonts w:ascii="新細明體" w:eastAsia="新細明體" w:hAnsi="新細明體" w:cs="新細明體"/>
          <w:color w:val="000000"/>
        </w:rPr>
      </w:pPr>
      <w:bookmarkStart w:id="0" w:name="Std_Type2"/>
      <w:r w:rsidRPr="00F6439B">
        <w:rPr>
          <w:rFonts w:ascii="新細明體" w:eastAsia="新細明體" w:hAnsi="新細明體" w:cs="新細明體" w:hint="eastAsia"/>
          <w:color w:val="000000"/>
        </w:rPr>
        <w:t>證券商內部控制制度標準規範</w:t>
      </w:r>
      <w:bookmarkEnd w:id="0"/>
      <w:r w:rsidRPr="00F6439B">
        <w:rPr>
          <w:rFonts w:ascii="新細明體" w:eastAsia="新細明體" w:hAnsi="新細明體" w:cs="新細明體" w:hint="eastAsia"/>
          <w:color w:val="000000"/>
        </w:rPr>
        <w:t>─</w:t>
      </w:r>
      <w:r w:rsidR="00D93714" w:rsidRPr="00D93714">
        <w:rPr>
          <w:rFonts w:ascii="新細明體" w:eastAsia="新細明體" w:hAnsi="新細明體" w:cs="新細明體" w:hint="eastAsia"/>
          <w:color w:val="000000"/>
        </w:rPr>
        <w:t>內部稽核實施細則</w:t>
      </w:r>
      <w:r w:rsidRPr="00F6439B">
        <w:rPr>
          <w:rFonts w:ascii="新細明體" w:eastAsia="新細明體" w:hAnsi="新細明體" w:cs="新細明體" w:hint="eastAsia"/>
          <w:color w:val="000000"/>
        </w:rPr>
        <w:t>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276"/>
        <w:gridCol w:w="5386"/>
        <w:gridCol w:w="5387"/>
        <w:gridCol w:w="2023"/>
      </w:tblGrid>
      <w:tr w:rsidR="001E533B" w:rsidRPr="00F6439B" w14:paraId="5B8288D9" w14:textId="77777777" w:rsidTr="004A29F0">
        <w:trPr>
          <w:tblHeader/>
        </w:trPr>
        <w:tc>
          <w:tcPr>
            <w:tcW w:w="1384" w:type="dxa"/>
            <w:tcBorders>
              <w:top w:val="single" w:sz="12" w:space="0" w:color="auto"/>
              <w:left w:val="single" w:sz="12" w:space="0" w:color="auto"/>
              <w:bottom w:val="single" w:sz="12" w:space="0" w:color="auto"/>
            </w:tcBorders>
          </w:tcPr>
          <w:p w14:paraId="6E20BAD9"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78ACF850"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1EBEFB0B"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1FB190B7"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7A098D66"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6F801B14" w14:textId="77777777">
        <w:tc>
          <w:tcPr>
            <w:tcW w:w="1384" w:type="dxa"/>
            <w:vMerge w:val="restart"/>
            <w:tcBorders>
              <w:top w:val="single" w:sz="12" w:space="0" w:color="auto"/>
              <w:left w:val="single" w:sz="12" w:space="0" w:color="auto"/>
            </w:tcBorders>
          </w:tcPr>
          <w:p w14:paraId="39C8E458" w14:textId="3C93645F" w:rsidR="003B3105" w:rsidRPr="00F6439B" w:rsidRDefault="003B3105" w:rsidP="001E533B">
            <w:pPr>
              <w:rPr>
                <w:rFonts w:ascii="新細明體" w:eastAsia="新細明體" w:hAnsi="新細明體"/>
              </w:rPr>
            </w:pPr>
            <w:r>
              <w:rPr>
                <w:rFonts w:ascii="新細明體" w:eastAsia="新細明體" w:hAnsi="新細明體" w:hint="eastAsia"/>
              </w:rPr>
              <w:t>AC-20000</w:t>
            </w:r>
          </w:p>
        </w:tc>
        <w:tc>
          <w:tcPr>
            <w:tcW w:w="1276" w:type="dxa"/>
            <w:vMerge w:val="restart"/>
            <w:tcBorders>
              <w:top w:val="single" w:sz="12" w:space="0" w:color="auto"/>
            </w:tcBorders>
          </w:tcPr>
          <w:p w14:paraId="6AECD2F1" w14:textId="77777777" w:rsidR="003B3105" w:rsidRPr="00F6439B" w:rsidRDefault="003B3105" w:rsidP="001E533B">
            <w:pPr>
              <w:rPr>
                <w:rFonts w:ascii="新細明體" w:eastAsia="新細明體" w:hAnsi="新細明體"/>
              </w:rPr>
            </w:pPr>
            <w:r>
              <w:rPr>
                <w:rFonts w:ascii="新細明體" w:eastAsia="新細明體" w:hAnsi="新細明體" w:hint="eastAsia"/>
              </w:rPr>
              <w:t>營運持續管理之稽核</w:t>
            </w:r>
          </w:p>
          <w:p w14:paraId="32C7DB43" w14:textId="77777777" w:rsidR="003B3105" w:rsidRPr="00F6439B" w:rsidRDefault="003B3105" w:rsidP="001E533B">
            <w:pPr>
              <w:rPr>
                <w:rFonts w:ascii="新細明體" w:eastAsia="新細明體" w:hAnsi="新細明體"/>
              </w:rPr>
            </w:pPr>
            <w:r>
              <w:rPr>
                <w:rFonts w:ascii="新細明體" w:eastAsia="新細明體" w:hAnsi="新細明體" w:hint="eastAsia"/>
              </w:rPr>
              <w:t>目的：</w:t>
            </w:r>
          </w:p>
          <w:p w14:paraId="383379A0" w14:textId="77777777" w:rsidR="003B3105" w:rsidRPr="00F6439B" w:rsidRDefault="003B3105" w:rsidP="001E533B">
            <w:pPr>
              <w:rPr>
                <w:rFonts w:ascii="新細明體" w:eastAsia="新細明體" w:hAnsi="新細明體"/>
              </w:rPr>
            </w:pPr>
            <w:r>
              <w:rPr>
                <w:rFonts w:ascii="新細明體" w:eastAsia="新細明體" w:hAnsi="新細明體" w:hint="eastAsia"/>
              </w:rPr>
              <w:t>確定上述作業是否符合規定辦理</w:t>
            </w:r>
          </w:p>
        </w:tc>
        <w:tc>
          <w:tcPr>
            <w:tcW w:w="5386" w:type="dxa"/>
            <w:tcBorders>
              <w:top w:val="single" w:sz="12" w:space="0" w:color="auto"/>
              <w:bottom w:val="nil"/>
            </w:tcBorders>
          </w:tcPr>
          <w:p w14:paraId="1A6552A0"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不定期（每半年至少查核乙次）</w:t>
            </w:r>
          </w:p>
        </w:tc>
        <w:tc>
          <w:tcPr>
            <w:tcW w:w="5387" w:type="dxa"/>
            <w:tcBorders>
              <w:top w:val="single" w:sz="12" w:space="0" w:color="auto"/>
              <w:bottom w:val="nil"/>
            </w:tcBorders>
          </w:tcPr>
          <w:p w14:paraId="3C1F8D55"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不定期（每半年至少查核乙次）</w:t>
            </w:r>
          </w:p>
        </w:tc>
        <w:tc>
          <w:tcPr>
            <w:tcW w:w="2023" w:type="dxa"/>
            <w:vMerge w:val="restart"/>
            <w:tcBorders>
              <w:top w:val="single" w:sz="12" w:space="0" w:color="auto"/>
              <w:right w:val="single" w:sz="12" w:space="0" w:color="auto"/>
            </w:tcBorders>
          </w:tcPr>
          <w:p w14:paraId="217DBB1D" w14:textId="1F89E96C" w:rsidR="003B3105" w:rsidRPr="00F6439B" w:rsidRDefault="0021183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1.</w:t>
            </w:r>
            <w:r>
              <w:rPr>
                <w:rFonts w:hint="eastAsia"/>
              </w:rPr>
              <w:t xml:space="preserve"> </w:t>
            </w:r>
            <w:r w:rsidRPr="00C56BA4">
              <w:rPr>
                <w:rFonts w:ascii="新細明體" w:eastAsia="新細明體" w:hAnsi="新細明體" w:cs="Times New Roman"/>
                <w:color w:val="FF0000"/>
                <w:spacing w:val="20"/>
                <w:szCs w:val="20"/>
                <w:u w:val="single"/>
              </w:rPr>
              <w:t>原條文(</w:t>
            </w:r>
            <w:r>
              <w:rPr>
                <w:rFonts w:ascii="新細明體" w:eastAsia="新細明體" w:hAnsi="新細明體" w:cs="Times New Roman" w:hint="eastAsia"/>
                <w:color w:val="FF0000"/>
                <w:spacing w:val="20"/>
                <w:szCs w:val="20"/>
                <w:u w:val="single"/>
              </w:rPr>
              <w:t>八</w:t>
            </w:r>
            <w:r w:rsidRPr="00C56BA4">
              <w:rPr>
                <w:rFonts w:ascii="新細明體" w:eastAsia="新細明體" w:hAnsi="新細明體" w:cs="Times New Roman"/>
                <w:color w:val="FF0000"/>
                <w:spacing w:val="20"/>
                <w:szCs w:val="20"/>
                <w:u w:val="single"/>
              </w:rPr>
              <w:t>)前移至(</w:t>
            </w:r>
            <w:r>
              <w:rPr>
                <w:rFonts w:ascii="新細明體" w:eastAsia="新細明體" w:hAnsi="新細明體" w:cs="Times New Roman" w:hint="eastAsia"/>
                <w:color w:val="FF0000"/>
                <w:spacing w:val="20"/>
                <w:szCs w:val="20"/>
                <w:u w:val="single"/>
              </w:rPr>
              <w:t>七</w:t>
            </w:r>
            <w:r w:rsidRPr="00C56BA4">
              <w:rPr>
                <w:rFonts w:ascii="新細明體" w:eastAsia="新細明體" w:hAnsi="新細明體" w:cs="Times New Roman"/>
                <w:color w:val="FF0000"/>
                <w:spacing w:val="20"/>
                <w:szCs w:val="20"/>
                <w:u w:val="single"/>
              </w:rPr>
              <w:t>)，</w:t>
            </w:r>
            <w:r w:rsidRPr="00343663">
              <w:rPr>
                <w:rFonts w:ascii="新細明體" w:eastAsia="新細明體" w:hAnsi="新細明體" w:cs="Times New Roman"/>
                <w:color w:val="FF0000"/>
                <w:spacing w:val="20"/>
                <w:szCs w:val="20"/>
                <w:u w:val="single"/>
              </w:rPr>
              <w:t>增訂辦理頻率每年至少一次</w:t>
            </w:r>
            <w:r>
              <w:rPr>
                <w:rFonts w:ascii="新細明體" w:eastAsia="新細明體" w:hAnsi="新細明體" w:cs="Times New Roman" w:hint="eastAsia"/>
                <w:color w:val="FF0000"/>
                <w:spacing w:val="20"/>
                <w:szCs w:val="20"/>
                <w:u w:val="single"/>
              </w:rPr>
              <w:t>，</w:t>
            </w:r>
            <w:r w:rsidR="00CE7C73" w:rsidRPr="00CE7C73">
              <w:rPr>
                <w:rFonts w:ascii="新細明體" w:eastAsia="新細明體" w:hAnsi="新細明體" w:cs="Times New Roman"/>
                <w:color w:val="FF0000"/>
                <w:spacing w:val="20"/>
                <w:szCs w:val="20"/>
                <w:u w:val="single"/>
              </w:rPr>
              <w:t>並</w:t>
            </w:r>
            <w:r>
              <w:rPr>
                <w:rFonts w:ascii="新細明體" w:eastAsia="新細明體" w:hAnsi="新細明體" w:cs="Times New Roman" w:hint="eastAsia"/>
                <w:color w:val="FF0000"/>
                <w:spacing w:val="20"/>
                <w:szCs w:val="20"/>
                <w:u w:val="single"/>
              </w:rPr>
              <w:t>調整用字一致性； 2.原條文(七)後移至(八)，</w:t>
            </w:r>
            <w:r w:rsidRPr="00343663">
              <w:rPr>
                <w:rFonts w:ascii="新細明體" w:eastAsia="新細明體" w:hAnsi="新細明體" w:cs="Times New Roman" w:hint="eastAsia"/>
                <w:color w:val="FF0000"/>
                <w:spacing w:val="20"/>
                <w:szCs w:val="20"/>
                <w:u w:val="single"/>
              </w:rPr>
              <w:t>為維持營運韌性</w:t>
            </w:r>
            <w:r w:rsidRPr="00E25C55">
              <w:rPr>
                <w:rFonts w:ascii="新細明體" w:eastAsia="新細明體" w:hAnsi="新細明體" w:cs="Times New Roman" w:hint="eastAsia"/>
                <w:color w:val="FF0000"/>
                <w:spacing w:val="20"/>
                <w:szCs w:val="20"/>
                <w:u w:val="single"/>
              </w:rPr>
              <w:t>，擴大異地備援機房建置範圍至</w:t>
            </w:r>
            <w:r w:rsidRPr="00E25C55">
              <w:rPr>
                <w:rFonts w:ascii="新細明體" w:eastAsia="新細明體" w:hAnsi="新細明體" w:cs="Times New Roman"/>
                <w:color w:val="FF0000"/>
                <w:spacing w:val="20"/>
                <w:szCs w:val="20"/>
                <w:u w:val="single"/>
              </w:rPr>
              <w:t>對營運具重大影響之前端交易系統、中台等核心系統</w:t>
            </w:r>
            <w:r>
              <w:rPr>
                <w:rFonts w:ascii="新細明體" w:eastAsia="新細明體" w:hAnsi="新細明體" w:cs="Times New Roman" w:hint="eastAsia"/>
                <w:color w:val="FF0000"/>
                <w:spacing w:val="20"/>
                <w:szCs w:val="20"/>
                <w:u w:val="single"/>
              </w:rPr>
              <w:t>； 3.增訂週期性演練規定</w:t>
            </w:r>
          </w:p>
        </w:tc>
      </w:tr>
      <w:tr w:rsidR="003B3105" w:rsidRPr="00F6439B" w14:paraId="2BC6EC63" w14:textId="77777777">
        <w:tc>
          <w:tcPr>
            <w:tcW w:w="1384" w:type="dxa"/>
            <w:vMerge/>
            <w:tcBorders>
              <w:left w:val="single" w:sz="12" w:space="0" w:color="auto"/>
            </w:tcBorders>
          </w:tcPr>
          <w:p w14:paraId="209BBC6A" w14:textId="77777777" w:rsidR="003B3105" w:rsidRDefault="003B3105" w:rsidP="001E533B">
            <w:pPr>
              <w:rPr>
                <w:rFonts w:ascii="新細明體" w:eastAsia="新細明體" w:hAnsi="新細明體"/>
              </w:rPr>
            </w:pPr>
          </w:p>
        </w:tc>
        <w:tc>
          <w:tcPr>
            <w:tcW w:w="1276" w:type="dxa"/>
            <w:vMerge/>
          </w:tcPr>
          <w:p w14:paraId="1197E296" w14:textId="77777777" w:rsidR="003B3105" w:rsidRDefault="003B3105" w:rsidP="001E533B">
            <w:pPr>
              <w:rPr>
                <w:rFonts w:ascii="新細明體" w:eastAsia="新細明體" w:hAnsi="新細明體"/>
              </w:rPr>
            </w:pPr>
          </w:p>
        </w:tc>
        <w:tc>
          <w:tcPr>
            <w:tcW w:w="5386" w:type="dxa"/>
            <w:tcBorders>
              <w:top w:val="nil"/>
              <w:bottom w:val="nil"/>
            </w:tcBorders>
          </w:tcPr>
          <w:p w14:paraId="0ADC5130" w14:textId="19549BD4"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(一)故障復原程序（例如：電腦設備、通訊設備、電力系統、資料庫、電腦作業系統等備援及回復計畫）是否明確訂定，並製成文件。</w:t>
            </w:r>
          </w:p>
        </w:tc>
        <w:tc>
          <w:tcPr>
            <w:tcW w:w="5387" w:type="dxa"/>
            <w:tcBorders>
              <w:top w:val="nil"/>
              <w:bottom w:val="nil"/>
            </w:tcBorders>
          </w:tcPr>
          <w:p w14:paraId="412356DC" w14:textId="5DEAC3E5"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(一)故障復原程序（例如：電腦設備、通訊設備、電力系統、資料庫、電腦作業系統等備援及回復計畫）是否明確訂定，並製成文件。</w:t>
            </w:r>
          </w:p>
        </w:tc>
        <w:tc>
          <w:tcPr>
            <w:tcW w:w="2023" w:type="dxa"/>
            <w:vMerge/>
            <w:tcBorders>
              <w:right w:val="single" w:sz="12" w:space="0" w:color="auto"/>
            </w:tcBorders>
          </w:tcPr>
          <w:p w14:paraId="03C8072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E4D3505" w14:textId="77777777">
        <w:tc>
          <w:tcPr>
            <w:tcW w:w="1384" w:type="dxa"/>
            <w:vMerge/>
            <w:tcBorders>
              <w:left w:val="single" w:sz="12" w:space="0" w:color="auto"/>
            </w:tcBorders>
          </w:tcPr>
          <w:p w14:paraId="29CDB243" w14:textId="77777777" w:rsidR="003B3105" w:rsidRDefault="003B3105" w:rsidP="001E533B">
            <w:pPr>
              <w:rPr>
                <w:rFonts w:ascii="新細明體" w:eastAsia="新細明體" w:hAnsi="新細明體"/>
              </w:rPr>
            </w:pPr>
          </w:p>
        </w:tc>
        <w:tc>
          <w:tcPr>
            <w:tcW w:w="1276" w:type="dxa"/>
            <w:vMerge/>
          </w:tcPr>
          <w:p w14:paraId="533C8496" w14:textId="77777777" w:rsidR="003B3105" w:rsidRDefault="003B3105" w:rsidP="001E533B">
            <w:pPr>
              <w:rPr>
                <w:rFonts w:ascii="新細明體" w:eastAsia="新細明體" w:hAnsi="新細明體"/>
              </w:rPr>
            </w:pPr>
          </w:p>
        </w:tc>
        <w:tc>
          <w:tcPr>
            <w:tcW w:w="5386" w:type="dxa"/>
            <w:tcBorders>
              <w:top w:val="nil"/>
              <w:bottom w:val="nil"/>
            </w:tcBorders>
          </w:tcPr>
          <w:p w14:paraId="53B75CF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(二)故障復原程序是否週期性測試，測試後是否召開檢討會議，針對測試缺失謀求改進，並留存紀錄</w:t>
            </w:r>
          </w:p>
        </w:tc>
        <w:tc>
          <w:tcPr>
            <w:tcW w:w="5387" w:type="dxa"/>
            <w:tcBorders>
              <w:top w:val="nil"/>
              <w:bottom w:val="nil"/>
            </w:tcBorders>
          </w:tcPr>
          <w:p w14:paraId="3C7532FD"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(二)故障復原程序是否週期性測試，測試後是否召開檢討會議，針對測試缺失謀求改進，並留存紀錄</w:t>
            </w:r>
          </w:p>
        </w:tc>
        <w:tc>
          <w:tcPr>
            <w:tcW w:w="2023" w:type="dxa"/>
            <w:vMerge/>
            <w:tcBorders>
              <w:right w:val="single" w:sz="12" w:space="0" w:color="auto"/>
            </w:tcBorders>
          </w:tcPr>
          <w:p w14:paraId="7731D88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5EA0442" w14:textId="77777777">
        <w:tc>
          <w:tcPr>
            <w:tcW w:w="1384" w:type="dxa"/>
            <w:vMerge/>
            <w:tcBorders>
              <w:left w:val="single" w:sz="12" w:space="0" w:color="auto"/>
            </w:tcBorders>
          </w:tcPr>
          <w:p w14:paraId="02F7E9A5" w14:textId="77777777" w:rsidR="003B3105" w:rsidRDefault="003B3105" w:rsidP="001E533B">
            <w:pPr>
              <w:rPr>
                <w:rFonts w:ascii="新細明體" w:eastAsia="新細明體" w:hAnsi="新細明體"/>
              </w:rPr>
            </w:pPr>
          </w:p>
        </w:tc>
        <w:tc>
          <w:tcPr>
            <w:tcW w:w="1276" w:type="dxa"/>
            <w:vMerge/>
          </w:tcPr>
          <w:p w14:paraId="7BCB16D6" w14:textId="77777777" w:rsidR="003B3105" w:rsidRDefault="003B3105" w:rsidP="001E533B">
            <w:pPr>
              <w:rPr>
                <w:rFonts w:ascii="新細明體" w:eastAsia="新細明體" w:hAnsi="新細明體"/>
              </w:rPr>
            </w:pPr>
          </w:p>
        </w:tc>
        <w:tc>
          <w:tcPr>
            <w:tcW w:w="5386" w:type="dxa"/>
            <w:tcBorders>
              <w:top w:val="nil"/>
              <w:bottom w:val="nil"/>
            </w:tcBorders>
          </w:tcPr>
          <w:p w14:paraId="3937FCEA" w14:textId="76121A41"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w:t>
            </w:r>
            <w:r w:rsidR="008F51D8" w:rsidRPr="008F51D8">
              <w:rPr>
                <w:rFonts w:ascii="新細明體" w:eastAsia="新細明體" w:hAnsi="新細明體" w:cs="新細明體" w:hint="eastAsia"/>
                <w:b/>
                <w:bCs/>
                <w:color w:val="FF0000"/>
                <w:u w:val="single"/>
              </w:rPr>
              <w:t>公司是否</w:t>
            </w:r>
            <w:r w:rsidR="008F51D8" w:rsidRPr="008F51D8">
              <w:rPr>
                <w:rFonts w:ascii="新細明體" w:eastAsia="新細明體" w:hAnsi="新細明體" w:cs="新細明體"/>
                <w:b/>
                <w:bCs/>
                <w:color w:val="FF0000"/>
                <w:u w:val="single"/>
              </w:rPr>
              <w:t>每年至少</w:t>
            </w:r>
            <w:r w:rsidR="00DE6124" w:rsidRPr="008F51D8">
              <w:rPr>
                <w:rFonts w:ascii="新細明體" w:eastAsia="新細明體" w:hAnsi="新細明體" w:cs="新細明體" w:hint="eastAsia"/>
                <w:b/>
                <w:bCs/>
                <w:color w:val="FF0000"/>
                <w:u w:val="single"/>
              </w:rPr>
              <w:t>執行</w:t>
            </w:r>
            <w:r w:rsidR="008F51D8" w:rsidRPr="008F51D8">
              <w:rPr>
                <w:rFonts w:ascii="新細明體" w:eastAsia="新細明體" w:hAnsi="新細明體" w:cs="新細明體"/>
                <w:b/>
                <w:bCs/>
                <w:color w:val="FF0000"/>
                <w:u w:val="single"/>
              </w:rPr>
              <w:t>一次</w:t>
            </w:r>
            <w:r w:rsidR="008F51D8" w:rsidRPr="008F51D8">
              <w:rPr>
                <w:rFonts w:ascii="新細明體" w:eastAsia="新細明體" w:hAnsi="新細明體" w:cs="新細明體" w:hint="eastAsia"/>
                <w:b/>
                <w:bCs/>
                <w:color w:val="FF0000"/>
                <w:u w:val="single"/>
              </w:rPr>
              <w:t>營運衝擊分析，評估核心系統可容忍中斷時間、復原時間目標（RTO）、資料復原點目標（RPO ），並擬訂營運持續計畫（含起動條件、參與人員、緊急程序、備援程序、維護時間表、教育訓練、職責說明、往來外單位之應變規劃及合約適當性等）及其必要之維護，依其所屬資安分級定期辦理業務持續運作演練，且是否視演練範圍是否涉及第三方，邀請相關廠商參與演練。網際網路下單證券商應依經紀業務規模市占率暨自然人客戶數比率分級，訂定核心系統可容忍中斷時間。</w:t>
            </w:r>
          </w:p>
        </w:tc>
        <w:tc>
          <w:tcPr>
            <w:tcW w:w="5387" w:type="dxa"/>
            <w:tcBorders>
              <w:top w:val="nil"/>
              <w:bottom w:val="nil"/>
            </w:tcBorders>
          </w:tcPr>
          <w:p w14:paraId="33EE8070" w14:textId="77777777" w:rsidR="003B3105" w:rsidRPr="008F51D8" w:rsidRDefault="0027008E" w:rsidP="003B3105">
            <w:pPr>
              <w:spacing w:line="360" w:lineRule="exact"/>
              <w:ind w:left="429" w:hangingChars="165" w:hanging="429"/>
              <w:rPr>
                <w:rFonts w:ascii="新細明體" w:eastAsia="新細明體" w:hAnsi="新細明體" w:cs="新細明體"/>
                <w:b/>
                <w:bCs/>
                <w:color w:val="FF0000"/>
              </w:rPr>
            </w:pPr>
            <w:r w:rsidRPr="008F51D8">
              <w:rPr>
                <w:rFonts w:ascii="新細明體" w:eastAsia="新細明體" w:hAnsi="新細明體" w:cs="新細明體" w:hint="eastAsia"/>
                <w:b/>
                <w:bCs/>
                <w:color w:val="FF0000"/>
              </w:rPr>
              <w:t>(三)公司（證券經紀商）之交易主機是否有備援措施，並依所屬資安分級建置異地備援機房。</w:t>
            </w:r>
          </w:p>
        </w:tc>
        <w:tc>
          <w:tcPr>
            <w:tcW w:w="2023" w:type="dxa"/>
            <w:vMerge/>
            <w:tcBorders>
              <w:right w:val="single" w:sz="12" w:space="0" w:color="auto"/>
            </w:tcBorders>
          </w:tcPr>
          <w:p w14:paraId="5FC223F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57AD13A" w14:textId="77777777">
        <w:tc>
          <w:tcPr>
            <w:tcW w:w="1384" w:type="dxa"/>
            <w:vMerge/>
            <w:tcBorders>
              <w:left w:val="single" w:sz="12" w:space="0" w:color="auto"/>
            </w:tcBorders>
          </w:tcPr>
          <w:p w14:paraId="6DB22FCA" w14:textId="77777777" w:rsidR="003B3105" w:rsidRDefault="003B3105" w:rsidP="001E533B">
            <w:pPr>
              <w:rPr>
                <w:rFonts w:ascii="新細明體" w:eastAsia="新細明體" w:hAnsi="新細明體"/>
              </w:rPr>
            </w:pPr>
          </w:p>
        </w:tc>
        <w:tc>
          <w:tcPr>
            <w:tcW w:w="1276" w:type="dxa"/>
            <w:vMerge/>
          </w:tcPr>
          <w:p w14:paraId="67E05416" w14:textId="77777777" w:rsidR="003B3105" w:rsidRDefault="003B3105" w:rsidP="001E533B">
            <w:pPr>
              <w:rPr>
                <w:rFonts w:ascii="新細明體" w:eastAsia="新細明體" w:hAnsi="新細明體"/>
              </w:rPr>
            </w:pPr>
          </w:p>
        </w:tc>
        <w:tc>
          <w:tcPr>
            <w:tcW w:w="5386" w:type="dxa"/>
            <w:tcBorders>
              <w:top w:val="nil"/>
              <w:bottom w:val="nil"/>
            </w:tcBorders>
          </w:tcPr>
          <w:p w14:paraId="2406CC00" w14:textId="642DB29B"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w:t>
            </w:r>
            <w:r w:rsidR="008F51D8" w:rsidRPr="00FF6E35">
              <w:rPr>
                <w:rFonts w:ascii="新細明體" w:eastAsia="新細明體" w:hAnsi="新細明體" w:cs="新細明體" w:hint="eastAsia"/>
                <w:b/>
                <w:bCs/>
                <w:color w:val="FF0000"/>
                <w:u w:val="single"/>
              </w:rPr>
              <w:t>公司（證券經紀商）</w:t>
            </w:r>
            <w:r w:rsidR="008F51D8">
              <w:rPr>
                <w:rFonts w:ascii="新細明體" w:eastAsia="新細明體" w:hAnsi="新細明體" w:hint="eastAsia"/>
                <w:b/>
                <w:bCs/>
                <w:color w:val="FF0000"/>
                <w:u w:val="single"/>
              </w:rPr>
              <w:t>是否</w:t>
            </w:r>
            <w:r w:rsidR="008F51D8" w:rsidRPr="00A74151">
              <w:rPr>
                <w:rFonts w:ascii="新細明體" w:eastAsia="新細明體" w:hAnsi="新細明體" w:hint="eastAsia"/>
                <w:b/>
                <w:bCs/>
                <w:color w:val="FF0000"/>
                <w:u w:val="single"/>
              </w:rPr>
              <w:t>依所屬資安分級建置異地備援機房，並依營運衝擊分析結果於異地備援機房建置對營運具重大影響之核心系統。</w:t>
            </w:r>
            <w:r w:rsidR="00840168" w:rsidRPr="00840168">
              <w:rPr>
                <w:rFonts w:ascii="新細明體" w:eastAsia="新細明體" w:hAnsi="新細明體"/>
                <w:b/>
                <w:bCs/>
                <w:color w:val="FF0000"/>
                <w:u w:val="single"/>
              </w:rPr>
              <w:t>(</w:t>
            </w:r>
            <w:r w:rsidR="00840168" w:rsidRPr="00840168">
              <w:rPr>
                <w:rFonts w:ascii="新細明體" w:eastAsia="新細明體" w:hAnsi="新細明體" w:hint="eastAsia"/>
                <w:b/>
                <w:bCs/>
                <w:color w:val="FF0000"/>
                <w:u w:val="single"/>
              </w:rPr>
              <w:t>註：</w:t>
            </w:r>
            <w:r w:rsidR="00840168" w:rsidRPr="00840168">
              <w:rPr>
                <w:rFonts w:ascii="新細明體" w:eastAsia="新細明體" w:hAnsi="新細明體"/>
                <w:b/>
                <w:bCs/>
                <w:color w:val="FF0000"/>
                <w:u w:val="single"/>
              </w:rPr>
              <w:t>異地備援機房</w:t>
            </w:r>
            <w:r w:rsidR="00840168" w:rsidRPr="00840168">
              <w:rPr>
                <w:rFonts w:ascii="新細明體" w:eastAsia="新細明體" w:hAnsi="新細明體" w:hint="eastAsia"/>
                <w:b/>
                <w:bCs/>
                <w:color w:val="FF0000"/>
                <w:u w:val="single"/>
              </w:rPr>
              <w:t>建置範圍</w:t>
            </w:r>
            <w:r w:rsidR="00840168" w:rsidRPr="00840168">
              <w:rPr>
                <w:rFonts w:ascii="新細明體" w:eastAsia="新細明體" w:hAnsi="新細明體"/>
                <w:b/>
                <w:bCs/>
                <w:color w:val="FF0000"/>
                <w:u w:val="single"/>
              </w:rPr>
              <w:t>由交易主機擴大至對營運具重大影響之核</w:t>
            </w:r>
            <w:r w:rsidR="00840168" w:rsidRPr="00840168">
              <w:rPr>
                <w:rFonts w:ascii="新細明體" w:eastAsia="新細明體" w:hAnsi="新細明體"/>
                <w:b/>
                <w:bCs/>
                <w:color w:val="FF0000"/>
                <w:u w:val="single"/>
              </w:rPr>
              <w:lastRenderedPageBreak/>
              <w:t>心系統，自116年12月底生效。)</w:t>
            </w:r>
          </w:p>
        </w:tc>
        <w:tc>
          <w:tcPr>
            <w:tcW w:w="5387" w:type="dxa"/>
            <w:tcBorders>
              <w:top w:val="nil"/>
              <w:bottom w:val="nil"/>
            </w:tcBorders>
          </w:tcPr>
          <w:p w14:paraId="33CCE714" w14:textId="77777777" w:rsidR="003B3105" w:rsidRPr="008F51D8" w:rsidRDefault="0027008E" w:rsidP="003B3105">
            <w:pPr>
              <w:spacing w:line="360" w:lineRule="exact"/>
              <w:ind w:left="429" w:hangingChars="165" w:hanging="429"/>
              <w:rPr>
                <w:rFonts w:ascii="新細明體" w:eastAsia="新細明體" w:hAnsi="新細明體" w:cs="新細明體"/>
                <w:b/>
                <w:bCs/>
                <w:color w:val="FF0000"/>
              </w:rPr>
            </w:pPr>
            <w:r w:rsidRPr="008F51D8">
              <w:rPr>
                <w:rFonts w:ascii="新細明體" w:eastAsia="新細明體" w:hAnsi="新細明體" w:cs="新細明體" w:hint="eastAsia"/>
                <w:b/>
                <w:bCs/>
                <w:color w:val="FF0000"/>
              </w:rPr>
              <w:lastRenderedPageBreak/>
              <w:t>(四)公司是否執行營運衝擊分析，評估核心系統可容忍中斷時間、復原時間目標（RTO）、資料復原點目標（RPO），並擬訂營運持續計畫（含起動條件、參與人員、緊急程序、備援程序、維護時間表、教育</w:t>
            </w:r>
            <w:r w:rsidRPr="008F51D8">
              <w:rPr>
                <w:rFonts w:ascii="新細明體" w:eastAsia="新細明體" w:hAnsi="新細明體" w:cs="新細明體" w:hint="eastAsia"/>
                <w:b/>
                <w:bCs/>
                <w:color w:val="FF0000"/>
              </w:rPr>
              <w:lastRenderedPageBreak/>
              <w:t>訓練、職責說明、往來外單位之應變規劃及合約適當性等）及其必要之維護，依其所屬資安分級定期辦理業務持續運作演練，且是否視演練範圍是否涉及第三方，邀請相關廠商參與演練。網路下單證券商是否依經紀業務規模市占率暨自然人客戶數比率分級，訂定核心系統可容忍中斷時間。</w:t>
            </w:r>
          </w:p>
        </w:tc>
        <w:tc>
          <w:tcPr>
            <w:tcW w:w="2023" w:type="dxa"/>
            <w:vMerge/>
            <w:tcBorders>
              <w:right w:val="single" w:sz="12" w:space="0" w:color="auto"/>
            </w:tcBorders>
          </w:tcPr>
          <w:p w14:paraId="56C9C44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2A0F278" w14:textId="77777777">
        <w:tc>
          <w:tcPr>
            <w:tcW w:w="1384" w:type="dxa"/>
            <w:vMerge/>
            <w:tcBorders>
              <w:left w:val="single" w:sz="12" w:space="0" w:color="auto"/>
            </w:tcBorders>
          </w:tcPr>
          <w:p w14:paraId="23B948DB" w14:textId="77777777" w:rsidR="003B3105" w:rsidRDefault="003B3105" w:rsidP="001E533B">
            <w:pPr>
              <w:rPr>
                <w:rFonts w:ascii="新細明體" w:eastAsia="新細明體" w:hAnsi="新細明體"/>
              </w:rPr>
            </w:pPr>
          </w:p>
        </w:tc>
        <w:tc>
          <w:tcPr>
            <w:tcW w:w="1276" w:type="dxa"/>
            <w:vMerge/>
          </w:tcPr>
          <w:p w14:paraId="162CC889" w14:textId="77777777" w:rsidR="003B3105" w:rsidRDefault="003B3105" w:rsidP="001E533B">
            <w:pPr>
              <w:rPr>
                <w:rFonts w:ascii="新細明體" w:eastAsia="新細明體" w:hAnsi="新細明體"/>
              </w:rPr>
            </w:pPr>
          </w:p>
        </w:tc>
        <w:tc>
          <w:tcPr>
            <w:tcW w:w="5386" w:type="dxa"/>
            <w:tcBorders>
              <w:top w:val="nil"/>
              <w:bottom w:val="nil"/>
            </w:tcBorders>
          </w:tcPr>
          <w:p w14:paraId="4F15F47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(五)公司是否訂定資訊安全訊息通報機制。</w:t>
            </w:r>
          </w:p>
        </w:tc>
        <w:tc>
          <w:tcPr>
            <w:tcW w:w="5387" w:type="dxa"/>
            <w:tcBorders>
              <w:top w:val="nil"/>
              <w:bottom w:val="nil"/>
            </w:tcBorders>
          </w:tcPr>
          <w:p w14:paraId="1850DBD1"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(五)公司是否訂定資訊安全訊息通報機制。</w:t>
            </w:r>
          </w:p>
        </w:tc>
        <w:tc>
          <w:tcPr>
            <w:tcW w:w="2023" w:type="dxa"/>
            <w:vMerge/>
            <w:tcBorders>
              <w:right w:val="single" w:sz="12" w:space="0" w:color="auto"/>
            </w:tcBorders>
          </w:tcPr>
          <w:p w14:paraId="710D9F3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CF6ED98" w14:textId="77777777">
        <w:tc>
          <w:tcPr>
            <w:tcW w:w="1384" w:type="dxa"/>
            <w:vMerge/>
            <w:tcBorders>
              <w:left w:val="single" w:sz="12" w:space="0" w:color="auto"/>
            </w:tcBorders>
          </w:tcPr>
          <w:p w14:paraId="6382AD26" w14:textId="77777777" w:rsidR="003B3105" w:rsidRDefault="003B3105" w:rsidP="001E533B">
            <w:pPr>
              <w:rPr>
                <w:rFonts w:ascii="新細明體" w:eastAsia="新細明體" w:hAnsi="新細明體"/>
              </w:rPr>
            </w:pPr>
          </w:p>
        </w:tc>
        <w:tc>
          <w:tcPr>
            <w:tcW w:w="1276" w:type="dxa"/>
            <w:vMerge/>
          </w:tcPr>
          <w:p w14:paraId="2739768E" w14:textId="77777777" w:rsidR="003B3105" w:rsidRDefault="003B3105" w:rsidP="001E533B">
            <w:pPr>
              <w:rPr>
                <w:rFonts w:ascii="新細明體" w:eastAsia="新細明體" w:hAnsi="新細明體"/>
              </w:rPr>
            </w:pPr>
          </w:p>
        </w:tc>
        <w:tc>
          <w:tcPr>
            <w:tcW w:w="5386" w:type="dxa"/>
            <w:tcBorders>
              <w:top w:val="nil"/>
              <w:bottom w:val="nil"/>
            </w:tcBorders>
          </w:tcPr>
          <w:p w14:paraId="6285E0B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公司針對與資通系統有關之資訊安全或服務異常事件，是否依「證券期貨市場資通安全事件通報應變作業注意事項」及「證券商通報重大資安事件之範圍申報程序及其他應遵循事項」辦理，並採取適當矯正程序，留存紀錄。</w:t>
            </w:r>
          </w:p>
        </w:tc>
        <w:tc>
          <w:tcPr>
            <w:tcW w:w="5387" w:type="dxa"/>
            <w:tcBorders>
              <w:top w:val="nil"/>
              <w:bottom w:val="nil"/>
            </w:tcBorders>
          </w:tcPr>
          <w:p w14:paraId="450A3F4B"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公司針對與資通系統有關之資訊安全或服務異常事件，是否依「證券期貨市場資通安全事件通報應變作業注意事項」及「證券商通報重大資安事件之範圍申報程序及其他應遵循事項」辦理，並採取適當矯正程序，留存紀錄。</w:t>
            </w:r>
          </w:p>
        </w:tc>
        <w:tc>
          <w:tcPr>
            <w:tcW w:w="2023" w:type="dxa"/>
            <w:vMerge/>
            <w:tcBorders>
              <w:right w:val="single" w:sz="12" w:space="0" w:color="auto"/>
            </w:tcBorders>
          </w:tcPr>
          <w:p w14:paraId="352AFB4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B9E49FB" w14:textId="77777777">
        <w:tc>
          <w:tcPr>
            <w:tcW w:w="1384" w:type="dxa"/>
            <w:vMerge/>
            <w:tcBorders>
              <w:left w:val="single" w:sz="12" w:space="0" w:color="auto"/>
            </w:tcBorders>
          </w:tcPr>
          <w:p w14:paraId="3805C466" w14:textId="77777777" w:rsidR="003B3105" w:rsidRDefault="003B3105" w:rsidP="001E533B">
            <w:pPr>
              <w:rPr>
                <w:rFonts w:ascii="新細明體" w:eastAsia="新細明體" w:hAnsi="新細明體"/>
              </w:rPr>
            </w:pPr>
          </w:p>
        </w:tc>
        <w:tc>
          <w:tcPr>
            <w:tcW w:w="1276" w:type="dxa"/>
            <w:vMerge/>
          </w:tcPr>
          <w:p w14:paraId="504C5146" w14:textId="77777777" w:rsidR="003B3105" w:rsidRDefault="003B3105" w:rsidP="001E533B">
            <w:pPr>
              <w:rPr>
                <w:rFonts w:ascii="新細明體" w:eastAsia="新細明體" w:hAnsi="新細明體"/>
              </w:rPr>
            </w:pPr>
          </w:p>
        </w:tc>
        <w:tc>
          <w:tcPr>
            <w:tcW w:w="5386" w:type="dxa"/>
            <w:tcBorders>
              <w:top w:val="nil"/>
              <w:bottom w:val="nil"/>
            </w:tcBorders>
          </w:tcPr>
          <w:p w14:paraId="1AD6CA91"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(七)公司發生個人資料之竊取、竄改、毀損、滅失、或洩漏等資安事故者，是否立即函報證交所(或櫃檯買賣中心、券商公會)轉陳主管機關。</w:t>
            </w:r>
          </w:p>
        </w:tc>
        <w:tc>
          <w:tcPr>
            <w:tcW w:w="5387" w:type="dxa"/>
            <w:tcBorders>
              <w:top w:val="nil"/>
              <w:bottom w:val="nil"/>
            </w:tcBorders>
          </w:tcPr>
          <w:p w14:paraId="3D25D1E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(七)公司發生個人資料之竊取、竄改、毀損、滅失、或洩漏等資安事故者，是否立即函報證交所(或櫃檯買賣中心、券商公會)轉陳主管機關。</w:t>
            </w:r>
          </w:p>
        </w:tc>
        <w:tc>
          <w:tcPr>
            <w:tcW w:w="2023" w:type="dxa"/>
            <w:vMerge/>
            <w:tcBorders>
              <w:right w:val="single" w:sz="12" w:space="0" w:color="auto"/>
            </w:tcBorders>
          </w:tcPr>
          <w:p w14:paraId="6EF156D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15B3A4E" w14:textId="77777777">
        <w:tc>
          <w:tcPr>
            <w:tcW w:w="1384" w:type="dxa"/>
            <w:vMerge/>
            <w:tcBorders>
              <w:left w:val="single" w:sz="12" w:space="0" w:color="auto"/>
            </w:tcBorders>
          </w:tcPr>
          <w:p w14:paraId="4288F907" w14:textId="77777777" w:rsidR="003B3105" w:rsidRDefault="003B3105" w:rsidP="001E533B">
            <w:pPr>
              <w:rPr>
                <w:rFonts w:ascii="新細明體" w:eastAsia="新細明體" w:hAnsi="新細明體"/>
              </w:rPr>
            </w:pPr>
          </w:p>
        </w:tc>
        <w:tc>
          <w:tcPr>
            <w:tcW w:w="1276" w:type="dxa"/>
            <w:vMerge/>
          </w:tcPr>
          <w:p w14:paraId="1BC64907" w14:textId="77777777" w:rsidR="003B3105" w:rsidRDefault="003B3105" w:rsidP="001E533B">
            <w:pPr>
              <w:rPr>
                <w:rFonts w:ascii="新細明體" w:eastAsia="新細明體" w:hAnsi="新細明體"/>
              </w:rPr>
            </w:pPr>
          </w:p>
        </w:tc>
        <w:tc>
          <w:tcPr>
            <w:tcW w:w="5386" w:type="dxa"/>
            <w:tcBorders>
              <w:top w:val="nil"/>
              <w:bottom w:val="nil"/>
            </w:tcBorders>
          </w:tcPr>
          <w:p w14:paraId="20EC4FF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(八)公司是否明確訂定分散式阻斷服務攻擊(DDoS)防禦與應變作業程序</w:t>
            </w:r>
            <w:r>
              <w:rPr>
                <w:rFonts w:ascii="新細明體" w:eastAsia="新細明體" w:hAnsi="新細明體" w:cs="新細明體" w:hint="eastAsia"/>
                <w:b/>
                <w:color w:val="FF0000"/>
                <w:u w:val="single"/>
              </w:rPr>
              <w:t>，並是否每年進行演練</w:t>
            </w:r>
            <w:r>
              <w:rPr>
                <w:rFonts w:ascii="新細明體" w:eastAsia="新細明體" w:hAnsi="新細明體" w:cs="新細明體" w:hint="eastAsia"/>
              </w:rPr>
              <w:t>。</w:t>
            </w:r>
          </w:p>
        </w:tc>
        <w:tc>
          <w:tcPr>
            <w:tcW w:w="5387" w:type="dxa"/>
            <w:tcBorders>
              <w:top w:val="nil"/>
              <w:bottom w:val="nil"/>
            </w:tcBorders>
          </w:tcPr>
          <w:p w14:paraId="24C44F9C"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(八)公司是否明確訂定分散式阻斷服務攻擊(DDoS)防禦與應變作業程序。</w:t>
            </w:r>
          </w:p>
        </w:tc>
        <w:tc>
          <w:tcPr>
            <w:tcW w:w="2023" w:type="dxa"/>
            <w:vMerge/>
            <w:tcBorders>
              <w:right w:val="single" w:sz="12" w:space="0" w:color="auto"/>
            </w:tcBorders>
          </w:tcPr>
          <w:p w14:paraId="1A2ED2D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5C89D87" w14:textId="77777777">
        <w:tc>
          <w:tcPr>
            <w:tcW w:w="1384" w:type="dxa"/>
            <w:vMerge/>
            <w:tcBorders>
              <w:left w:val="single" w:sz="12" w:space="0" w:color="auto"/>
            </w:tcBorders>
          </w:tcPr>
          <w:p w14:paraId="73D87EA6" w14:textId="77777777" w:rsidR="003B3105" w:rsidRDefault="003B3105" w:rsidP="001E533B">
            <w:pPr>
              <w:rPr>
                <w:rFonts w:ascii="新細明體" w:eastAsia="新細明體" w:hAnsi="新細明體"/>
              </w:rPr>
            </w:pPr>
          </w:p>
        </w:tc>
        <w:tc>
          <w:tcPr>
            <w:tcW w:w="1276" w:type="dxa"/>
            <w:vMerge/>
          </w:tcPr>
          <w:p w14:paraId="537FAEF9" w14:textId="77777777" w:rsidR="003B3105" w:rsidRDefault="003B3105" w:rsidP="001E533B">
            <w:pPr>
              <w:rPr>
                <w:rFonts w:ascii="新細明體" w:eastAsia="新細明體" w:hAnsi="新細明體"/>
              </w:rPr>
            </w:pPr>
          </w:p>
        </w:tc>
        <w:tc>
          <w:tcPr>
            <w:tcW w:w="5386" w:type="dxa"/>
            <w:tcBorders>
              <w:top w:val="nil"/>
              <w:bottom w:val="nil"/>
            </w:tcBorders>
          </w:tcPr>
          <w:p w14:paraId="64686C4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(九)公司是否辦理下列資安防護事宜：</w:t>
            </w:r>
          </w:p>
        </w:tc>
        <w:tc>
          <w:tcPr>
            <w:tcW w:w="5387" w:type="dxa"/>
            <w:tcBorders>
              <w:top w:val="nil"/>
              <w:bottom w:val="nil"/>
            </w:tcBorders>
          </w:tcPr>
          <w:p w14:paraId="150F009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(九)公司是否辦理下列資安防護事宜：</w:t>
            </w:r>
          </w:p>
        </w:tc>
        <w:tc>
          <w:tcPr>
            <w:tcW w:w="2023" w:type="dxa"/>
            <w:vMerge/>
            <w:tcBorders>
              <w:right w:val="single" w:sz="12" w:space="0" w:color="auto"/>
            </w:tcBorders>
          </w:tcPr>
          <w:p w14:paraId="7B96730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E2CAFBE" w14:textId="77777777">
        <w:tc>
          <w:tcPr>
            <w:tcW w:w="1384" w:type="dxa"/>
            <w:vMerge/>
            <w:tcBorders>
              <w:left w:val="single" w:sz="12" w:space="0" w:color="auto"/>
            </w:tcBorders>
          </w:tcPr>
          <w:p w14:paraId="0C501BCA" w14:textId="77777777" w:rsidR="003B3105" w:rsidRDefault="003B3105" w:rsidP="001E533B">
            <w:pPr>
              <w:rPr>
                <w:rFonts w:ascii="新細明體" w:eastAsia="新細明體" w:hAnsi="新細明體"/>
              </w:rPr>
            </w:pPr>
          </w:p>
        </w:tc>
        <w:tc>
          <w:tcPr>
            <w:tcW w:w="1276" w:type="dxa"/>
            <w:vMerge/>
          </w:tcPr>
          <w:p w14:paraId="7846BC64" w14:textId="77777777" w:rsidR="003B3105" w:rsidRDefault="003B3105" w:rsidP="001E533B">
            <w:pPr>
              <w:rPr>
                <w:rFonts w:ascii="新細明體" w:eastAsia="新細明體" w:hAnsi="新細明體"/>
              </w:rPr>
            </w:pPr>
          </w:p>
        </w:tc>
        <w:tc>
          <w:tcPr>
            <w:tcW w:w="5386" w:type="dxa"/>
            <w:tcBorders>
              <w:top w:val="nil"/>
              <w:bottom w:val="nil"/>
            </w:tcBorders>
          </w:tcPr>
          <w:p w14:paraId="4CB6486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1.指定人員及部門統籌並協調聯繫各有關部門。</w:t>
            </w:r>
          </w:p>
        </w:tc>
        <w:tc>
          <w:tcPr>
            <w:tcW w:w="5387" w:type="dxa"/>
            <w:tcBorders>
              <w:top w:val="nil"/>
              <w:bottom w:val="nil"/>
            </w:tcBorders>
          </w:tcPr>
          <w:p w14:paraId="08039B6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1.指定人員及部門統籌並協調聯繫各有關部門。</w:t>
            </w:r>
          </w:p>
        </w:tc>
        <w:tc>
          <w:tcPr>
            <w:tcW w:w="2023" w:type="dxa"/>
            <w:vMerge/>
            <w:tcBorders>
              <w:right w:val="single" w:sz="12" w:space="0" w:color="auto"/>
            </w:tcBorders>
          </w:tcPr>
          <w:p w14:paraId="0D6DF3B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AADCBED" w14:textId="77777777">
        <w:tc>
          <w:tcPr>
            <w:tcW w:w="1384" w:type="dxa"/>
            <w:vMerge/>
            <w:tcBorders>
              <w:left w:val="single" w:sz="12" w:space="0" w:color="auto"/>
            </w:tcBorders>
          </w:tcPr>
          <w:p w14:paraId="235EDF32" w14:textId="77777777" w:rsidR="003B3105" w:rsidRDefault="003B3105" w:rsidP="001E533B">
            <w:pPr>
              <w:rPr>
                <w:rFonts w:ascii="新細明體" w:eastAsia="新細明體" w:hAnsi="新細明體"/>
              </w:rPr>
            </w:pPr>
          </w:p>
        </w:tc>
        <w:tc>
          <w:tcPr>
            <w:tcW w:w="1276" w:type="dxa"/>
            <w:vMerge/>
          </w:tcPr>
          <w:p w14:paraId="09A54C78" w14:textId="77777777" w:rsidR="003B3105" w:rsidRDefault="003B3105" w:rsidP="001E533B">
            <w:pPr>
              <w:rPr>
                <w:rFonts w:ascii="新細明體" w:eastAsia="新細明體" w:hAnsi="新細明體"/>
              </w:rPr>
            </w:pPr>
          </w:p>
        </w:tc>
        <w:tc>
          <w:tcPr>
            <w:tcW w:w="5386" w:type="dxa"/>
            <w:tcBorders>
              <w:top w:val="nil"/>
              <w:bottom w:val="nil"/>
            </w:tcBorders>
          </w:tcPr>
          <w:p w14:paraId="2573602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2.定期評估核心營運系統及設備，對評估結果採取適當措施，並提報董事會，以確</w:t>
            </w:r>
            <w:r>
              <w:rPr>
                <w:rFonts w:ascii="新細明體" w:eastAsia="新細明體" w:hAnsi="新細明體" w:cs="新細明體" w:hint="eastAsia"/>
              </w:rPr>
              <w:lastRenderedPageBreak/>
              <w:t>保營運持續及作業韌性之能力。</w:t>
            </w:r>
          </w:p>
        </w:tc>
        <w:tc>
          <w:tcPr>
            <w:tcW w:w="5387" w:type="dxa"/>
            <w:tcBorders>
              <w:top w:val="nil"/>
              <w:bottom w:val="nil"/>
            </w:tcBorders>
          </w:tcPr>
          <w:p w14:paraId="563B7ED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2.定期評估核心營運系統及設備，對評估結果採取適當措施，並提報董事會，以確</w:t>
            </w:r>
            <w:r>
              <w:rPr>
                <w:rFonts w:ascii="新細明體" w:eastAsia="新細明體" w:hAnsi="新細明體" w:cs="新細明體" w:hint="eastAsia"/>
              </w:rPr>
              <w:lastRenderedPageBreak/>
              <w:t>保營運持續及作業韌性之能力。</w:t>
            </w:r>
          </w:p>
        </w:tc>
        <w:tc>
          <w:tcPr>
            <w:tcW w:w="2023" w:type="dxa"/>
            <w:vMerge/>
            <w:tcBorders>
              <w:right w:val="single" w:sz="12" w:space="0" w:color="auto"/>
            </w:tcBorders>
          </w:tcPr>
          <w:p w14:paraId="437F034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4D82E00" w14:textId="77777777">
        <w:tc>
          <w:tcPr>
            <w:tcW w:w="1384" w:type="dxa"/>
            <w:vMerge/>
            <w:tcBorders>
              <w:left w:val="single" w:sz="12" w:space="0" w:color="auto"/>
            </w:tcBorders>
          </w:tcPr>
          <w:p w14:paraId="78753D14" w14:textId="77777777" w:rsidR="003B3105" w:rsidRDefault="003B3105" w:rsidP="001E533B">
            <w:pPr>
              <w:rPr>
                <w:rFonts w:ascii="新細明體" w:eastAsia="新細明體" w:hAnsi="新細明體"/>
              </w:rPr>
            </w:pPr>
          </w:p>
        </w:tc>
        <w:tc>
          <w:tcPr>
            <w:tcW w:w="1276" w:type="dxa"/>
            <w:vMerge/>
          </w:tcPr>
          <w:p w14:paraId="44B51D61" w14:textId="77777777" w:rsidR="003B3105" w:rsidRDefault="003B3105" w:rsidP="001E533B">
            <w:pPr>
              <w:rPr>
                <w:rFonts w:ascii="新細明體" w:eastAsia="新細明體" w:hAnsi="新細明體"/>
              </w:rPr>
            </w:pPr>
          </w:p>
        </w:tc>
        <w:tc>
          <w:tcPr>
            <w:tcW w:w="5386" w:type="dxa"/>
            <w:tcBorders>
              <w:top w:val="nil"/>
              <w:bottom w:val="nil"/>
            </w:tcBorders>
          </w:tcPr>
          <w:p w14:paraId="7334E87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3.於永續報告書、年報、財務報告或公司網站，揭露年度內公司持續核心營運系統及設備營運所需之資源及落實於年度預算或教育訓練計畫等項目。</w:t>
            </w:r>
          </w:p>
        </w:tc>
        <w:tc>
          <w:tcPr>
            <w:tcW w:w="5387" w:type="dxa"/>
            <w:tcBorders>
              <w:top w:val="nil"/>
              <w:bottom w:val="nil"/>
            </w:tcBorders>
          </w:tcPr>
          <w:p w14:paraId="4FC7932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3.於永續報告書、年報、財務報告或公司網站，揭露年度內公司持續核心營運系統及設備營運所需之資源及落實於年度預算或教育訓練計畫等項目。</w:t>
            </w:r>
          </w:p>
        </w:tc>
        <w:tc>
          <w:tcPr>
            <w:tcW w:w="2023" w:type="dxa"/>
            <w:vMerge/>
            <w:tcBorders>
              <w:right w:val="single" w:sz="12" w:space="0" w:color="auto"/>
            </w:tcBorders>
          </w:tcPr>
          <w:p w14:paraId="3664D1F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FEC3D35" w14:textId="77777777">
        <w:tc>
          <w:tcPr>
            <w:tcW w:w="1384" w:type="dxa"/>
            <w:vMerge/>
            <w:tcBorders>
              <w:left w:val="single" w:sz="12" w:space="0" w:color="auto"/>
            </w:tcBorders>
          </w:tcPr>
          <w:p w14:paraId="04698919" w14:textId="77777777" w:rsidR="003B3105" w:rsidRDefault="003B3105" w:rsidP="001E533B">
            <w:pPr>
              <w:rPr>
                <w:rFonts w:ascii="新細明體" w:eastAsia="新細明體" w:hAnsi="新細明體"/>
              </w:rPr>
            </w:pPr>
          </w:p>
        </w:tc>
        <w:tc>
          <w:tcPr>
            <w:tcW w:w="1276" w:type="dxa"/>
            <w:vMerge/>
          </w:tcPr>
          <w:p w14:paraId="5FBD486A" w14:textId="77777777" w:rsidR="003B3105" w:rsidRDefault="003B3105" w:rsidP="001E533B">
            <w:pPr>
              <w:rPr>
                <w:rFonts w:ascii="新細明體" w:eastAsia="新細明體" w:hAnsi="新細明體"/>
              </w:rPr>
            </w:pPr>
          </w:p>
        </w:tc>
        <w:tc>
          <w:tcPr>
            <w:tcW w:w="5386" w:type="dxa"/>
            <w:tcBorders>
              <w:top w:val="nil"/>
              <w:bottom w:val="nil"/>
            </w:tcBorders>
          </w:tcPr>
          <w:p w14:paraId="7B8FFD85"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(十)公司是否辨識風險情境，就各項風險情境當災害發生造成資訊作業異常或中斷時，擬定各系統之應變、減災或復原措施 相關作業流程。</w:t>
            </w:r>
          </w:p>
        </w:tc>
        <w:tc>
          <w:tcPr>
            <w:tcW w:w="5387" w:type="dxa"/>
            <w:tcBorders>
              <w:top w:val="nil"/>
              <w:bottom w:val="nil"/>
            </w:tcBorders>
          </w:tcPr>
          <w:p w14:paraId="5DFDD08D"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(十)公司是否辨識風險情境，就各項風險情境當災害發生造成資訊作業異常或中斷時，擬定各系統之應變、減災或復原措施 相關作業流程。</w:t>
            </w:r>
          </w:p>
        </w:tc>
        <w:tc>
          <w:tcPr>
            <w:tcW w:w="2023" w:type="dxa"/>
            <w:vMerge/>
            <w:tcBorders>
              <w:right w:val="single" w:sz="12" w:space="0" w:color="auto"/>
            </w:tcBorders>
          </w:tcPr>
          <w:p w14:paraId="6D36872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DF0EB9C" w14:textId="77777777">
        <w:tc>
          <w:tcPr>
            <w:tcW w:w="1384" w:type="dxa"/>
            <w:vMerge/>
            <w:tcBorders>
              <w:left w:val="single" w:sz="12" w:space="0" w:color="auto"/>
            </w:tcBorders>
          </w:tcPr>
          <w:p w14:paraId="04F50A47" w14:textId="77777777" w:rsidR="003B3105" w:rsidRDefault="003B3105" w:rsidP="001E533B">
            <w:pPr>
              <w:rPr>
                <w:rFonts w:ascii="新細明體" w:eastAsia="新細明體" w:hAnsi="新細明體"/>
              </w:rPr>
            </w:pPr>
          </w:p>
        </w:tc>
        <w:tc>
          <w:tcPr>
            <w:tcW w:w="1276" w:type="dxa"/>
            <w:vMerge/>
          </w:tcPr>
          <w:p w14:paraId="4797E81C" w14:textId="77777777" w:rsidR="003B3105" w:rsidRDefault="003B3105" w:rsidP="001E533B">
            <w:pPr>
              <w:rPr>
                <w:rFonts w:ascii="新細明體" w:eastAsia="新細明體" w:hAnsi="新細明體"/>
              </w:rPr>
            </w:pPr>
          </w:p>
        </w:tc>
        <w:tc>
          <w:tcPr>
            <w:tcW w:w="5386" w:type="dxa"/>
            <w:tcBorders>
              <w:top w:val="nil"/>
              <w:bottom w:val="nil"/>
            </w:tcBorders>
          </w:tcPr>
          <w:p w14:paraId="29B05B5B"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(十一)核心系統原服務中斷時，是否於可容忍時間內，由備援設備或其他方式取代並提供服務。</w:t>
            </w:r>
          </w:p>
        </w:tc>
        <w:tc>
          <w:tcPr>
            <w:tcW w:w="5387" w:type="dxa"/>
            <w:tcBorders>
              <w:top w:val="nil"/>
              <w:bottom w:val="nil"/>
            </w:tcBorders>
          </w:tcPr>
          <w:p w14:paraId="6DAD7C16"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(十一)核心系統原服務中斷時，是否於可容忍時間內，由備援設備或其他方式取代並提供服務。</w:t>
            </w:r>
          </w:p>
        </w:tc>
        <w:tc>
          <w:tcPr>
            <w:tcW w:w="2023" w:type="dxa"/>
            <w:vMerge/>
            <w:tcBorders>
              <w:right w:val="single" w:sz="12" w:space="0" w:color="auto"/>
            </w:tcBorders>
          </w:tcPr>
          <w:p w14:paraId="337E438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ABF765" w14:textId="77777777">
        <w:tc>
          <w:tcPr>
            <w:tcW w:w="1384" w:type="dxa"/>
            <w:vMerge/>
            <w:tcBorders>
              <w:left w:val="single" w:sz="12" w:space="0" w:color="auto"/>
              <w:bottom w:val="single" w:sz="12" w:space="0" w:color="auto"/>
            </w:tcBorders>
          </w:tcPr>
          <w:p w14:paraId="0967528F" w14:textId="77777777" w:rsidR="003B3105" w:rsidRDefault="003B3105" w:rsidP="001E533B">
            <w:pPr>
              <w:rPr>
                <w:rFonts w:ascii="新細明體" w:eastAsia="新細明體" w:hAnsi="新細明體"/>
              </w:rPr>
            </w:pPr>
          </w:p>
        </w:tc>
        <w:tc>
          <w:tcPr>
            <w:tcW w:w="1276" w:type="dxa"/>
            <w:vMerge/>
            <w:tcBorders>
              <w:bottom w:val="single" w:sz="12" w:space="0" w:color="auto"/>
            </w:tcBorders>
          </w:tcPr>
          <w:p w14:paraId="5BD6DB17" w14:textId="77777777" w:rsidR="003B3105" w:rsidRDefault="003B3105" w:rsidP="001E533B">
            <w:pPr>
              <w:rPr>
                <w:rFonts w:ascii="新細明體" w:eastAsia="新細明體" w:hAnsi="新細明體"/>
              </w:rPr>
            </w:pPr>
          </w:p>
        </w:tc>
        <w:tc>
          <w:tcPr>
            <w:tcW w:w="5386" w:type="dxa"/>
            <w:tcBorders>
              <w:top w:val="nil"/>
              <w:bottom w:val="single" w:sz="12" w:space="0" w:color="auto"/>
            </w:tcBorders>
          </w:tcPr>
          <w:p w14:paraId="5C9FE276" w14:textId="126A04A8" w:rsidR="003B3105" w:rsidRPr="0068743F" w:rsidRDefault="0027008E" w:rsidP="0027008E">
            <w:pPr>
              <w:ind w:left="702" w:hangingChars="270" w:hanging="702"/>
              <w:rPr>
                <w:rFonts w:ascii="新細明體" w:eastAsia="新細明體" w:hAnsi="新細明體" w:cs="新細明體"/>
              </w:rPr>
            </w:pPr>
            <w:r>
              <w:rPr>
                <w:rFonts w:ascii="新細明體" w:eastAsia="新細明體" w:hAnsi="新細明體" w:cs="新細明體" w:hint="eastAsia"/>
              </w:rPr>
              <w:t>(十二)公司資訊委外作業如涉及核心資通系統與資通服務，資訊服務供應商是否定期提供資通系統與資通服務之回復計畫(如災難復原計畫、備援演練、營運持續計畫等)。</w:t>
            </w:r>
          </w:p>
        </w:tc>
        <w:tc>
          <w:tcPr>
            <w:tcW w:w="5387" w:type="dxa"/>
            <w:tcBorders>
              <w:top w:val="nil"/>
              <w:bottom w:val="single" w:sz="12" w:space="0" w:color="auto"/>
            </w:tcBorders>
          </w:tcPr>
          <w:p w14:paraId="7CBFB24A" w14:textId="08415A0E" w:rsidR="003B3105" w:rsidRPr="00F6439B" w:rsidRDefault="0027008E" w:rsidP="0027008E">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(十二)公司資訊委外作業如涉及核心資通系統與資通服務，資訊服務供應商是否定期提供資通系統與資通服務之回復計畫(如災難復原計畫、備援演練、營運持續計畫等)。</w:t>
            </w:r>
          </w:p>
        </w:tc>
        <w:tc>
          <w:tcPr>
            <w:tcW w:w="2023" w:type="dxa"/>
            <w:vMerge/>
            <w:tcBorders>
              <w:bottom w:val="single" w:sz="12" w:space="0" w:color="auto"/>
              <w:right w:val="single" w:sz="12" w:space="0" w:color="auto"/>
            </w:tcBorders>
          </w:tcPr>
          <w:p w14:paraId="6127B0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16C7968A" w14:textId="77777777" w:rsidR="00E87601" w:rsidRPr="00FB3CAF" w:rsidRDefault="00E87601">
      <w:pPr>
        <w:spacing w:line="360" w:lineRule="exact"/>
        <w:rPr>
          <w:rFonts w:ascii="新細明體" w:eastAsia="新細明體" w:hAnsi="新細明體" w:cs="Times New Roman"/>
        </w:rPr>
      </w:pPr>
    </w:p>
    <w:sectPr w:rsidR="00E87601" w:rsidRPr="00FB3CAF"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B82D1" w14:textId="77777777" w:rsidR="00154020" w:rsidRDefault="00154020" w:rsidP="00E87601">
      <w:pPr>
        <w:spacing w:line="240" w:lineRule="auto"/>
      </w:pPr>
      <w:r>
        <w:separator/>
      </w:r>
    </w:p>
  </w:endnote>
  <w:endnote w:type="continuationSeparator" w:id="0">
    <w:p w14:paraId="0EA00608" w14:textId="77777777" w:rsidR="00154020" w:rsidRDefault="00154020"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B4082" w14:textId="77777777" w:rsidR="00154020" w:rsidRDefault="00154020" w:rsidP="00E87601">
      <w:pPr>
        <w:spacing w:line="240" w:lineRule="auto"/>
      </w:pPr>
      <w:r>
        <w:separator/>
      </w:r>
    </w:p>
  </w:footnote>
  <w:footnote w:type="continuationSeparator" w:id="0">
    <w:p w14:paraId="1274DB1A" w14:textId="77777777" w:rsidR="00154020" w:rsidRDefault="00154020"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abstractNumId w:val="8"/>
  </w:num>
  <w:num w:numId="2">
    <w:abstractNumId w:val="7"/>
  </w:num>
  <w:num w:numId="3">
    <w:abstractNumId w:val="13"/>
  </w:num>
  <w:num w:numId="4">
    <w:abstractNumId w:val="0"/>
  </w:num>
  <w:num w:numId="5">
    <w:abstractNumId w:val="11"/>
  </w:num>
  <w:num w:numId="6">
    <w:abstractNumId w:val="2"/>
  </w:num>
  <w:num w:numId="7">
    <w:abstractNumId w:val="4"/>
  </w:num>
  <w:num w:numId="8">
    <w:abstractNumId w:val="12"/>
  </w:num>
  <w:num w:numId="9">
    <w:abstractNumId w:val="16"/>
  </w:num>
  <w:num w:numId="10">
    <w:abstractNumId w:val="5"/>
  </w:num>
  <w:num w:numId="11">
    <w:abstractNumId w:val="17"/>
  </w:num>
  <w:num w:numId="12">
    <w:abstractNumId w:val="6"/>
  </w:num>
  <w:num w:numId="13">
    <w:abstractNumId w:val="1"/>
  </w:num>
  <w:num w:numId="14">
    <w:abstractNumId w:val="14"/>
  </w:num>
  <w:num w:numId="15">
    <w:abstractNumId w:val="15"/>
  </w:num>
  <w:num w:numId="16">
    <w:abstractNumId w:val="19"/>
  </w:num>
  <w:num w:numId="17">
    <w:abstractNumId w:val="18"/>
  </w:num>
  <w:num w:numId="18">
    <w:abstractNumId w:val="9"/>
  </w:num>
  <w:num w:numId="19">
    <w:abstractNumId w:val="3"/>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doNotTrackMoves/>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7601"/>
    <w:rsid w:val="000220A3"/>
    <w:rsid w:val="0003737B"/>
    <w:rsid w:val="0004302B"/>
    <w:rsid w:val="0006487C"/>
    <w:rsid w:val="00081A5A"/>
    <w:rsid w:val="000852F4"/>
    <w:rsid w:val="000E2E57"/>
    <w:rsid w:val="001132A5"/>
    <w:rsid w:val="00115946"/>
    <w:rsid w:val="00154020"/>
    <w:rsid w:val="00155D75"/>
    <w:rsid w:val="00161B02"/>
    <w:rsid w:val="001643B7"/>
    <w:rsid w:val="00164EC3"/>
    <w:rsid w:val="001812B0"/>
    <w:rsid w:val="001C0745"/>
    <w:rsid w:val="001E533B"/>
    <w:rsid w:val="00200AE8"/>
    <w:rsid w:val="00211835"/>
    <w:rsid w:val="00216524"/>
    <w:rsid w:val="00216A6E"/>
    <w:rsid w:val="002300E4"/>
    <w:rsid w:val="0025567C"/>
    <w:rsid w:val="0027008E"/>
    <w:rsid w:val="002B6B5B"/>
    <w:rsid w:val="002B7B8A"/>
    <w:rsid w:val="002D3036"/>
    <w:rsid w:val="002D3AE3"/>
    <w:rsid w:val="0030176E"/>
    <w:rsid w:val="0030391B"/>
    <w:rsid w:val="003042D6"/>
    <w:rsid w:val="0031289E"/>
    <w:rsid w:val="00320C3C"/>
    <w:rsid w:val="0032634F"/>
    <w:rsid w:val="00354E9A"/>
    <w:rsid w:val="00360CA1"/>
    <w:rsid w:val="003757E9"/>
    <w:rsid w:val="003948F0"/>
    <w:rsid w:val="003B3105"/>
    <w:rsid w:val="003B5A2D"/>
    <w:rsid w:val="003B7480"/>
    <w:rsid w:val="003B7771"/>
    <w:rsid w:val="003C4C66"/>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7095C"/>
    <w:rsid w:val="005716CE"/>
    <w:rsid w:val="0057303B"/>
    <w:rsid w:val="00587858"/>
    <w:rsid w:val="00590586"/>
    <w:rsid w:val="005A67E0"/>
    <w:rsid w:val="005B5700"/>
    <w:rsid w:val="005D293B"/>
    <w:rsid w:val="005E48B0"/>
    <w:rsid w:val="005E77C1"/>
    <w:rsid w:val="0061624E"/>
    <w:rsid w:val="00622D10"/>
    <w:rsid w:val="00651DC4"/>
    <w:rsid w:val="00654915"/>
    <w:rsid w:val="00667311"/>
    <w:rsid w:val="006736A2"/>
    <w:rsid w:val="00677A71"/>
    <w:rsid w:val="006862FE"/>
    <w:rsid w:val="0068743F"/>
    <w:rsid w:val="006906B7"/>
    <w:rsid w:val="006C109E"/>
    <w:rsid w:val="006E7D9E"/>
    <w:rsid w:val="00731EBA"/>
    <w:rsid w:val="0073748C"/>
    <w:rsid w:val="007631C0"/>
    <w:rsid w:val="00764CFE"/>
    <w:rsid w:val="007772E0"/>
    <w:rsid w:val="00787829"/>
    <w:rsid w:val="00797F9C"/>
    <w:rsid w:val="007A7FE5"/>
    <w:rsid w:val="007C280B"/>
    <w:rsid w:val="007C39F2"/>
    <w:rsid w:val="007D05DD"/>
    <w:rsid w:val="007E1E63"/>
    <w:rsid w:val="00820A8B"/>
    <w:rsid w:val="00826565"/>
    <w:rsid w:val="00840168"/>
    <w:rsid w:val="00894FE6"/>
    <w:rsid w:val="008F01FF"/>
    <w:rsid w:val="008F51D8"/>
    <w:rsid w:val="008F7C66"/>
    <w:rsid w:val="009017D2"/>
    <w:rsid w:val="00910034"/>
    <w:rsid w:val="009149AD"/>
    <w:rsid w:val="009210DF"/>
    <w:rsid w:val="00927933"/>
    <w:rsid w:val="00955B62"/>
    <w:rsid w:val="00970E02"/>
    <w:rsid w:val="00973423"/>
    <w:rsid w:val="00977DDF"/>
    <w:rsid w:val="009805CF"/>
    <w:rsid w:val="009C3809"/>
    <w:rsid w:val="009C653F"/>
    <w:rsid w:val="009E5975"/>
    <w:rsid w:val="009F093C"/>
    <w:rsid w:val="00A10FAE"/>
    <w:rsid w:val="00A24FFC"/>
    <w:rsid w:val="00A327CE"/>
    <w:rsid w:val="00A505EE"/>
    <w:rsid w:val="00A5751A"/>
    <w:rsid w:val="00A669C2"/>
    <w:rsid w:val="00A7490F"/>
    <w:rsid w:val="00A943E4"/>
    <w:rsid w:val="00AD1920"/>
    <w:rsid w:val="00AD7183"/>
    <w:rsid w:val="00B24B03"/>
    <w:rsid w:val="00B80849"/>
    <w:rsid w:val="00B85495"/>
    <w:rsid w:val="00BA3B85"/>
    <w:rsid w:val="00BD0555"/>
    <w:rsid w:val="00BD0E46"/>
    <w:rsid w:val="00BE1F83"/>
    <w:rsid w:val="00BF247F"/>
    <w:rsid w:val="00BF5249"/>
    <w:rsid w:val="00C26683"/>
    <w:rsid w:val="00C34F36"/>
    <w:rsid w:val="00C37DB9"/>
    <w:rsid w:val="00C43033"/>
    <w:rsid w:val="00C6790C"/>
    <w:rsid w:val="00C85E8F"/>
    <w:rsid w:val="00C904D3"/>
    <w:rsid w:val="00CA515A"/>
    <w:rsid w:val="00CC593E"/>
    <w:rsid w:val="00CD0699"/>
    <w:rsid w:val="00CE4D28"/>
    <w:rsid w:val="00CE53D7"/>
    <w:rsid w:val="00CE74B4"/>
    <w:rsid w:val="00CE7C73"/>
    <w:rsid w:val="00D03B05"/>
    <w:rsid w:val="00D10A56"/>
    <w:rsid w:val="00D25C08"/>
    <w:rsid w:val="00D348F3"/>
    <w:rsid w:val="00D73498"/>
    <w:rsid w:val="00D93714"/>
    <w:rsid w:val="00DB54C8"/>
    <w:rsid w:val="00DB54EE"/>
    <w:rsid w:val="00DC16C9"/>
    <w:rsid w:val="00DE6124"/>
    <w:rsid w:val="00E055DE"/>
    <w:rsid w:val="00E14FB0"/>
    <w:rsid w:val="00E17EAE"/>
    <w:rsid w:val="00E35783"/>
    <w:rsid w:val="00E520A8"/>
    <w:rsid w:val="00E6151B"/>
    <w:rsid w:val="00E8068F"/>
    <w:rsid w:val="00E87601"/>
    <w:rsid w:val="00EA2E15"/>
    <w:rsid w:val="00EB3A71"/>
    <w:rsid w:val="00EF791F"/>
    <w:rsid w:val="00F02C37"/>
    <w:rsid w:val="00F2266B"/>
    <w:rsid w:val="00F237EE"/>
    <w:rsid w:val="00F247E4"/>
    <w:rsid w:val="00F341CA"/>
    <w:rsid w:val="00F35FDD"/>
    <w:rsid w:val="00F56FAD"/>
    <w:rsid w:val="00F6439B"/>
    <w:rsid w:val="00F86396"/>
    <w:rsid w:val="00FA5967"/>
    <w:rsid w:val="00FA7BF5"/>
    <w:rsid w:val="00FB3CAF"/>
    <w:rsid w:val="00FD5445"/>
    <w:rsid w:val="00FE0FC0"/>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338</Words>
  <Characters>1933</Characters>
  <Application>Microsoft Office Word</Application>
  <DocSecurity>0</DocSecurity>
  <Lines>16</Lines>
  <Paragraphs>4</Paragraphs>
  <ScaleCrop>false</ScaleCrop>
  <Company>Hewlett-Packard Company</Company>
  <LinksUpToDate>false</LinksUpToDate>
  <CharactersWithSpaces>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謝昌勝</cp:lastModifiedBy>
  <cp:revision>7</cp:revision>
  <cp:lastPrinted>2004-03-09T19:20:00Z</cp:lastPrinted>
  <dcterms:created xsi:type="dcterms:W3CDTF">2026-05-19T10:02:00Z</dcterms:created>
  <dcterms:modified xsi:type="dcterms:W3CDTF">2026-06-25T01:46:00Z</dcterms:modified>
</cp:coreProperties>
</file>