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EB4F3" w14:textId="0FE5C0E6" w:rsidR="00A24FFC" w:rsidRPr="004C7058" w:rsidRDefault="00E87601" w:rsidP="00FB3CAF">
      <w:pPr>
        <w:pStyle w:val="1"/>
        <w:spacing w:line="360" w:lineRule="exact"/>
        <w:rPr>
          <w:rFonts w:ascii="新細明體" w:eastAsia="新細明體" w:hAnsi="新細明體" w:cs="新細明體"/>
          <w:b w:val="0"/>
          <w:bCs w:val="0"/>
          <w:color w:val="000000" w:themeColor="text1"/>
        </w:rPr>
      </w:pPr>
      <w:bookmarkStart w:id="0" w:name="Std_Type2"/>
      <w:r w:rsidRPr="004C7058">
        <w:rPr>
          <w:rFonts w:ascii="新細明體" w:eastAsia="新細明體" w:hAnsi="新細明體" w:cs="新細明體" w:hint="eastAsia"/>
          <w:b w:val="0"/>
          <w:bCs w:val="0"/>
          <w:color w:val="000000" w:themeColor="text1"/>
        </w:rPr>
        <w:t>證券商內部控制制度標準規範</w:t>
      </w:r>
      <w:bookmarkEnd w:id="0"/>
      <w:r w:rsidRPr="004C7058">
        <w:rPr>
          <w:rFonts w:ascii="新細明體" w:eastAsia="新細明體" w:hAnsi="新細明體" w:cs="新細明體" w:hint="eastAsia"/>
          <w:b w:val="0"/>
          <w:bCs w:val="0"/>
          <w:color w:val="000000" w:themeColor="text1"/>
        </w:rPr>
        <w:t>─</w:t>
      </w:r>
      <w:r w:rsidR="00D93714" w:rsidRPr="004C7058">
        <w:rPr>
          <w:rFonts w:ascii="新細明體" w:eastAsia="新細明體" w:hAnsi="新細明體" w:cs="新細明體" w:hint="eastAsia"/>
          <w:b w:val="0"/>
          <w:bCs w:val="0"/>
          <w:color w:val="000000" w:themeColor="text1"/>
        </w:rPr>
        <w:t>內部稽核實施細則</w:t>
      </w:r>
      <w:r w:rsidRPr="004C7058">
        <w:rPr>
          <w:rFonts w:ascii="新細明體" w:eastAsia="新細明體" w:hAnsi="新細明體" w:cs="新細明體" w:hint="eastAsia"/>
          <w:b w:val="0"/>
          <w:bCs w:val="0"/>
          <w:color w:val="000000" w:themeColor="text1"/>
        </w:rPr>
        <w:t>修</w:t>
      </w:r>
      <w:r w:rsidR="00D25C08" w:rsidRPr="004C7058">
        <w:rPr>
          <w:rFonts w:ascii="新細明體" w:eastAsia="新細明體" w:hAnsi="新細明體" w:cs="新細明體" w:hint="eastAsia"/>
          <w:b w:val="0"/>
          <w:bCs w:val="0"/>
          <w:color w:val="000000" w:themeColor="text1"/>
        </w:rPr>
        <w:t>正</w:t>
      </w:r>
      <w:r w:rsidRPr="004C7058">
        <w:rPr>
          <w:rFonts w:ascii="新細明體" w:eastAsia="新細明體" w:hAnsi="新細明體" w:cs="新細明體" w:hint="eastAsia"/>
          <w:b w:val="0"/>
          <w:bCs w:val="0"/>
          <w:color w:val="000000" w:themeColor="text1"/>
        </w:rPr>
        <w:t>對照表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1271"/>
        <w:gridCol w:w="5354"/>
        <w:gridCol w:w="5355"/>
        <w:gridCol w:w="2012"/>
      </w:tblGrid>
      <w:tr w:rsidR="001E533B" w:rsidRPr="004C7058" w14:paraId="5B8288D9" w14:textId="77777777" w:rsidTr="004A29F0">
        <w:trPr>
          <w:tblHeader/>
        </w:trPr>
        <w:tc>
          <w:tcPr>
            <w:tcW w:w="1384" w:type="dxa"/>
            <w:tcBorders>
              <w:top w:val="single" w:sz="12" w:space="0" w:color="auto"/>
              <w:left w:val="single" w:sz="12" w:space="0" w:color="auto"/>
              <w:bottom w:val="single" w:sz="12" w:space="0" w:color="auto"/>
            </w:tcBorders>
          </w:tcPr>
          <w:p w14:paraId="6E20BAD9" w14:textId="77777777" w:rsidR="001E533B" w:rsidRPr="004C7058" w:rsidRDefault="00FB3CAF" w:rsidP="00F6439B">
            <w:pPr>
              <w:jc w:val="center"/>
              <w:rPr>
                <w:rFonts w:ascii="新細明體" w:eastAsia="新細明體" w:hAnsi="新細明體"/>
                <w:color w:val="000000" w:themeColor="text1"/>
              </w:rPr>
            </w:pPr>
            <w:r w:rsidRPr="004C7058">
              <w:rPr>
                <w:rFonts w:ascii="新細明體" w:eastAsia="新細明體" w:hAnsi="新細明體" w:hint="eastAsia"/>
                <w:color w:val="000000" w:themeColor="text1"/>
              </w:rPr>
              <w:t>編號</w:t>
            </w:r>
          </w:p>
        </w:tc>
        <w:tc>
          <w:tcPr>
            <w:tcW w:w="1276" w:type="dxa"/>
            <w:tcBorders>
              <w:top w:val="single" w:sz="12" w:space="0" w:color="auto"/>
              <w:bottom w:val="single" w:sz="12" w:space="0" w:color="auto"/>
            </w:tcBorders>
          </w:tcPr>
          <w:p w14:paraId="78ACF850" w14:textId="77777777" w:rsidR="00A24FFC" w:rsidRPr="004C7058" w:rsidRDefault="001E533B" w:rsidP="001E533B">
            <w:pPr>
              <w:rPr>
                <w:rFonts w:ascii="新細明體" w:eastAsia="新細明體" w:hAnsi="新細明體"/>
                <w:color w:val="000000" w:themeColor="text1"/>
              </w:rPr>
            </w:pPr>
            <w:r w:rsidRPr="004C7058">
              <w:rPr>
                <w:rFonts w:ascii="新細明體" w:eastAsia="新細明體" w:hAnsi="新細明體" w:hint="eastAsia"/>
                <w:color w:val="000000" w:themeColor="text1"/>
              </w:rPr>
              <w:t>作業項目</w:t>
            </w:r>
          </w:p>
        </w:tc>
        <w:tc>
          <w:tcPr>
            <w:tcW w:w="5386" w:type="dxa"/>
            <w:tcBorders>
              <w:top w:val="single" w:sz="12" w:space="0" w:color="auto"/>
              <w:bottom w:val="single" w:sz="12" w:space="0" w:color="auto"/>
            </w:tcBorders>
          </w:tcPr>
          <w:p w14:paraId="1EBEFB0B" w14:textId="77777777" w:rsidR="00A24FFC" w:rsidRPr="004C7058" w:rsidRDefault="001E533B" w:rsidP="00F6439B">
            <w:pPr>
              <w:jc w:val="center"/>
              <w:rPr>
                <w:rFonts w:ascii="新細明體" w:eastAsia="新細明體" w:hAnsi="新細明體"/>
                <w:color w:val="000000" w:themeColor="text1"/>
              </w:rPr>
            </w:pPr>
            <w:r w:rsidRPr="004C7058">
              <w:rPr>
                <w:rFonts w:ascii="新細明體" w:eastAsia="新細明體" w:hAnsi="新細明體" w:cs="新細明體" w:hint="eastAsia"/>
                <w:color w:val="000000" w:themeColor="text1"/>
              </w:rPr>
              <w:t>修正後內容</w:t>
            </w:r>
          </w:p>
        </w:tc>
        <w:tc>
          <w:tcPr>
            <w:tcW w:w="5387" w:type="dxa"/>
            <w:tcBorders>
              <w:top w:val="single" w:sz="12" w:space="0" w:color="auto"/>
              <w:bottom w:val="single" w:sz="12" w:space="0" w:color="auto"/>
            </w:tcBorders>
          </w:tcPr>
          <w:p w14:paraId="1FB190B7" w14:textId="77777777" w:rsidR="00A24FFC" w:rsidRPr="004C7058" w:rsidRDefault="001E533B" w:rsidP="00F6439B">
            <w:pPr>
              <w:jc w:val="center"/>
              <w:rPr>
                <w:rFonts w:ascii="新細明體" w:eastAsia="新細明體" w:hAnsi="新細明體"/>
                <w:color w:val="000000" w:themeColor="text1"/>
              </w:rPr>
            </w:pPr>
            <w:r w:rsidRPr="004C7058">
              <w:rPr>
                <w:rFonts w:ascii="新細明體" w:eastAsia="新細明體" w:hAnsi="新細明體" w:cs="新細明體" w:hint="eastAsia"/>
                <w:color w:val="000000" w:themeColor="text1"/>
              </w:rPr>
              <w:t>修正前內容</w:t>
            </w:r>
          </w:p>
        </w:tc>
        <w:tc>
          <w:tcPr>
            <w:tcW w:w="2023" w:type="dxa"/>
            <w:tcBorders>
              <w:top w:val="single" w:sz="12" w:space="0" w:color="auto"/>
              <w:bottom w:val="single" w:sz="12" w:space="0" w:color="auto"/>
              <w:right w:val="single" w:sz="12" w:space="0" w:color="auto"/>
            </w:tcBorders>
          </w:tcPr>
          <w:p w14:paraId="7A098D66" w14:textId="77777777" w:rsidR="00A24FFC" w:rsidRPr="004C7058" w:rsidRDefault="00C904D3" w:rsidP="00F6439B">
            <w:pPr>
              <w:jc w:val="center"/>
              <w:rPr>
                <w:rFonts w:ascii="新細明體" w:eastAsia="新細明體" w:hAnsi="新細明體"/>
                <w:color w:val="000000" w:themeColor="text1"/>
              </w:rPr>
            </w:pPr>
            <w:r w:rsidRPr="004C7058">
              <w:rPr>
                <w:rFonts w:ascii="新細明體" w:eastAsia="新細明體" w:hAnsi="新細明體" w:cs="新細明體" w:hint="eastAsia"/>
                <w:color w:val="000000" w:themeColor="text1"/>
              </w:rPr>
              <w:t>修正說明</w:t>
            </w:r>
          </w:p>
        </w:tc>
      </w:tr>
      <w:tr w:rsidR="003B3105" w:rsidRPr="004C7058" w14:paraId="6F801B14" w14:textId="77777777">
        <w:tc>
          <w:tcPr>
            <w:tcW w:w="1384" w:type="dxa"/>
            <w:vMerge w:val="restart"/>
            <w:tcBorders>
              <w:top w:val="single" w:sz="12" w:space="0" w:color="auto"/>
              <w:left w:val="single" w:sz="12" w:space="0" w:color="auto"/>
            </w:tcBorders>
          </w:tcPr>
          <w:p w14:paraId="39C8E458" w14:textId="3C93645F" w:rsidR="003B3105" w:rsidRPr="004C7058" w:rsidRDefault="003B3105" w:rsidP="001E533B">
            <w:pPr>
              <w:rPr>
                <w:rFonts w:ascii="新細明體" w:eastAsia="新細明體" w:hAnsi="新細明體"/>
                <w:color w:val="000000" w:themeColor="text1"/>
              </w:rPr>
            </w:pPr>
            <w:r w:rsidRPr="004C7058">
              <w:rPr>
                <w:rFonts w:ascii="新細明體" w:eastAsia="新細明體" w:hAnsi="新細明體" w:hint="eastAsia"/>
                <w:color w:val="000000" w:themeColor="text1"/>
              </w:rPr>
              <w:t>AC-20000</w:t>
            </w:r>
          </w:p>
        </w:tc>
        <w:tc>
          <w:tcPr>
            <w:tcW w:w="1276" w:type="dxa"/>
            <w:vMerge w:val="restart"/>
            <w:tcBorders>
              <w:top w:val="single" w:sz="12" w:space="0" w:color="auto"/>
            </w:tcBorders>
          </w:tcPr>
          <w:p w14:paraId="6AECD2F1" w14:textId="77777777" w:rsidR="003B3105" w:rsidRPr="004C7058" w:rsidRDefault="003B3105" w:rsidP="001E533B">
            <w:pPr>
              <w:rPr>
                <w:rFonts w:ascii="新細明體" w:eastAsia="新細明體" w:hAnsi="新細明體"/>
                <w:color w:val="000000" w:themeColor="text1"/>
              </w:rPr>
            </w:pPr>
            <w:r w:rsidRPr="004C7058">
              <w:rPr>
                <w:rFonts w:ascii="新細明體" w:eastAsia="新細明體" w:hAnsi="新細明體" w:hint="eastAsia"/>
                <w:color w:val="000000" w:themeColor="text1"/>
              </w:rPr>
              <w:t>營運持續管理之稽核</w:t>
            </w:r>
          </w:p>
          <w:p w14:paraId="32C7DB43" w14:textId="77777777" w:rsidR="003B3105" w:rsidRPr="004C7058" w:rsidRDefault="003B3105" w:rsidP="001E533B">
            <w:pPr>
              <w:rPr>
                <w:rFonts w:ascii="新細明體" w:eastAsia="新細明體" w:hAnsi="新細明體"/>
                <w:color w:val="000000" w:themeColor="text1"/>
              </w:rPr>
            </w:pPr>
            <w:r w:rsidRPr="004C7058">
              <w:rPr>
                <w:rFonts w:ascii="新細明體" w:eastAsia="新細明體" w:hAnsi="新細明體" w:hint="eastAsia"/>
                <w:color w:val="000000" w:themeColor="text1"/>
              </w:rPr>
              <w:t>目的：</w:t>
            </w:r>
          </w:p>
          <w:p w14:paraId="383379A0" w14:textId="77777777" w:rsidR="003B3105" w:rsidRPr="004C7058" w:rsidRDefault="003B3105" w:rsidP="001E533B">
            <w:pPr>
              <w:rPr>
                <w:rFonts w:ascii="新細明體" w:eastAsia="新細明體" w:hAnsi="新細明體"/>
                <w:color w:val="000000" w:themeColor="text1"/>
              </w:rPr>
            </w:pPr>
            <w:r w:rsidRPr="004C7058">
              <w:rPr>
                <w:rFonts w:ascii="新細明體" w:eastAsia="新細明體" w:hAnsi="新細明體" w:hint="eastAsia"/>
                <w:color w:val="000000" w:themeColor="text1"/>
              </w:rPr>
              <w:t>確定上述作業是否符合規定辦理</w:t>
            </w:r>
          </w:p>
        </w:tc>
        <w:tc>
          <w:tcPr>
            <w:tcW w:w="5386" w:type="dxa"/>
            <w:tcBorders>
              <w:top w:val="single" w:sz="12" w:space="0" w:color="auto"/>
              <w:bottom w:val="nil"/>
            </w:tcBorders>
          </w:tcPr>
          <w:p w14:paraId="1A6552A0" w14:textId="77777777" w:rsidR="003B3105" w:rsidRPr="004C7058" w:rsidRDefault="003B3105" w:rsidP="003B3105">
            <w:pPr>
              <w:spacing w:line="360" w:lineRule="exact"/>
              <w:rPr>
                <w:rFonts w:ascii="新細明體" w:eastAsia="新細明體" w:hAnsi="新細明體" w:cs="Times New Roman"/>
                <w:color w:val="000000" w:themeColor="text1"/>
              </w:rPr>
            </w:pPr>
            <w:r w:rsidRPr="004C7058">
              <w:rPr>
                <w:rFonts w:ascii="新細明體" w:eastAsia="新細明體" w:hAnsi="新細明體" w:cs="新細明體" w:hint="eastAsia"/>
                <w:color w:val="000000" w:themeColor="text1"/>
              </w:rPr>
              <w:t>不定期（每半年至少查核乙次）</w:t>
            </w:r>
          </w:p>
        </w:tc>
        <w:tc>
          <w:tcPr>
            <w:tcW w:w="5387" w:type="dxa"/>
            <w:tcBorders>
              <w:top w:val="single" w:sz="12" w:space="0" w:color="auto"/>
              <w:bottom w:val="nil"/>
            </w:tcBorders>
          </w:tcPr>
          <w:p w14:paraId="3C1F8D55" w14:textId="77777777" w:rsidR="003B3105" w:rsidRPr="004C7058" w:rsidRDefault="003B3105" w:rsidP="003B3105">
            <w:pPr>
              <w:spacing w:line="360" w:lineRule="exact"/>
              <w:rPr>
                <w:rFonts w:ascii="新細明體" w:eastAsia="新細明體" w:hAnsi="新細明體" w:cs="Times New Roman"/>
                <w:color w:val="000000" w:themeColor="text1"/>
              </w:rPr>
            </w:pPr>
            <w:r w:rsidRPr="004C7058">
              <w:rPr>
                <w:rFonts w:ascii="新細明體" w:eastAsia="新細明體" w:hAnsi="新細明體" w:cs="新細明體" w:hint="eastAsia"/>
                <w:color w:val="000000" w:themeColor="text1"/>
              </w:rPr>
              <w:t>不定期（每半年至少查核乙次）</w:t>
            </w:r>
          </w:p>
        </w:tc>
        <w:tc>
          <w:tcPr>
            <w:tcW w:w="2023" w:type="dxa"/>
            <w:vMerge w:val="restart"/>
            <w:tcBorders>
              <w:top w:val="single" w:sz="12" w:space="0" w:color="auto"/>
              <w:right w:val="single" w:sz="12" w:space="0" w:color="auto"/>
            </w:tcBorders>
          </w:tcPr>
          <w:p w14:paraId="217DBB1D" w14:textId="36420A8E" w:rsidR="003B3105" w:rsidRPr="004C7058" w:rsidRDefault="004C7058" w:rsidP="003B3105">
            <w:pPr>
              <w:spacing w:line="360" w:lineRule="exact"/>
              <w:ind w:left="28" w:right="28"/>
              <w:rPr>
                <w:rFonts w:ascii="新細明體" w:eastAsia="新細明體" w:hAnsi="新細明體"/>
                <w:color w:val="FF0000"/>
                <w:u w:val="single"/>
              </w:rPr>
            </w:pPr>
            <w:r w:rsidRPr="004C7058">
              <w:rPr>
                <w:rFonts w:ascii="新細明體" w:eastAsia="新細明體" w:hAnsi="新細明體" w:cs="Times New Roman" w:hint="eastAsia"/>
                <w:color w:val="FF0000"/>
                <w:spacing w:val="20"/>
                <w:szCs w:val="20"/>
                <w:u w:val="single"/>
              </w:rPr>
              <w:t>增訂</w:t>
            </w:r>
            <w:r w:rsidRPr="004C7058">
              <w:rPr>
                <w:rFonts w:ascii="新細明體" w:eastAsia="新細明體" w:hAnsi="新細明體" w:cs="Times New Roman"/>
                <w:color w:val="FF0000"/>
                <w:spacing w:val="20"/>
                <w:szCs w:val="20"/>
                <w:u w:val="single"/>
              </w:rPr>
              <w:t>檢視異地備援系統清單之</w:t>
            </w:r>
            <w:r w:rsidRPr="004C7058">
              <w:rPr>
                <w:rFonts w:ascii="新細明體" w:eastAsia="新細明體" w:hAnsi="新細明體" w:cs="Times New Roman" w:hint="eastAsia"/>
                <w:color w:val="FF0000"/>
                <w:spacing w:val="20"/>
                <w:szCs w:val="20"/>
                <w:u w:val="single"/>
              </w:rPr>
              <w:t>頻率</w:t>
            </w:r>
            <w:r w:rsidRPr="004C7058">
              <w:rPr>
                <w:rFonts w:ascii="新細明體" w:eastAsia="新細明體" w:hAnsi="新細明體" w:cs="Times New Roman"/>
                <w:color w:val="FF0000"/>
                <w:spacing w:val="20"/>
                <w:szCs w:val="20"/>
                <w:u w:val="single"/>
              </w:rPr>
              <w:t>。</w:t>
            </w:r>
          </w:p>
        </w:tc>
      </w:tr>
      <w:tr w:rsidR="003B3105" w:rsidRPr="004C7058" w14:paraId="2BC6EC63" w14:textId="77777777">
        <w:tc>
          <w:tcPr>
            <w:tcW w:w="1384" w:type="dxa"/>
            <w:vMerge/>
            <w:tcBorders>
              <w:left w:val="single" w:sz="12" w:space="0" w:color="auto"/>
            </w:tcBorders>
          </w:tcPr>
          <w:p w14:paraId="209BBC6A" w14:textId="77777777" w:rsidR="003B3105" w:rsidRPr="004C7058" w:rsidRDefault="003B3105" w:rsidP="001E533B">
            <w:pPr>
              <w:rPr>
                <w:rFonts w:ascii="新細明體" w:eastAsia="新細明體" w:hAnsi="新細明體"/>
                <w:color w:val="000000" w:themeColor="text1"/>
              </w:rPr>
            </w:pPr>
          </w:p>
        </w:tc>
        <w:tc>
          <w:tcPr>
            <w:tcW w:w="1276" w:type="dxa"/>
            <w:vMerge/>
          </w:tcPr>
          <w:p w14:paraId="1197E296" w14:textId="77777777" w:rsidR="003B3105" w:rsidRPr="004C7058" w:rsidRDefault="003B3105" w:rsidP="001E533B">
            <w:pPr>
              <w:rPr>
                <w:rFonts w:ascii="新細明體" w:eastAsia="新細明體" w:hAnsi="新細明體"/>
                <w:color w:val="000000" w:themeColor="text1"/>
              </w:rPr>
            </w:pPr>
          </w:p>
        </w:tc>
        <w:tc>
          <w:tcPr>
            <w:tcW w:w="5386" w:type="dxa"/>
            <w:tcBorders>
              <w:top w:val="nil"/>
              <w:bottom w:val="nil"/>
            </w:tcBorders>
          </w:tcPr>
          <w:p w14:paraId="0ADC5130" w14:textId="19549BD4" w:rsidR="003B3105" w:rsidRPr="004C7058" w:rsidRDefault="0027008E" w:rsidP="003B3105">
            <w:pPr>
              <w:spacing w:line="360" w:lineRule="exact"/>
              <w:ind w:left="429" w:hangingChars="165" w:hanging="429"/>
              <w:rPr>
                <w:rFonts w:ascii="新細明體" w:eastAsia="新細明體" w:hAnsi="新細明體" w:cs="新細明體"/>
                <w:color w:val="000000" w:themeColor="text1"/>
              </w:rPr>
            </w:pPr>
            <w:r w:rsidRPr="004C7058">
              <w:rPr>
                <w:rFonts w:ascii="新細明體" w:eastAsia="新細明體" w:hAnsi="新細明體" w:cs="新細明體" w:hint="eastAsia"/>
                <w:color w:val="000000" w:themeColor="text1"/>
              </w:rPr>
              <w:t>(一)故障復原程序（例如：電腦設備、通訊設備、電力系統、資料庫、電腦作業系統等備援及回復計畫）是否明確訂定，並製成文件。</w:t>
            </w:r>
          </w:p>
        </w:tc>
        <w:tc>
          <w:tcPr>
            <w:tcW w:w="5387" w:type="dxa"/>
            <w:tcBorders>
              <w:top w:val="nil"/>
              <w:bottom w:val="nil"/>
            </w:tcBorders>
          </w:tcPr>
          <w:p w14:paraId="412356DC" w14:textId="5DEAC3E5" w:rsidR="003B3105" w:rsidRPr="004C7058" w:rsidRDefault="0027008E" w:rsidP="003B3105">
            <w:pPr>
              <w:spacing w:line="360" w:lineRule="exact"/>
              <w:ind w:left="429" w:hangingChars="165" w:hanging="429"/>
              <w:rPr>
                <w:rFonts w:ascii="新細明體" w:eastAsia="新細明體" w:hAnsi="新細明體" w:cs="新細明體"/>
                <w:color w:val="000000" w:themeColor="text1"/>
              </w:rPr>
            </w:pPr>
            <w:r w:rsidRPr="004C7058">
              <w:rPr>
                <w:rFonts w:ascii="新細明體" w:eastAsia="新細明體" w:hAnsi="新細明體" w:cs="新細明體" w:hint="eastAsia"/>
                <w:color w:val="000000" w:themeColor="text1"/>
              </w:rPr>
              <w:t>(一)故障復原程序（例如：電腦設備、通訊設備、電力系統、資料庫、電腦作業系統等備援及回復計畫）是否明確訂定，並製成文件。</w:t>
            </w:r>
          </w:p>
        </w:tc>
        <w:tc>
          <w:tcPr>
            <w:tcW w:w="2023" w:type="dxa"/>
            <w:vMerge/>
            <w:tcBorders>
              <w:right w:val="single" w:sz="12" w:space="0" w:color="auto"/>
            </w:tcBorders>
          </w:tcPr>
          <w:p w14:paraId="03C80726" w14:textId="77777777" w:rsidR="003B3105" w:rsidRPr="004C7058" w:rsidRDefault="003B3105" w:rsidP="003B3105">
            <w:pPr>
              <w:spacing w:line="360" w:lineRule="exact"/>
              <w:ind w:left="28" w:right="28"/>
              <w:rPr>
                <w:rFonts w:ascii="新細明體" w:eastAsia="新細明體" w:hAnsi="新細明體" w:cs="Times New Roman"/>
                <w:color w:val="000000" w:themeColor="text1"/>
                <w:spacing w:val="20"/>
                <w:szCs w:val="20"/>
              </w:rPr>
            </w:pPr>
          </w:p>
        </w:tc>
      </w:tr>
      <w:tr w:rsidR="003B3105" w:rsidRPr="004C7058" w14:paraId="4E4D3505" w14:textId="77777777">
        <w:tc>
          <w:tcPr>
            <w:tcW w:w="1384" w:type="dxa"/>
            <w:vMerge/>
            <w:tcBorders>
              <w:left w:val="single" w:sz="12" w:space="0" w:color="auto"/>
            </w:tcBorders>
          </w:tcPr>
          <w:p w14:paraId="29CDB243" w14:textId="77777777" w:rsidR="003B3105" w:rsidRPr="004C7058" w:rsidRDefault="003B3105" w:rsidP="001E533B">
            <w:pPr>
              <w:rPr>
                <w:rFonts w:ascii="新細明體" w:eastAsia="新細明體" w:hAnsi="新細明體"/>
                <w:color w:val="000000" w:themeColor="text1"/>
              </w:rPr>
            </w:pPr>
          </w:p>
        </w:tc>
        <w:tc>
          <w:tcPr>
            <w:tcW w:w="1276" w:type="dxa"/>
            <w:vMerge/>
          </w:tcPr>
          <w:p w14:paraId="533C8496" w14:textId="77777777" w:rsidR="003B3105" w:rsidRPr="004C7058" w:rsidRDefault="003B3105" w:rsidP="001E533B">
            <w:pPr>
              <w:rPr>
                <w:rFonts w:ascii="新細明體" w:eastAsia="新細明體" w:hAnsi="新細明體"/>
                <w:color w:val="000000" w:themeColor="text1"/>
              </w:rPr>
            </w:pPr>
          </w:p>
        </w:tc>
        <w:tc>
          <w:tcPr>
            <w:tcW w:w="5386" w:type="dxa"/>
            <w:tcBorders>
              <w:top w:val="nil"/>
              <w:bottom w:val="nil"/>
            </w:tcBorders>
          </w:tcPr>
          <w:p w14:paraId="53B75CF0" w14:textId="77777777" w:rsidR="003B3105" w:rsidRPr="004C7058" w:rsidRDefault="0027008E" w:rsidP="003B3105">
            <w:pPr>
              <w:spacing w:line="360" w:lineRule="exact"/>
              <w:ind w:left="429" w:hangingChars="165" w:hanging="429"/>
              <w:rPr>
                <w:rFonts w:ascii="新細明體" w:eastAsia="新細明體" w:hAnsi="新細明體" w:cs="新細明體"/>
                <w:color w:val="000000" w:themeColor="text1"/>
              </w:rPr>
            </w:pPr>
            <w:r w:rsidRPr="004C7058">
              <w:rPr>
                <w:rFonts w:ascii="新細明體" w:eastAsia="新細明體" w:hAnsi="新細明體" w:cs="新細明體" w:hint="eastAsia"/>
                <w:color w:val="000000" w:themeColor="text1"/>
              </w:rPr>
              <w:t>(二)故障復原程序是否週期性測試，測試後是否召開檢討會議，針對測試缺失謀求改進，並留存紀錄</w:t>
            </w:r>
          </w:p>
        </w:tc>
        <w:tc>
          <w:tcPr>
            <w:tcW w:w="5387" w:type="dxa"/>
            <w:tcBorders>
              <w:top w:val="nil"/>
              <w:bottom w:val="nil"/>
            </w:tcBorders>
          </w:tcPr>
          <w:p w14:paraId="3C7532FD" w14:textId="77777777" w:rsidR="003B3105" w:rsidRPr="004C7058" w:rsidRDefault="0027008E" w:rsidP="003B3105">
            <w:pPr>
              <w:spacing w:line="360" w:lineRule="exact"/>
              <w:ind w:left="429" w:hangingChars="165" w:hanging="429"/>
              <w:rPr>
                <w:rFonts w:ascii="新細明體" w:eastAsia="新細明體" w:hAnsi="新細明體" w:cs="新細明體"/>
                <w:color w:val="000000" w:themeColor="text1"/>
              </w:rPr>
            </w:pPr>
            <w:r w:rsidRPr="004C7058">
              <w:rPr>
                <w:rFonts w:ascii="新細明體" w:eastAsia="新細明體" w:hAnsi="新細明體" w:cs="新細明體" w:hint="eastAsia"/>
                <w:color w:val="000000" w:themeColor="text1"/>
              </w:rPr>
              <w:t>(二)故障復原程序是否週期性測試，測試後是否召開檢討會議，針對測試缺失謀求改進，並留存紀錄</w:t>
            </w:r>
          </w:p>
        </w:tc>
        <w:tc>
          <w:tcPr>
            <w:tcW w:w="2023" w:type="dxa"/>
            <w:vMerge/>
            <w:tcBorders>
              <w:right w:val="single" w:sz="12" w:space="0" w:color="auto"/>
            </w:tcBorders>
          </w:tcPr>
          <w:p w14:paraId="7731D88B" w14:textId="77777777" w:rsidR="003B3105" w:rsidRPr="004C7058" w:rsidRDefault="003B3105" w:rsidP="003B3105">
            <w:pPr>
              <w:spacing w:line="360" w:lineRule="exact"/>
              <w:ind w:left="28" w:right="28"/>
              <w:rPr>
                <w:rFonts w:ascii="新細明體" w:eastAsia="新細明體" w:hAnsi="新細明體" w:cs="Times New Roman"/>
                <w:color w:val="000000" w:themeColor="text1"/>
                <w:spacing w:val="20"/>
                <w:szCs w:val="20"/>
              </w:rPr>
            </w:pPr>
          </w:p>
        </w:tc>
      </w:tr>
      <w:tr w:rsidR="003B3105" w:rsidRPr="004C7058" w14:paraId="35EA0442" w14:textId="77777777">
        <w:tc>
          <w:tcPr>
            <w:tcW w:w="1384" w:type="dxa"/>
            <w:vMerge/>
            <w:tcBorders>
              <w:left w:val="single" w:sz="12" w:space="0" w:color="auto"/>
            </w:tcBorders>
          </w:tcPr>
          <w:p w14:paraId="02F7E9A5" w14:textId="77777777" w:rsidR="003B3105" w:rsidRPr="004C7058" w:rsidRDefault="003B3105" w:rsidP="001E533B">
            <w:pPr>
              <w:rPr>
                <w:rFonts w:ascii="新細明體" w:eastAsia="新細明體" w:hAnsi="新細明體"/>
                <w:color w:val="000000" w:themeColor="text1"/>
              </w:rPr>
            </w:pPr>
          </w:p>
        </w:tc>
        <w:tc>
          <w:tcPr>
            <w:tcW w:w="1276" w:type="dxa"/>
            <w:vMerge/>
          </w:tcPr>
          <w:p w14:paraId="7BCB16D6" w14:textId="77777777" w:rsidR="003B3105" w:rsidRPr="004C7058" w:rsidRDefault="003B3105" w:rsidP="001E533B">
            <w:pPr>
              <w:rPr>
                <w:rFonts w:ascii="新細明體" w:eastAsia="新細明體" w:hAnsi="新細明體"/>
                <w:color w:val="000000" w:themeColor="text1"/>
              </w:rPr>
            </w:pPr>
          </w:p>
        </w:tc>
        <w:tc>
          <w:tcPr>
            <w:tcW w:w="5386" w:type="dxa"/>
            <w:tcBorders>
              <w:top w:val="nil"/>
              <w:bottom w:val="nil"/>
            </w:tcBorders>
          </w:tcPr>
          <w:p w14:paraId="3937FCEA" w14:textId="6D95A4BB" w:rsidR="003B3105" w:rsidRPr="004C7058" w:rsidRDefault="0027008E" w:rsidP="003B3105">
            <w:pPr>
              <w:spacing w:line="360" w:lineRule="exact"/>
              <w:ind w:left="429" w:hangingChars="165" w:hanging="429"/>
              <w:rPr>
                <w:rFonts w:ascii="新細明體" w:eastAsia="新細明體" w:hAnsi="新細明體" w:cs="新細明體"/>
                <w:color w:val="000000" w:themeColor="text1"/>
              </w:rPr>
            </w:pPr>
            <w:r w:rsidRPr="004C7058">
              <w:rPr>
                <w:rFonts w:ascii="新細明體" w:eastAsia="新細明體" w:hAnsi="新細明體" w:cs="新細明體" w:hint="eastAsia"/>
                <w:color w:val="000000" w:themeColor="text1"/>
              </w:rPr>
              <w:t>(三)</w:t>
            </w:r>
            <w:r w:rsidR="008F51D8" w:rsidRPr="004C7058">
              <w:rPr>
                <w:rFonts w:ascii="新細明體" w:eastAsia="新細明體" w:hAnsi="新細明體" w:cs="新細明體" w:hint="eastAsia"/>
                <w:color w:val="000000" w:themeColor="text1"/>
              </w:rPr>
              <w:t>公司是否</w:t>
            </w:r>
            <w:r w:rsidR="008F51D8" w:rsidRPr="004C7058">
              <w:rPr>
                <w:rFonts w:ascii="新細明體" w:eastAsia="新細明體" w:hAnsi="新細明體" w:cs="新細明體"/>
                <w:color w:val="000000" w:themeColor="text1"/>
              </w:rPr>
              <w:t>每年至少辦理一次</w:t>
            </w:r>
            <w:r w:rsidR="008F51D8" w:rsidRPr="004C7058">
              <w:rPr>
                <w:rFonts w:ascii="新細明體" w:eastAsia="新細明體" w:hAnsi="新細明體" w:cs="新細明體" w:hint="eastAsia"/>
                <w:color w:val="000000" w:themeColor="text1"/>
              </w:rPr>
              <w:t>執行營運衝擊分析，評估核心系統可容忍中斷時間、復原時間目標（RTO）、資料復原點目標（RPO ），並擬訂營運持續計畫（含起動條件、參與人員、緊急程序、備援程序、維護時間表、教育訓練、職責說明、往來外單位之應變規劃及合約適當性等）及其必要之維護，依其所屬資安分級定期辦理業務持續運作演練，且是否視演練範圍是否涉及第三方，邀請相關廠商參與演練。網際網路下單證券商應依經紀業務規模市占率暨自然人客戶數比率分級，訂定核心系統可容忍中斷時間。</w:t>
            </w:r>
          </w:p>
        </w:tc>
        <w:tc>
          <w:tcPr>
            <w:tcW w:w="5387" w:type="dxa"/>
            <w:tcBorders>
              <w:top w:val="nil"/>
              <w:bottom w:val="nil"/>
            </w:tcBorders>
          </w:tcPr>
          <w:p w14:paraId="33EE8070" w14:textId="1A6B3F42" w:rsidR="003B3105" w:rsidRPr="004C7058" w:rsidRDefault="0027008E" w:rsidP="003B3105">
            <w:pPr>
              <w:spacing w:line="360" w:lineRule="exact"/>
              <w:ind w:left="429" w:hangingChars="165" w:hanging="429"/>
              <w:rPr>
                <w:rFonts w:ascii="新細明體" w:eastAsia="新細明體" w:hAnsi="新細明體" w:cs="新細明體"/>
                <w:color w:val="000000" w:themeColor="text1"/>
              </w:rPr>
            </w:pPr>
            <w:r w:rsidRPr="004C7058">
              <w:rPr>
                <w:rFonts w:ascii="新細明體" w:eastAsia="新細明體" w:hAnsi="新細明體" w:cs="新細明體" w:hint="eastAsia"/>
                <w:color w:val="000000" w:themeColor="text1"/>
              </w:rPr>
              <w:t>(三)</w:t>
            </w:r>
            <w:r w:rsidR="004C7058" w:rsidRPr="004C7058">
              <w:rPr>
                <w:rFonts w:ascii="新細明體" w:eastAsia="新細明體" w:hAnsi="新細明體" w:cs="新細明體" w:hint="eastAsia"/>
                <w:color w:val="000000" w:themeColor="text1"/>
              </w:rPr>
              <w:t xml:space="preserve"> 公司是否</w:t>
            </w:r>
            <w:r w:rsidR="004C7058" w:rsidRPr="004C7058">
              <w:rPr>
                <w:rFonts w:ascii="新細明體" w:eastAsia="新細明體" w:hAnsi="新細明體" w:cs="新細明體"/>
                <w:color w:val="000000" w:themeColor="text1"/>
              </w:rPr>
              <w:t>每年至少辦理一次</w:t>
            </w:r>
            <w:r w:rsidR="004C7058" w:rsidRPr="004C7058">
              <w:rPr>
                <w:rFonts w:ascii="新細明體" w:eastAsia="新細明體" w:hAnsi="新細明體" w:cs="新細明體" w:hint="eastAsia"/>
                <w:color w:val="000000" w:themeColor="text1"/>
              </w:rPr>
              <w:t>執行營運衝擊分析，評估核心系統可容忍中斷時間、復原時間目標（RTO）、資料復原點目標（RPO ），並擬訂營運持續計畫（含起動條件、參與人員、緊急程序、備援程序、維護時間表、教育訓練、職責說明、往來外單位之應變規劃及合約適當性等）及其必要之維護，依其所屬資安分級定期辦理業務持續運作演練，且是否視演練範圍是否涉及第三方，邀請相關廠商參與演練。網際網路下單證券商應依經紀業務規模市占率暨自然人客戶數比率分級，訂定核心系統可容忍中斷時間。</w:t>
            </w:r>
          </w:p>
        </w:tc>
        <w:tc>
          <w:tcPr>
            <w:tcW w:w="2023" w:type="dxa"/>
            <w:vMerge/>
            <w:tcBorders>
              <w:right w:val="single" w:sz="12" w:space="0" w:color="auto"/>
            </w:tcBorders>
          </w:tcPr>
          <w:p w14:paraId="5FC223F3" w14:textId="77777777" w:rsidR="003B3105" w:rsidRPr="004C7058" w:rsidRDefault="003B3105" w:rsidP="003B3105">
            <w:pPr>
              <w:spacing w:line="360" w:lineRule="exact"/>
              <w:ind w:left="28" w:right="28"/>
              <w:rPr>
                <w:rFonts w:ascii="新細明體" w:eastAsia="新細明體" w:hAnsi="新細明體" w:cs="Times New Roman"/>
                <w:color w:val="000000" w:themeColor="text1"/>
                <w:spacing w:val="20"/>
                <w:szCs w:val="20"/>
              </w:rPr>
            </w:pPr>
          </w:p>
        </w:tc>
      </w:tr>
      <w:tr w:rsidR="003B3105" w:rsidRPr="004C7058" w14:paraId="157AD13A" w14:textId="77777777">
        <w:tc>
          <w:tcPr>
            <w:tcW w:w="1384" w:type="dxa"/>
            <w:vMerge/>
            <w:tcBorders>
              <w:left w:val="single" w:sz="12" w:space="0" w:color="auto"/>
            </w:tcBorders>
          </w:tcPr>
          <w:p w14:paraId="6DB22FCA" w14:textId="77777777" w:rsidR="003B3105" w:rsidRPr="004C7058" w:rsidRDefault="003B3105" w:rsidP="001E533B">
            <w:pPr>
              <w:rPr>
                <w:rFonts w:ascii="新細明體" w:eastAsia="新細明體" w:hAnsi="新細明體"/>
                <w:color w:val="000000" w:themeColor="text1"/>
              </w:rPr>
            </w:pPr>
          </w:p>
        </w:tc>
        <w:tc>
          <w:tcPr>
            <w:tcW w:w="1276" w:type="dxa"/>
            <w:vMerge/>
          </w:tcPr>
          <w:p w14:paraId="67E05416" w14:textId="77777777" w:rsidR="003B3105" w:rsidRPr="004C7058" w:rsidRDefault="003B3105" w:rsidP="001E533B">
            <w:pPr>
              <w:rPr>
                <w:rFonts w:ascii="新細明體" w:eastAsia="新細明體" w:hAnsi="新細明體"/>
                <w:color w:val="000000" w:themeColor="text1"/>
              </w:rPr>
            </w:pPr>
          </w:p>
        </w:tc>
        <w:tc>
          <w:tcPr>
            <w:tcW w:w="5386" w:type="dxa"/>
            <w:tcBorders>
              <w:top w:val="nil"/>
              <w:bottom w:val="nil"/>
            </w:tcBorders>
          </w:tcPr>
          <w:p w14:paraId="2406CC00" w14:textId="08860D4B" w:rsidR="003B3105" w:rsidRPr="004C7058" w:rsidRDefault="0027008E" w:rsidP="003B3105">
            <w:pPr>
              <w:spacing w:line="360" w:lineRule="exact"/>
              <w:ind w:left="429" w:hangingChars="165" w:hanging="429"/>
              <w:rPr>
                <w:rFonts w:ascii="新細明體" w:eastAsia="新細明體" w:hAnsi="新細明體" w:cs="新細明體"/>
                <w:color w:val="000000" w:themeColor="text1"/>
              </w:rPr>
            </w:pPr>
            <w:r w:rsidRPr="004C7058">
              <w:rPr>
                <w:rFonts w:ascii="新細明體" w:eastAsia="新細明體" w:hAnsi="新細明體" w:cs="新細明體" w:hint="eastAsia"/>
                <w:color w:val="000000" w:themeColor="text1"/>
              </w:rPr>
              <w:t>(四)</w:t>
            </w:r>
            <w:r w:rsidR="008F51D8" w:rsidRPr="004C7058">
              <w:rPr>
                <w:rFonts w:ascii="新細明體" w:eastAsia="新細明體" w:hAnsi="新細明體" w:cs="新細明體" w:hint="eastAsia"/>
                <w:color w:val="000000" w:themeColor="text1"/>
              </w:rPr>
              <w:t>公司（證券經紀商）</w:t>
            </w:r>
            <w:r w:rsidR="008F51D8" w:rsidRPr="004C7058">
              <w:rPr>
                <w:rFonts w:ascii="新細明體" w:eastAsia="新細明體" w:hAnsi="新細明體" w:hint="eastAsia"/>
                <w:color w:val="000000" w:themeColor="text1"/>
              </w:rPr>
              <w:t>是否依所屬資安分級建置異地備援機房，並依營運衝擊分析結果於異地備援機房建置對營運具重大影響之核心系統</w:t>
            </w:r>
            <w:r w:rsidR="004C7058" w:rsidRPr="00906879">
              <w:rPr>
                <w:rFonts w:ascii="新細明體" w:eastAsia="新細明體" w:hAnsi="新細明體" w:hint="eastAsia"/>
                <w:b/>
                <w:bCs/>
                <w:color w:val="FF0000"/>
                <w:u w:val="single"/>
              </w:rPr>
              <w:t>，且</w:t>
            </w:r>
            <w:r w:rsidR="004C7058" w:rsidRPr="004C7058">
              <w:rPr>
                <w:rFonts w:ascii="新細明體" w:eastAsia="新細明體" w:hAnsi="新細明體" w:hint="eastAsia"/>
                <w:b/>
                <w:bCs/>
                <w:color w:val="FF0000"/>
                <w:u w:val="single"/>
              </w:rPr>
              <w:t>是否</w:t>
            </w:r>
            <w:r w:rsidR="004C7058" w:rsidRPr="00906879">
              <w:rPr>
                <w:rFonts w:ascii="新細明體" w:eastAsia="新細明體" w:hAnsi="新細明體" w:hint="eastAsia"/>
                <w:b/>
                <w:bCs/>
                <w:color w:val="FF0000"/>
                <w:u w:val="single"/>
              </w:rPr>
              <w:t>每年定期或於市場交易發生顯著變化時，檢視異地備援系統清</w:t>
            </w:r>
            <w:r w:rsidR="004C7058" w:rsidRPr="00906879">
              <w:rPr>
                <w:rFonts w:ascii="新細明體" w:eastAsia="新細明體" w:hAnsi="新細明體" w:hint="eastAsia"/>
                <w:b/>
                <w:bCs/>
                <w:color w:val="FF0000"/>
                <w:u w:val="single"/>
              </w:rPr>
              <w:lastRenderedPageBreak/>
              <w:t>單之完整性</w:t>
            </w:r>
            <w:r w:rsidR="004C7058" w:rsidRPr="004C7058">
              <w:rPr>
                <w:rFonts w:ascii="新細明體" w:eastAsia="新細明體" w:hAnsi="新細明體" w:hint="eastAsia"/>
                <w:color w:val="000000"/>
              </w:rPr>
              <w:t>。</w:t>
            </w:r>
            <w:r w:rsidR="00840168" w:rsidRPr="004C7058">
              <w:rPr>
                <w:rFonts w:ascii="新細明體" w:eastAsia="新細明體" w:hAnsi="新細明體"/>
                <w:color w:val="000000" w:themeColor="text1"/>
              </w:rPr>
              <w:t>(</w:t>
            </w:r>
            <w:r w:rsidR="00840168" w:rsidRPr="004C7058">
              <w:rPr>
                <w:rFonts w:ascii="新細明體" w:eastAsia="新細明體" w:hAnsi="新細明體" w:hint="eastAsia"/>
                <w:color w:val="000000" w:themeColor="text1"/>
              </w:rPr>
              <w:t>註：</w:t>
            </w:r>
            <w:r w:rsidR="00840168" w:rsidRPr="004C7058">
              <w:rPr>
                <w:rFonts w:ascii="新細明體" w:eastAsia="新細明體" w:hAnsi="新細明體"/>
                <w:color w:val="000000" w:themeColor="text1"/>
              </w:rPr>
              <w:t>異地備援機房</w:t>
            </w:r>
            <w:r w:rsidR="00840168" w:rsidRPr="004C7058">
              <w:rPr>
                <w:rFonts w:ascii="新細明體" w:eastAsia="新細明體" w:hAnsi="新細明體" w:hint="eastAsia"/>
                <w:color w:val="000000" w:themeColor="text1"/>
              </w:rPr>
              <w:t>建置範圍</w:t>
            </w:r>
            <w:r w:rsidR="00840168" w:rsidRPr="004C7058">
              <w:rPr>
                <w:rFonts w:ascii="新細明體" w:eastAsia="新細明體" w:hAnsi="新細明體"/>
                <w:color w:val="000000" w:themeColor="text1"/>
              </w:rPr>
              <w:t>由交易主機擴大至對營運具重大影響之核心系統，自116年12月底生效。)</w:t>
            </w:r>
          </w:p>
        </w:tc>
        <w:tc>
          <w:tcPr>
            <w:tcW w:w="5387" w:type="dxa"/>
            <w:tcBorders>
              <w:top w:val="nil"/>
              <w:bottom w:val="nil"/>
            </w:tcBorders>
          </w:tcPr>
          <w:p w14:paraId="33CCE714" w14:textId="3E6776C5" w:rsidR="003B3105" w:rsidRPr="004C7058" w:rsidRDefault="0027008E" w:rsidP="003B3105">
            <w:pPr>
              <w:spacing w:line="360" w:lineRule="exact"/>
              <w:ind w:left="429" w:hangingChars="165" w:hanging="429"/>
              <w:rPr>
                <w:rFonts w:ascii="新細明體" w:eastAsia="新細明體" w:hAnsi="新細明體" w:cs="新細明體"/>
                <w:color w:val="000000" w:themeColor="text1"/>
              </w:rPr>
            </w:pPr>
            <w:r w:rsidRPr="004C7058">
              <w:rPr>
                <w:rFonts w:ascii="新細明體" w:eastAsia="新細明體" w:hAnsi="新細明體" w:cs="新細明體" w:hint="eastAsia"/>
                <w:color w:val="000000" w:themeColor="text1"/>
              </w:rPr>
              <w:lastRenderedPageBreak/>
              <w:t>(四)</w:t>
            </w:r>
            <w:r w:rsidR="004C7058" w:rsidRPr="004C7058">
              <w:rPr>
                <w:rFonts w:ascii="新細明體" w:eastAsia="新細明體" w:hAnsi="新細明體" w:cs="新細明體" w:hint="eastAsia"/>
                <w:color w:val="000000" w:themeColor="text1"/>
              </w:rPr>
              <w:t>公司（證券經紀商）</w:t>
            </w:r>
            <w:r w:rsidR="004C7058" w:rsidRPr="004C7058">
              <w:rPr>
                <w:rFonts w:ascii="新細明體" w:eastAsia="新細明體" w:hAnsi="新細明體" w:hint="eastAsia"/>
                <w:color w:val="000000" w:themeColor="text1"/>
              </w:rPr>
              <w:t>是否依所屬資安分級建置異地備援機房，並依營運衝擊分析結果於異地備援機房建置對營運具重大影響之核心系統。</w:t>
            </w:r>
            <w:r w:rsidR="004C7058" w:rsidRPr="004C7058">
              <w:rPr>
                <w:rFonts w:ascii="新細明體" w:eastAsia="新細明體" w:hAnsi="新細明體"/>
                <w:color w:val="000000" w:themeColor="text1"/>
              </w:rPr>
              <w:t>(</w:t>
            </w:r>
            <w:r w:rsidR="004C7058" w:rsidRPr="004C7058">
              <w:rPr>
                <w:rFonts w:ascii="新細明體" w:eastAsia="新細明體" w:hAnsi="新細明體" w:hint="eastAsia"/>
                <w:color w:val="000000" w:themeColor="text1"/>
              </w:rPr>
              <w:t>註：</w:t>
            </w:r>
            <w:r w:rsidR="004C7058" w:rsidRPr="004C7058">
              <w:rPr>
                <w:rFonts w:ascii="新細明體" w:eastAsia="新細明體" w:hAnsi="新細明體"/>
                <w:color w:val="000000" w:themeColor="text1"/>
              </w:rPr>
              <w:t>異地備援機房</w:t>
            </w:r>
            <w:r w:rsidR="004C7058" w:rsidRPr="004C7058">
              <w:rPr>
                <w:rFonts w:ascii="新細明體" w:eastAsia="新細明體" w:hAnsi="新細明體" w:hint="eastAsia"/>
                <w:color w:val="000000" w:themeColor="text1"/>
              </w:rPr>
              <w:t>建置範圍</w:t>
            </w:r>
            <w:r w:rsidR="004C7058" w:rsidRPr="004C7058">
              <w:rPr>
                <w:rFonts w:ascii="新細明體" w:eastAsia="新細明體" w:hAnsi="新細明體"/>
                <w:color w:val="000000" w:themeColor="text1"/>
              </w:rPr>
              <w:t>由交易主機擴大至對營運具重大影響之核</w:t>
            </w:r>
            <w:r w:rsidR="004C7058" w:rsidRPr="004C7058">
              <w:rPr>
                <w:rFonts w:ascii="新細明體" w:eastAsia="新細明體" w:hAnsi="新細明體"/>
                <w:color w:val="000000" w:themeColor="text1"/>
              </w:rPr>
              <w:lastRenderedPageBreak/>
              <w:t>心系統，自116年12月底生效。)</w:t>
            </w:r>
          </w:p>
        </w:tc>
        <w:tc>
          <w:tcPr>
            <w:tcW w:w="2023" w:type="dxa"/>
            <w:vMerge/>
            <w:tcBorders>
              <w:right w:val="single" w:sz="12" w:space="0" w:color="auto"/>
            </w:tcBorders>
          </w:tcPr>
          <w:p w14:paraId="56C9C441" w14:textId="77777777" w:rsidR="003B3105" w:rsidRPr="004C7058" w:rsidRDefault="003B3105" w:rsidP="003B3105">
            <w:pPr>
              <w:spacing w:line="360" w:lineRule="exact"/>
              <w:ind w:left="28" w:right="28"/>
              <w:rPr>
                <w:rFonts w:ascii="新細明體" w:eastAsia="新細明體" w:hAnsi="新細明體" w:cs="Times New Roman"/>
                <w:color w:val="000000" w:themeColor="text1"/>
                <w:spacing w:val="20"/>
                <w:szCs w:val="20"/>
              </w:rPr>
            </w:pPr>
          </w:p>
        </w:tc>
      </w:tr>
      <w:tr w:rsidR="003B3105" w:rsidRPr="004C7058" w14:paraId="32A0F278" w14:textId="77777777">
        <w:tc>
          <w:tcPr>
            <w:tcW w:w="1384" w:type="dxa"/>
            <w:vMerge/>
            <w:tcBorders>
              <w:left w:val="single" w:sz="12" w:space="0" w:color="auto"/>
            </w:tcBorders>
          </w:tcPr>
          <w:p w14:paraId="23B948DB" w14:textId="77777777" w:rsidR="003B3105" w:rsidRPr="004C7058" w:rsidRDefault="003B3105" w:rsidP="001E533B">
            <w:pPr>
              <w:rPr>
                <w:rFonts w:ascii="新細明體" w:eastAsia="新細明體" w:hAnsi="新細明體"/>
                <w:color w:val="000000" w:themeColor="text1"/>
              </w:rPr>
            </w:pPr>
          </w:p>
        </w:tc>
        <w:tc>
          <w:tcPr>
            <w:tcW w:w="1276" w:type="dxa"/>
            <w:vMerge/>
          </w:tcPr>
          <w:p w14:paraId="162CC889" w14:textId="77777777" w:rsidR="003B3105" w:rsidRPr="004C7058" w:rsidRDefault="003B3105" w:rsidP="001E533B">
            <w:pPr>
              <w:rPr>
                <w:rFonts w:ascii="新細明體" w:eastAsia="新細明體" w:hAnsi="新細明體"/>
                <w:color w:val="000000" w:themeColor="text1"/>
              </w:rPr>
            </w:pPr>
          </w:p>
        </w:tc>
        <w:tc>
          <w:tcPr>
            <w:tcW w:w="5386" w:type="dxa"/>
            <w:tcBorders>
              <w:top w:val="nil"/>
              <w:bottom w:val="nil"/>
            </w:tcBorders>
          </w:tcPr>
          <w:p w14:paraId="4F15F47A" w14:textId="77777777" w:rsidR="003B3105" w:rsidRPr="004C7058" w:rsidRDefault="0027008E" w:rsidP="003B3105">
            <w:pPr>
              <w:spacing w:line="360" w:lineRule="exact"/>
              <w:ind w:left="429" w:hangingChars="165" w:hanging="429"/>
              <w:rPr>
                <w:rFonts w:ascii="新細明體" w:eastAsia="新細明體" w:hAnsi="新細明體" w:cs="新細明體"/>
                <w:color w:val="000000" w:themeColor="text1"/>
              </w:rPr>
            </w:pPr>
            <w:r w:rsidRPr="004C7058">
              <w:rPr>
                <w:rFonts w:ascii="新細明體" w:eastAsia="新細明體" w:hAnsi="新細明體" w:cs="新細明體" w:hint="eastAsia"/>
                <w:color w:val="000000" w:themeColor="text1"/>
              </w:rPr>
              <w:t>(五)公司是否訂定資訊安全訊息通報機制。</w:t>
            </w:r>
          </w:p>
        </w:tc>
        <w:tc>
          <w:tcPr>
            <w:tcW w:w="5387" w:type="dxa"/>
            <w:tcBorders>
              <w:top w:val="nil"/>
              <w:bottom w:val="nil"/>
            </w:tcBorders>
          </w:tcPr>
          <w:p w14:paraId="1850DBD1" w14:textId="77777777" w:rsidR="003B3105" w:rsidRPr="004C7058" w:rsidRDefault="0027008E" w:rsidP="003B3105">
            <w:pPr>
              <w:spacing w:line="360" w:lineRule="exact"/>
              <w:ind w:left="429" w:hangingChars="165" w:hanging="429"/>
              <w:rPr>
                <w:rFonts w:ascii="新細明體" w:eastAsia="新細明體" w:hAnsi="新細明體" w:cs="新細明體"/>
                <w:color w:val="000000" w:themeColor="text1"/>
              </w:rPr>
            </w:pPr>
            <w:r w:rsidRPr="004C7058">
              <w:rPr>
                <w:rFonts w:ascii="新細明體" w:eastAsia="新細明體" w:hAnsi="新細明體" w:cs="新細明體" w:hint="eastAsia"/>
                <w:color w:val="000000" w:themeColor="text1"/>
              </w:rPr>
              <w:t>(五)公司是否訂定資訊安全訊息通報機制。</w:t>
            </w:r>
          </w:p>
        </w:tc>
        <w:tc>
          <w:tcPr>
            <w:tcW w:w="2023" w:type="dxa"/>
            <w:vMerge/>
            <w:tcBorders>
              <w:right w:val="single" w:sz="12" w:space="0" w:color="auto"/>
            </w:tcBorders>
          </w:tcPr>
          <w:p w14:paraId="710D9F30" w14:textId="77777777" w:rsidR="003B3105" w:rsidRPr="004C7058" w:rsidRDefault="003B3105" w:rsidP="003B3105">
            <w:pPr>
              <w:spacing w:line="360" w:lineRule="exact"/>
              <w:ind w:left="28" w:right="28"/>
              <w:rPr>
                <w:rFonts w:ascii="新細明體" w:eastAsia="新細明體" w:hAnsi="新細明體" w:cs="Times New Roman"/>
                <w:color w:val="000000" w:themeColor="text1"/>
                <w:spacing w:val="20"/>
                <w:szCs w:val="20"/>
              </w:rPr>
            </w:pPr>
          </w:p>
        </w:tc>
      </w:tr>
      <w:tr w:rsidR="003B3105" w:rsidRPr="004C7058" w14:paraId="4CF6ED98" w14:textId="77777777">
        <w:tc>
          <w:tcPr>
            <w:tcW w:w="1384" w:type="dxa"/>
            <w:vMerge/>
            <w:tcBorders>
              <w:left w:val="single" w:sz="12" w:space="0" w:color="auto"/>
            </w:tcBorders>
          </w:tcPr>
          <w:p w14:paraId="6382AD26" w14:textId="77777777" w:rsidR="003B3105" w:rsidRPr="004C7058" w:rsidRDefault="003B3105" w:rsidP="001E533B">
            <w:pPr>
              <w:rPr>
                <w:rFonts w:ascii="新細明體" w:eastAsia="新細明體" w:hAnsi="新細明體"/>
                <w:color w:val="000000" w:themeColor="text1"/>
              </w:rPr>
            </w:pPr>
          </w:p>
        </w:tc>
        <w:tc>
          <w:tcPr>
            <w:tcW w:w="1276" w:type="dxa"/>
            <w:vMerge/>
          </w:tcPr>
          <w:p w14:paraId="2739768E" w14:textId="77777777" w:rsidR="003B3105" w:rsidRPr="004C7058" w:rsidRDefault="003B3105" w:rsidP="001E533B">
            <w:pPr>
              <w:rPr>
                <w:rFonts w:ascii="新細明體" w:eastAsia="新細明體" w:hAnsi="新細明體"/>
                <w:color w:val="000000" w:themeColor="text1"/>
              </w:rPr>
            </w:pPr>
          </w:p>
        </w:tc>
        <w:tc>
          <w:tcPr>
            <w:tcW w:w="5386" w:type="dxa"/>
            <w:tcBorders>
              <w:top w:val="nil"/>
              <w:bottom w:val="nil"/>
            </w:tcBorders>
          </w:tcPr>
          <w:p w14:paraId="6285E0B4" w14:textId="77777777" w:rsidR="003B3105" w:rsidRPr="004C7058" w:rsidRDefault="0027008E" w:rsidP="003B3105">
            <w:pPr>
              <w:spacing w:line="360" w:lineRule="exact"/>
              <w:ind w:left="429" w:hangingChars="165" w:hanging="429"/>
              <w:rPr>
                <w:rFonts w:ascii="新細明體" w:eastAsia="新細明體" w:hAnsi="新細明體" w:cs="新細明體"/>
                <w:color w:val="000000" w:themeColor="text1"/>
              </w:rPr>
            </w:pPr>
            <w:r w:rsidRPr="004C7058">
              <w:rPr>
                <w:rFonts w:ascii="新細明體" w:eastAsia="新細明體" w:hAnsi="新細明體" w:cs="新細明體" w:hint="eastAsia"/>
                <w:color w:val="000000" w:themeColor="text1"/>
              </w:rPr>
              <w:t>(六)公司針對與資通系統有關之資訊安全或服務異常事件，是否依「證券期貨市場資通安全事件通報應變作業注意事項」及「證券商通報重大資安事件之範圍申報程序及其他應遵循事項」辦理，並採取適當矯正程序，留存紀錄。</w:t>
            </w:r>
          </w:p>
        </w:tc>
        <w:tc>
          <w:tcPr>
            <w:tcW w:w="5387" w:type="dxa"/>
            <w:tcBorders>
              <w:top w:val="nil"/>
              <w:bottom w:val="nil"/>
            </w:tcBorders>
          </w:tcPr>
          <w:p w14:paraId="450A3F4B" w14:textId="77777777" w:rsidR="003B3105" w:rsidRPr="004C7058" w:rsidRDefault="0027008E" w:rsidP="003B3105">
            <w:pPr>
              <w:spacing w:line="360" w:lineRule="exact"/>
              <w:ind w:left="429" w:hangingChars="165" w:hanging="429"/>
              <w:rPr>
                <w:rFonts w:ascii="新細明體" w:eastAsia="新細明體" w:hAnsi="新細明體" w:cs="新細明體"/>
                <w:color w:val="000000" w:themeColor="text1"/>
              </w:rPr>
            </w:pPr>
            <w:r w:rsidRPr="004C7058">
              <w:rPr>
                <w:rFonts w:ascii="新細明體" w:eastAsia="新細明體" w:hAnsi="新細明體" w:cs="新細明體" w:hint="eastAsia"/>
                <w:color w:val="000000" w:themeColor="text1"/>
              </w:rPr>
              <w:t>(六)公司針對與資通系統有關之資訊安全或服務異常事件，是否依「證券期貨市場資通安全事件通報應變作業注意事項」及「證券商通報重大資安事件之範圍申報程序及其他應遵循事項」辦理，並採取適當矯正程序，留存紀錄。</w:t>
            </w:r>
          </w:p>
        </w:tc>
        <w:tc>
          <w:tcPr>
            <w:tcW w:w="2023" w:type="dxa"/>
            <w:vMerge/>
            <w:tcBorders>
              <w:right w:val="single" w:sz="12" w:space="0" w:color="auto"/>
            </w:tcBorders>
          </w:tcPr>
          <w:p w14:paraId="352AFB49" w14:textId="77777777" w:rsidR="003B3105" w:rsidRPr="004C7058" w:rsidRDefault="003B3105" w:rsidP="003B3105">
            <w:pPr>
              <w:spacing w:line="360" w:lineRule="exact"/>
              <w:ind w:left="28" w:right="28"/>
              <w:rPr>
                <w:rFonts w:ascii="新細明體" w:eastAsia="新細明體" w:hAnsi="新細明體" w:cs="Times New Roman"/>
                <w:color w:val="000000" w:themeColor="text1"/>
                <w:spacing w:val="20"/>
                <w:szCs w:val="20"/>
              </w:rPr>
            </w:pPr>
          </w:p>
        </w:tc>
      </w:tr>
      <w:tr w:rsidR="003B3105" w:rsidRPr="004C7058" w14:paraId="3B9E49FB" w14:textId="77777777">
        <w:tc>
          <w:tcPr>
            <w:tcW w:w="1384" w:type="dxa"/>
            <w:vMerge/>
            <w:tcBorders>
              <w:left w:val="single" w:sz="12" w:space="0" w:color="auto"/>
            </w:tcBorders>
          </w:tcPr>
          <w:p w14:paraId="3805C466" w14:textId="77777777" w:rsidR="003B3105" w:rsidRPr="004C7058" w:rsidRDefault="003B3105" w:rsidP="001E533B">
            <w:pPr>
              <w:rPr>
                <w:rFonts w:ascii="新細明體" w:eastAsia="新細明體" w:hAnsi="新細明體"/>
                <w:color w:val="000000" w:themeColor="text1"/>
              </w:rPr>
            </w:pPr>
          </w:p>
        </w:tc>
        <w:tc>
          <w:tcPr>
            <w:tcW w:w="1276" w:type="dxa"/>
            <w:vMerge/>
          </w:tcPr>
          <w:p w14:paraId="504C5146" w14:textId="77777777" w:rsidR="003B3105" w:rsidRPr="004C7058" w:rsidRDefault="003B3105" w:rsidP="001E533B">
            <w:pPr>
              <w:rPr>
                <w:rFonts w:ascii="新細明體" w:eastAsia="新細明體" w:hAnsi="新細明體"/>
                <w:color w:val="000000" w:themeColor="text1"/>
              </w:rPr>
            </w:pPr>
          </w:p>
        </w:tc>
        <w:tc>
          <w:tcPr>
            <w:tcW w:w="5386" w:type="dxa"/>
            <w:tcBorders>
              <w:top w:val="nil"/>
              <w:bottom w:val="nil"/>
            </w:tcBorders>
          </w:tcPr>
          <w:p w14:paraId="1AD6CA91" w14:textId="77777777" w:rsidR="003B3105" w:rsidRPr="004C7058" w:rsidRDefault="0027008E" w:rsidP="003B3105">
            <w:pPr>
              <w:spacing w:line="360" w:lineRule="exact"/>
              <w:ind w:left="429" w:hangingChars="165" w:hanging="429"/>
              <w:rPr>
                <w:rFonts w:ascii="新細明體" w:eastAsia="新細明體" w:hAnsi="新細明體" w:cs="新細明體"/>
                <w:color w:val="000000" w:themeColor="text1"/>
              </w:rPr>
            </w:pPr>
            <w:r w:rsidRPr="004C7058">
              <w:rPr>
                <w:rFonts w:ascii="新細明體" w:eastAsia="新細明體" w:hAnsi="新細明體" w:cs="新細明體" w:hint="eastAsia"/>
                <w:color w:val="000000" w:themeColor="text1"/>
              </w:rPr>
              <w:t>(七)公司發生個人資料之竊取、竄改、毀損、滅失、或洩漏等資安事故者，是否立即函報證交所(或櫃檯買賣中心、券商公會)轉陳主管機關。</w:t>
            </w:r>
          </w:p>
        </w:tc>
        <w:tc>
          <w:tcPr>
            <w:tcW w:w="5387" w:type="dxa"/>
            <w:tcBorders>
              <w:top w:val="nil"/>
              <w:bottom w:val="nil"/>
            </w:tcBorders>
          </w:tcPr>
          <w:p w14:paraId="3D25D1E0" w14:textId="77777777" w:rsidR="003B3105" w:rsidRPr="004C7058" w:rsidRDefault="0027008E" w:rsidP="003B3105">
            <w:pPr>
              <w:spacing w:line="360" w:lineRule="exact"/>
              <w:ind w:left="429" w:hangingChars="165" w:hanging="429"/>
              <w:rPr>
                <w:rFonts w:ascii="新細明體" w:eastAsia="新細明體" w:hAnsi="新細明體" w:cs="新細明體"/>
                <w:color w:val="000000" w:themeColor="text1"/>
              </w:rPr>
            </w:pPr>
            <w:r w:rsidRPr="004C7058">
              <w:rPr>
                <w:rFonts w:ascii="新細明體" w:eastAsia="新細明體" w:hAnsi="新細明體" w:cs="新細明體" w:hint="eastAsia"/>
                <w:color w:val="000000" w:themeColor="text1"/>
              </w:rPr>
              <w:t>(七)公司發生個人資料之竊取、竄改、毀損、滅失、或洩漏等資安事故者，是否立即函報證交所(或櫃檯買賣中心、券商公會)轉陳主管機關。</w:t>
            </w:r>
          </w:p>
        </w:tc>
        <w:tc>
          <w:tcPr>
            <w:tcW w:w="2023" w:type="dxa"/>
            <w:vMerge/>
            <w:tcBorders>
              <w:right w:val="single" w:sz="12" w:space="0" w:color="auto"/>
            </w:tcBorders>
          </w:tcPr>
          <w:p w14:paraId="6EF156DD" w14:textId="77777777" w:rsidR="003B3105" w:rsidRPr="004C7058" w:rsidRDefault="003B3105" w:rsidP="003B3105">
            <w:pPr>
              <w:spacing w:line="360" w:lineRule="exact"/>
              <w:ind w:left="28" w:right="28"/>
              <w:rPr>
                <w:rFonts w:ascii="新細明體" w:eastAsia="新細明體" w:hAnsi="新細明體" w:cs="Times New Roman"/>
                <w:color w:val="000000" w:themeColor="text1"/>
                <w:spacing w:val="20"/>
                <w:szCs w:val="20"/>
              </w:rPr>
            </w:pPr>
          </w:p>
        </w:tc>
      </w:tr>
      <w:tr w:rsidR="003B3105" w:rsidRPr="004C7058" w14:paraId="115B3A4E" w14:textId="77777777">
        <w:tc>
          <w:tcPr>
            <w:tcW w:w="1384" w:type="dxa"/>
            <w:vMerge/>
            <w:tcBorders>
              <w:left w:val="single" w:sz="12" w:space="0" w:color="auto"/>
            </w:tcBorders>
          </w:tcPr>
          <w:p w14:paraId="4288F907" w14:textId="77777777" w:rsidR="003B3105" w:rsidRPr="004C7058" w:rsidRDefault="003B3105" w:rsidP="001E533B">
            <w:pPr>
              <w:rPr>
                <w:rFonts w:ascii="新細明體" w:eastAsia="新細明體" w:hAnsi="新細明體"/>
                <w:color w:val="000000" w:themeColor="text1"/>
              </w:rPr>
            </w:pPr>
          </w:p>
        </w:tc>
        <w:tc>
          <w:tcPr>
            <w:tcW w:w="1276" w:type="dxa"/>
            <w:vMerge/>
          </w:tcPr>
          <w:p w14:paraId="1BC64907" w14:textId="77777777" w:rsidR="003B3105" w:rsidRPr="004C7058" w:rsidRDefault="003B3105" w:rsidP="001E533B">
            <w:pPr>
              <w:rPr>
                <w:rFonts w:ascii="新細明體" w:eastAsia="新細明體" w:hAnsi="新細明體"/>
                <w:color w:val="000000" w:themeColor="text1"/>
              </w:rPr>
            </w:pPr>
          </w:p>
        </w:tc>
        <w:tc>
          <w:tcPr>
            <w:tcW w:w="5386" w:type="dxa"/>
            <w:tcBorders>
              <w:top w:val="nil"/>
              <w:bottom w:val="nil"/>
            </w:tcBorders>
          </w:tcPr>
          <w:p w14:paraId="20EC4FF6" w14:textId="77777777" w:rsidR="003B3105" w:rsidRPr="004C7058" w:rsidRDefault="0027008E" w:rsidP="003B3105">
            <w:pPr>
              <w:spacing w:line="360" w:lineRule="exact"/>
              <w:ind w:left="429" w:hangingChars="165" w:hanging="429"/>
              <w:rPr>
                <w:rFonts w:ascii="新細明體" w:eastAsia="新細明體" w:hAnsi="新細明體" w:cs="新細明體"/>
                <w:color w:val="000000" w:themeColor="text1"/>
              </w:rPr>
            </w:pPr>
            <w:r w:rsidRPr="004C7058">
              <w:rPr>
                <w:rFonts w:ascii="新細明體" w:eastAsia="新細明體" w:hAnsi="新細明體" w:cs="新細明體" w:hint="eastAsia"/>
                <w:color w:val="000000" w:themeColor="text1"/>
              </w:rPr>
              <w:t>(八)公司是否明確訂定分散式阻斷服務攻擊(DDoS)防禦與應變作業程序，並是否每年進行演練。</w:t>
            </w:r>
          </w:p>
        </w:tc>
        <w:tc>
          <w:tcPr>
            <w:tcW w:w="5387" w:type="dxa"/>
            <w:tcBorders>
              <w:top w:val="nil"/>
              <w:bottom w:val="nil"/>
            </w:tcBorders>
          </w:tcPr>
          <w:p w14:paraId="24C44F9C" w14:textId="25EB9CD9" w:rsidR="003B3105" w:rsidRPr="004C7058" w:rsidRDefault="0027008E" w:rsidP="003B3105">
            <w:pPr>
              <w:spacing w:line="360" w:lineRule="exact"/>
              <w:ind w:left="429" w:hangingChars="165" w:hanging="429"/>
              <w:rPr>
                <w:rFonts w:ascii="新細明體" w:eastAsia="新細明體" w:hAnsi="新細明體" w:cs="新細明體"/>
                <w:color w:val="000000" w:themeColor="text1"/>
              </w:rPr>
            </w:pPr>
            <w:r w:rsidRPr="004C7058">
              <w:rPr>
                <w:rFonts w:ascii="新細明體" w:eastAsia="新細明體" w:hAnsi="新細明體" w:cs="新細明體" w:hint="eastAsia"/>
                <w:color w:val="000000" w:themeColor="text1"/>
              </w:rPr>
              <w:t>(八)公司是否明確訂定分散式阻斷服務攻擊(DDoS)</w:t>
            </w:r>
            <w:r w:rsidR="004C7058" w:rsidRPr="004C7058">
              <w:rPr>
                <w:rFonts w:ascii="新細明體" w:eastAsia="新細明體" w:hAnsi="新細明體" w:cs="新細明體" w:hint="eastAsia"/>
                <w:color w:val="000000" w:themeColor="text1"/>
              </w:rPr>
              <w:t>防禦與應變作業程序，並是否每年進行演練。</w:t>
            </w:r>
          </w:p>
        </w:tc>
        <w:tc>
          <w:tcPr>
            <w:tcW w:w="2023" w:type="dxa"/>
            <w:vMerge/>
            <w:tcBorders>
              <w:right w:val="single" w:sz="12" w:space="0" w:color="auto"/>
            </w:tcBorders>
          </w:tcPr>
          <w:p w14:paraId="1A2ED2D7" w14:textId="77777777" w:rsidR="003B3105" w:rsidRPr="004C7058" w:rsidRDefault="003B3105" w:rsidP="003B3105">
            <w:pPr>
              <w:spacing w:line="360" w:lineRule="exact"/>
              <w:ind w:left="28" w:right="28"/>
              <w:rPr>
                <w:rFonts w:ascii="新細明體" w:eastAsia="新細明體" w:hAnsi="新細明體" w:cs="Times New Roman"/>
                <w:color w:val="000000" w:themeColor="text1"/>
                <w:spacing w:val="20"/>
                <w:szCs w:val="20"/>
              </w:rPr>
            </w:pPr>
          </w:p>
        </w:tc>
      </w:tr>
      <w:tr w:rsidR="003B3105" w:rsidRPr="004C7058" w14:paraId="55C89D87" w14:textId="77777777">
        <w:tc>
          <w:tcPr>
            <w:tcW w:w="1384" w:type="dxa"/>
            <w:vMerge/>
            <w:tcBorders>
              <w:left w:val="single" w:sz="12" w:space="0" w:color="auto"/>
            </w:tcBorders>
          </w:tcPr>
          <w:p w14:paraId="73D87EA6" w14:textId="77777777" w:rsidR="003B3105" w:rsidRPr="004C7058" w:rsidRDefault="003B3105" w:rsidP="001E533B">
            <w:pPr>
              <w:rPr>
                <w:rFonts w:ascii="新細明體" w:eastAsia="新細明體" w:hAnsi="新細明體"/>
                <w:color w:val="000000" w:themeColor="text1"/>
              </w:rPr>
            </w:pPr>
          </w:p>
        </w:tc>
        <w:tc>
          <w:tcPr>
            <w:tcW w:w="1276" w:type="dxa"/>
            <w:vMerge/>
          </w:tcPr>
          <w:p w14:paraId="537FAEF9" w14:textId="77777777" w:rsidR="003B3105" w:rsidRPr="004C7058" w:rsidRDefault="003B3105" w:rsidP="001E533B">
            <w:pPr>
              <w:rPr>
                <w:rFonts w:ascii="新細明體" w:eastAsia="新細明體" w:hAnsi="新細明體"/>
                <w:color w:val="000000" w:themeColor="text1"/>
              </w:rPr>
            </w:pPr>
          </w:p>
        </w:tc>
        <w:tc>
          <w:tcPr>
            <w:tcW w:w="5386" w:type="dxa"/>
            <w:tcBorders>
              <w:top w:val="nil"/>
              <w:bottom w:val="nil"/>
            </w:tcBorders>
          </w:tcPr>
          <w:p w14:paraId="64686C48" w14:textId="77777777" w:rsidR="003B3105" w:rsidRPr="004C7058" w:rsidRDefault="0027008E" w:rsidP="003B3105">
            <w:pPr>
              <w:spacing w:line="360" w:lineRule="exact"/>
              <w:ind w:left="429" w:hangingChars="165" w:hanging="429"/>
              <w:rPr>
                <w:rFonts w:ascii="新細明體" w:eastAsia="新細明體" w:hAnsi="新細明體" w:cs="新細明體"/>
                <w:color w:val="000000" w:themeColor="text1"/>
              </w:rPr>
            </w:pPr>
            <w:r w:rsidRPr="004C7058">
              <w:rPr>
                <w:rFonts w:ascii="新細明體" w:eastAsia="新細明體" w:hAnsi="新細明體" w:cs="新細明體" w:hint="eastAsia"/>
                <w:color w:val="000000" w:themeColor="text1"/>
              </w:rPr>
              <w:t>(九)公司是否辦理下列資安防護事宜：</w:t>
            </w:r>
          </w:p>
        </w:tc>
        <w:tc>
          <w:tcPr>
            <w:tcW w:w="5387" w:type="dxa"/>
            <w:tcBorders>
              <w:top w:val="nil"/>
              <w:bottom w:val="nil"/>
            </w:tcBorders>
          </w:tcPr>
          <w:p w14:paraId="150F0098" w14:textId="77777777" w:rsidR="003B3105" w:rsidRPr="004C7058" w:rsidRDefault="0027008E" w:rsidP="003B3105">
            <w:pPr>
              <w:spacing w:line="360" w:lineRule="exact"/>
              <w:ind w:left="429" w:hangingChars="165" w:hanging="429"/>
              <w:rPr>
                <w:rFonts w:ascii="新細明體" w:eastAsia="新細明體" w:hAnsi="新細明體" w:cs="新細明體"/>
                <w:color w:val="000000" w:themeColor="text1"/>
              </w:rPr>
            </w:pPr>
            <w:r w:rsidRPr="004C7058">
              <w:rPr>
                <w:rFonts w:ascii="新細明體" w:eastAsia="新細明體" w:hAnsi="新細明體" w:cs="新細明體" w:hint="eastAsia"/>
                <w:color w:val="000000" w:themeColor="text1"/>
              </w:rPr>
              <w:t>(九)公司是否辦理下列資安防護事宜：</w:t>
            </w:r>
          </w:p>
        </w:tc>
        <w:tc>
          <w:tcPr>
            <w:tcW w:w="2023" w:type="dxa"/>
            <w:vMerge/>
            <w:tcBorders>
              <w:right w:val="single" w:sz="12" w:space="0" w:color="auto"/>
            </w:tcBorders>
          </w:tcPr>
          <w:p w14:paraId="7B96730C" w14:textId="77777777" w:rsidR="003B3105" w:rsidRPr="004C7058" w:rsidRDefault="003B3105" w:rsidP="003B3105">
            <w:pPr>
              <w:spacing w:line="360" w:lineRule="exact"/>
              <w:ind w:left="28" w:right="28"/>
              <w:rPr>
                <w:rFonts w:ascii="新細明體" w:eastAsia="新細明體" w:hAnsi="新細明體" w:cs="Times New Roman"/>
                <w:color w:val="000000" w:themeColor="text1"/>
                <w:spacing w:val="20"/>
                <w:szCs w:val="20"/>
              </w:rPr>
            </w:pPr>
          </w:p>
        </w:tc>
      </w:tr>
      <w:tr w:rsidR="003B3105" w:rsidRPr="004C7058" w14:paraId="4E2CAFBE" w14:textId="77777777">
        <w:tc>
          <w:tcPr>
            <w:tcW w:w="1384" w:type="dxa"/>
            <w:vMerge/>
            <w:tcBorders>
              <w:left w:val="single" w:sz="12" w:space="0" w:color="auto"/>
            </w:tcBorders>
          </w:tcPr>
          <w:p w14:paraId="0C501BCA" w14:textId="77777777" w:rsidR="003B3105" w:rsidRPr="004C7058" w:rsidRDefault="003B3105" w:rsidP="001E533B">
            <w:pPr>
              <w:rPr>
                <w:rFonts w:ascii="新細明體" w:eastAsia="新細明體" w:hAnsi="新細明體"/>
                <w:color w:val="000000" w:themeColor="text1"/>
              </w:rPr>
            </w:pPr>
          </w:p>
        </w:tc>
        <w:tc>
          <w:tcPr>
            <w:tcW w:w="1276" w:type="dxa"/>
            <w:vMerge/>
          </w:tcPr>
          <w:p w14:paraId="7846BC64" w14:textId="77777777" w:rsidR="003B3105" w:rsidRPr="004C7058" w:rsidRDefault="003B3105" w:rsidP="001E533B">
            <w:pPr>
              <w:rPr>
                <w:rFonts w:ascii="新細明體" w:eastAsia="新細明體" w:hAnsi="新細明體"/>
                <w:color w:val="000000" w:themeColor="text1"/>
              </w:rPr>
            </w:pPr>
          </w:p>
        </w:tc>
        <w:tc>
          <w:tcPr>
            <w:tcW w:w="5386" w:type="dxa"/>
            <w:tcBorders>
              <w:top w:val="nil"/>
              <w:bottom w:val="nil"/>
            </w:tcBorders>
          </w:tcPr>
          <w:p w14:paraId="4CB64861" w14:textId="77777777" w:rsidR="003B3105" w:rsidRPr="004C7058" w:rsidRDefault="0027008E" w:rsidP="003B3105">
            <w:pPr>
              <w:spacing w:line="360" w:lineRule="exact"/>
              <w:ind w:leftChars="165" w:left="634" w:hangingChars="79" w:hanging="205"/>
              <w:rPr>
                <w:rFonts w:ascii="新細明體" w:eastAsia="新細明體" w:hAnsi="新細明體" w:cs="新細明體"/>
                <w:color w:val="000000" w:themeColor="text1"/>
              </w:rPr>
            </w:pPr>
            <w:r w:rsidRPr="004C7058">
              <w:rPr>
                <w:rFonts w:ascii="新細明體" w:eastAsia="新細明體" w:hAnsi="新細明體" w:cs="新細明體" w:hint="eastAsia"/>
                <w:color w:val="000000" w:themeColor="text1"/>
              </w:rPr>
              <w:t>1.指定人員及部門統籌並協調聯繫各有關部門。</w:t>
            </w:r>
          </w:p>
        </w:tc>
        <w:tc>
          <w:tcPr>
            <w:tcW w:w="5387" w:type="dxa"/>
            <w:tcBorders>
              <w:top w:val="nil"/>
              <w:bottom w:val="nil"/>
            </w:tcBorders>
          </w:tcPr>
          <w:p w14:paraId="08039B6A" w14:textId="77777777" w:rsidR="003B3105" w:rsidRPr="004C7058" w:rsidRDefault="0027008E" w:rsidP="003B3105">
            <w:pPr>
              <w:spacing w:line="360" w:lineRule="exact"/>
              <w:ind w:leftChars="165" w:left="634" w:hangingChars="79" w:hanging="205"/>
              <w:rPr>
                <w:rFonts w:ascii="新細明體" w:eastAsia="新細明體" w:hAnsi="新細明體" w:cs="新細明體"/>
                <w:color w:val="000000" w:themeColor="text1"/>
              </w:rPr>
            </w:pPr>
            <w:r w:rsidRPr="004C7058">
              <w:rPr>
                <w:rFonts w:ascii="新細明體" w:eastAsia="新細明體" w:hAnsi="新細明體" w:cs="新細明體" w:hint="eastAsia"/>
                <w:color w:val="000000" w:themeColor="text1"/>
              </w:rPr>
              <w:t>1.指定人員及部門統籌並協調聯繫各有關部門。</w:t>
            </w:r>
          </w:p>
        </w:tc>
        <w:tc>
          <w:tcPr>
            <w:tcW w:w="2023" w:type="dxa"/>
            <w:vMerge/>
            <w:tcBorders>
              <w:right w:val="single" w:sz="12" w:space="0" w:color="auto"/>
            </w:tcBorders>
          </w:tcPr>
          <w:p w14:paraId="0D6DF3BF" w14:textId="77777777" w:rsidR="003B3105" w:rsidRPr="004C7058" w:rsidRDefault="003B3105" w:rsidP="003B3105">
            <w:pPr>
              <w:spacing w:line="360" w:lineRule="exact"/>
              <w:ind w:left="28" w:right="28"/>
              <w:rPr>
                <w:rFonts w:ascii="新細明體" w:eastAsia="新細明體" w:hAnsi="新細明體" w:cs="Times New Roman"/>
                <w:color w:val="000000" w:themeColor="text1"/>
                <w:spacing w:val="20"/>
                <w:szCs w:val="20"/>
              </w:rPr>
            </w:pPr>
          </w:p>
        </w:tc>
      </w:tr>
      <w:tr w:rsidR="003B3105" w:rsidRPr="004C7058" w14:paraId="7AADCBED" w14:textId="77777777">
        <w:tc>
          <w:tcPr>
            <w:tcW w:w="1384" w:type="dxa"/>
            <w:vMerge/>
            <w:tcBorders>
              <w:left w:val="single" w:sz="12" w:space="0" w:color="auto"/>
            </w:tcBorders>
          </w:tcPr>
          <w:p w14:paraId="235EDF32" w14:textId="77777777" w:rsidR="003B3105" w:rsidRPr="004C7058" w:rsidRDefault="003B3105" w:rsidP="001E533B">
            <w:pPr>
              <w:rPr>
                <w:rFonts w:ascii="新細明體" w:eastAsia="新細明體" w:hAnsi="新細明體"/>
                <w:color w:val="000000" w:themeColor="text1"/>
              </w:rPr>
            </w:pPr>
          </w:p>
        </w:tc>
        <w:tc>
          <w:tcPr>
            <w:tcW w:w="1276" w:type="dxa"/>
            <w:vMerge/>
          </w:tcPr>
          <w:p w14:paraId="09A54C78" w14:textId="77777777" w:rsidR="003B3105" w:rsidRPr="004C7058" w:rsidRDefault="003B3105" w:rsidP="001E533B">
            <w:pPr>
              <w:rPr>
                <w:rFonts w:ascii="新細明體" w:eastAsia="新細明體" w:hAnsi="新細明體"/>
                <w:color w:val="000000" w:themeColor="text1"/>
              </w:rPr>
            </w:pPr>
          </w:p>
        </w:tc>
        <w:tc>
          <w:tcPr>
            <w:tcW w:w="5386" w:type="dxa"/>
            <w:tcBorders>
              <w:top w:val="nil"/>
              <w:bottom w:val="nil"/>
            </w:tcBorders>
          </w:tcPr>
          <w:p w14:paraId="25736020" w14:textId="77777777" w:rsidR="003B3105" w:rsidRPr="004C7058" w:rsidRDefault="0027008E" w:rsidP="003B3105">
            <w:pPr>
              <w:spacing w:line="360" w:lineRule="exact"/>
              <w:ind w:leftChars="165" w:left="634" w:hangingChars="79" w:hanging="205"/>
              <w:rPr>
                <w:rFonts w:ascii="新細明體" w:eastAsia="新細明體" w:hAnsi="新細明體" w:cs="新細明體"/>
                <w:color w:val="000000" w:themeColor="text1"/>
              </w:rPr>
            </w:pPr>
            <w:r w:rsidRPr="004C7058">
              <w:rPr>
                <w:rFonts w:ascii="新細明體" w:eastAsia="新細明體" w:hAnsi="新細明體" w:cs="新細明體" w:hint="eastAsia"/>
                <w:color w:val="000000" w:themeColor="text1"/>
              </w:rPr>
              <w:t>2.定期評估核心營運系統及設備，對評估結果採取適當措施，並提報董事會，以確保營運持續及作業韌性之能力。</w:t>
            </w:r>
          </w:p>
        </w:tc>
        <w:tc>
          <w:tcPr>
            <w:tcW w:w="5387" w:type="dxa"/>
            <w:tcBorders>
              <w:top w:val="nil"/>
              <w:bottom w:val="nil"/>
            </w:tcBorders>
          </w:tcPr>
          <w:p w14:paraId="563B7EDF" w14:textId="77777777" w:rsidR="003B3105" w:rsidRPr="004C7058" w:rsidRDefault="0027008E" w:rsidP="003B3105">
            <w:pPr>
              <w:spacing w:line="360" w:lineRule="exact"/>
              <w:ind w:leftChars="165" w:left="634" w:hangingChars="79" w:hanging="205"/>
              <w:rPr>
                <w:rFonts w:ascii="新細明體" w:eastAsia="新細明體" w:hAnsi="新細明體" w:cs="新細明體"/>
                <w:color w:val="000000" w:themeColor="text1"/>
              </w:rPr>
            </w:pPr>
            <w:r w:rsidRPr="004C7058">
              <w:rPr>
                <w:rFonts w:ascii="新細明體" w:eastAsia="新細明體" w:hAnsi="新細明體" w:cs="新細明體" w:hint="eastAsia"/>
                <w:color w:val="000000" w:themeColor="text1"/>
              </w:rPr>
              <w:t>2.定期評估核心營運系統及設備，對評估結果採取適當措施，並提報董事會，以確保營運持續及作業韌性之能力。</w:t>
            </w:r>
          </w:p>
        </w:tc>
        <w:tc>
          <w:tcPr>
            <w:tcW w:w="2023" w:type="dxa"/>
            <w:vMerge/>
            <w:tcBorders>
              <w:right w:val="single" w:sz="12" w:space="0" w:color="auto"/>
            </w:tcBorders>
          </w:tcPr>
          <w:p w14:paraId="437F0348" w14:textId="77777777" w:rsidR="003B3105" w:rsidRPr="004C7058" w:rsidRDefault="003B3105" w:rsidP="003B3105">
            <w:pPr>
              <w:spacing w:line="360" w:lineRule="exact"/>
              <w:ind w:left="28" w:right="28"/>
              <w:rPr>
                <w:rFonts w:ascii="新細明體" w:eastAsia="新細明體" w:hAnsi="新細明體" w:cs="Times New Roman"/>
                <w:color w:val="000000" w:themeColor="text1"/>
                <w:spacing w:val="20"/>
                <w:szCs w:val="20"/>
              </w:rPr>
            </w:pPr>
          </w:p>
        </w:tc>
      </w:tr>
      <w:tr w:rsidR="003B3105" w:rsidRPr="004C7058" w14:paraId="54D82E00" w14:textId="77777777">
        <w:tc>
          <w:tcPr>
            <w:tcW w:w="1384" w:type="dxa"/>
            <w:vMerge/>
            <w:tcBorders>
              <w:left w:val="single" w:sz="12" w:space="0" w:color="auto"/>
            </w:tcBorders>
          </w:tcPr>
          <w:p w14:paraId="78753D14" w14:textId="77777777" w:rsidR="003B3105" w:rsidRPr="004C7058" w:rsidRDefault="003B3105" w:rsidP="001E533B">
            <w:pPr>
              <w:rPr>
                <w:rFonts w:ascii="新細明體" w:eastAsia="新細明體" w:hAnsi="新細明體"/>
                <w:color w:val="000000" w:themeColor="text1"/>
              </w:rPr>
            </w:pPr>
          </w:p>
        </w:tc>
        <w:tc>
          <w:tcPr>
            <w:tcW w:w="1276" w:type="dxa"/>
            <w:vMerge/>
          </w:tcPr>
          <w:p w14:paraId="44B51D61" w14:textId="77777777" w:rsidR="003B3105" w:rsidRPr="004C7058" w:rsidRDefault="003B3105" w:rsidP="001E533B">
            <w:pPr>
              <w:rPr>
                <w:rFonts w:ascii="新細明體" w:eastAsia="新細明體" w:hAnsi="新細明體"/>
                <w:color w:val="000000" w:themeColor="text1"/>
              </w:rPr>
            </w:pPr>
          </w:p>
        </w:tc>
        <w:tc>
          <w:tcPr>
            <w:tcW w:w="5386" w:type="dxa"/>
            <w:tcBorders>
              <w:top w:val="nil"/>
              <w:bottom w:val="nil"/>
            </w:tcBorders>
          </w:tcPr>
          <w:p w14:paraId="7334E87A" w14:textId="77777777" w:rsidR="003B3105" w:rsidRPr="004C7058" w:rsidRDefault="0027008E" w:rsidP="003B3105">
            <w:pPr>
              <w:spacing w:line="360" w:lineRule="exact"/>
              <w:ind w:leftChars="165" w:left="634" w:hangingChars="79" w:hanging="205"/>
              <w:rPr>
                <w:rFonts w:ascii="新細明體" w:eastAsia="新細明體" w:hAnsi="新細明體" w:cs="新細明體"/>
                <w:color w:val="000000" w:themeColor="text1"/>
              </w:rPr>
            </w:pPr>
            <w:r w:rsidRPr="004C7058">
              <w:rPr>
                <w:rFonts w:ascii="新細明體" w:eastAsia="新細明體" w:hAnsi="新細明體" w:cs="新細明體" w:hint="eastAsia"/>
                <w:color w:val="000000" w:themeColor="text1"/>
              </w:rPr>
              <w:t>3.於永續報告書、年報、財務報告或公司網站，揭露年度內公司持續核心營運系統及設備營運所需之資源及落實於年度預算或教育訓練計畫等項目。</w:t>
            </w:r>
          </w:p>
        </w:tc>
        <w:tc>
          <w:tcPr>
            <w:tcW w:w="5387" w:type="dxa"/>
            <w:tcBorders>
              <w:top w:val="nil"/>
              <w:bottom w:val="nil"/>
            </w:tcBorders>
          </w:tcPr>
          <w:p w14:paraId="4FC79325" w14:textId="77777777" w:rsidR="003B3105" w:rsidRPr="004C7058" w:rsidRDefault="0027008E" w:rsidP="003B3105">
            <w:pPr>
              <w:spacing w:line="360" w:lineRule="exact"/>
              <w:ind w:leftChars="165" w:left="634" w:hangingChars="79" w:hanging="205"/>
              <w:rPr>
                <w:rFonts w:ascii="新細明體" w:eastAsia="新細明體" w:hAnsi="新細明體" w:cs="新細明體"/>
                <w:color w:val="000000" w:themeColor="text1"/>
              </w:rPr>
            </w:pPr>
            <w:r w:rsidRPr="004C7058">
              <w:rPr>
                <w:rFonts w:ascii="新細明體" w:eastAsia="新細明體" w:hAnsi="新細明體" w:cs="新細明體" w:hint="eastAsia"/>
                <w:color w:val="000000" w:themeColor="text1"/>
              </w:rPr>
              <w:t>3.於永續報告書、年報、財務報告或公司網站，揭露年度內公司持續核心營運系統及設備營運所需之資源及落實於年度預算或教育訓練計畫等項目。</w:t>
            </w:r>
          </w:p>
        </w:tc>
        <w:tc>
          <w:tcPr>
            <w:tcW w:w="2023" w:type="dxa"/>
            <w:vMerge/>
            <w:tcBorders>
              <w:right w:val="single" w:sz="12" w:space="0" w:color="auto"/>
            </w:tcBorders>
          </w:tcPr>
          <w:p w14:paraId="3664D1FA" w14:textId="77777777" w:rsidR="003B3105" w:rsidRPr="004C7058" w:rsidRDefault="003B3105" w:rsidP="003B3105">
            <w:pPr>
              <w:spacing w:line="360" w:lineRule="exact"/>
              <w:ind w:left="28" w:right="28"/>
              <w:rPr>
                <w:rFonts w:ascii="新細明體" w:eastAsia="新細明體" w:hAnsi="新細明體" w:cs="Times New Roman"/>
                <w:color w:val="000000" w:themeColor="text1"/>
                <w:spacing w:val="20"/>
                <w:szCs w:val="20"/>
              </w:rPr>
            </w:pPr>
          </w:p>
        </w:tc>
      </w:tr>
      <w:tr w:rsidR="003B3105" w:rsidRPr="004C7058" w14:paraId="5FEC3D35" w14:textId="77777777">
        <w:tc>
          <w:tcPr>
            <w:tcW w:w="1384" w:type="dxa"/>
            <w:vMerge/>
            <w:tcBorders>
              <w:left w:val="single" w:sz="12" w:space="0" w:color="auto"/>
            </w:tcBorders>
          </w:tcPr>
          <w:p w14:paraId="04698919" w14:textId="77777777" w:rsidR="003B3105" w:rsidRPr="004C7058" w:rsidRDefault="003B3105" w:rsidP="001E533B">
            <w:pPr>
              <w:rPr>
                <w:rFonts w:ascii="新細明體" w:eastAsia="新細明體" w:hAnsi="新細明體"/>
                <w:color w:val="000000" w:themeColor="text1"/>
              </w:rPr>
            </w:pPr>
          </w:p>
        </w:tc>
        <w:tc>
          <w:tcPr>
            <w:tcW w:w="1276" w:type="dxa"/>
            <w:vMerge/>
          </w:tcPr>
          <w:p w14:paraId="5FBD486A" w14:textId="77777777" w:rsidR="003B3105" w:rsidRPr="004C7058" w:rsidRDefault="003B3105" w:rsidP="001E533B">
            <w:pPr>
              <w:rPr>
                <w:rFonts w:ascii="新細明體" w:eastAsia="新細明體" w:hAnsi="新細明體"/>
                <w:color w:val="000000" w:themeColor="text1"/>
              </w:rPr>
            </w:pPr>
          </w:p>
        </w:tc>
        <w:tc>
          <w:tcPr>
            <w:tcW w:w="5386" w:type="dxa"/>
            <w:tcBorders>
              <w:top w:val="nil"/>
              <w:bottom w:val="nil"/>
            </w:tcBorders>
          </w:tcPr>
          <w:p w14:paraId="7B8FFD85" w14:textId="77777777" w:rsidR="003B3105" w:rsidRPr="004C7058" w:rsidRDefault="0027008E" w:rsidP="003B3105">
            <w:pPr>
              <w:spacing w:line="360" w:lineRule="exact"/>
              <w:ind w:left="429" w:hangingChars="165" w:hanging="429"/>
              <w:rPr>
                <w:rFonts w:ascii="新細明體" w:eastAsia="新細明體" w:hAnsi="新細明體" w:cs="新細明體"/>
                <w:color w:val="000000" w:themeColor="text1"/>
              </w:rPr>
            </w:pPr>
            <w:r w:rsidRPr="004C7058">
              <w:rPr>
                <w:rFonts w:ascii="新細明體" w:eastAsia="新細明體" w:hAnsi="新細明體" w:cs="新細明體" w:hint="eastAsia"/>
                <w:color w:val="000000" w:themeColor="text1"/>
              </w:rPr>
              <w:t>(十)公司是否辨識風險情境，就各項風險情境當災害發生造成資訊作業異常或中斷時，擬定各系統之應變、減災或復原措施 相關作業流程。</w:t>
            </w:r>
          </w:p>
        </w:tc>
        <w:tc>
          <w:tcPr>
            <w:tcW w:w="5387" w:type="dxa"/>
            <w:tcBorders>
              <w:top w:val="nil"/>
              <w:bottom w:val="nil"/>
            </w:tcBorders>
          </w:tcPr>
          <w:p w14:paraId="5DFDD08D" w14:textId="77777777" w:rsidR="003B3105" w:rsidRPr="004C7058" w:rsidRDefault="0027008E" w:rsidP="003B3105">
            <w:pPr>
              <w:spacing w:line="360" w:lineRule="exact"/>
              <w:ind w:left="429" w:hangingChars="165" w:hanging="429"/>
              <w:rPr>
                <w:rFonts w:ascii="新細明體" w:eastAsia="新細明體" w:hAnsi="新細明體" w:cs="新細明體"/>
                <w:color w:val="000000" w:themeColor="text1"/>
              </w:rPr>
            </w:pPr>
            <w:r w:rsidRPr="004C7058">
              <w:rPr>
                <w:rFonts w:ascii="新細明體" w:eastAsia="新細明體" w:hAnsi="新細明體" w:cs="新細明體" w:hint="eastAsia"/>
                <w:color w:val="000000" w:themeColor="text1"/>
              </w:rPr>
              <w:t>(十)公司是否辨識風險情境，就各項風險情境當災害發生造成資訊作業異常或中斷時，擬定各系統之應變、減災或復原措施 相關作業流程。</w:t>
            </w:r>
          </w:p>
        </w:tc>
        <w:tc>
          <w:tcPr>
            <w:tcW w:w="2023" w:type="dxa"/>
            <w:vMerge/>
            <w:tcBorders>
              <w:right w:val="single" w:sz="12" w:space="0" w:color="auto"/>
            </w:tcBorders>
          </w:tcPr>
          <w:p w14:paraId="6D36872A" w14:textId="77777777" w:rsidR="003B3105" w:rsidRPr="004C7058" w:rsidRDefault="003B3105" w:rsidP="003B3105">
            <w:pPr>
              <w:spacing w:line="360" w:lineRule="exact"/>
              <w:ind w:left="28" w:right="28"/>
              <w:rPr>
                <w:rFonts w:ascii="新細明體" w:eastAsia="新細明體" w:hAnsi="新細明體" w:cs="Times New Roman"/>
                <w:color w:val="000000" w:themeColor="text1"/>
                <w:spacing w:val="20"/>
                <w:szCs w:val="20"/>
              </w:rPr>
            </w:pPr>
          </w:p>
        </w:tc>
      </w:tr>
      <w:tr w:rsidR="003B3105" w:rsidRPr="004C7058" w14:paraId="0DF0EB9C" w14:textId="77777777">
        <w:tc>
          <w:tcPr>
            <w:tcW w:w="1384" w:type="dxa"/>
            <w:vMerge/>
            <w:tcBorders>
              <w:left w:val="single" w:sz="12" w:space="0" w:color="auto"/>
            </w:tcBorders>
          </w:tcPr>
          <w:p w14:paraId="04F50A47" w14:textId="77777777" w:rsidR="003B3105" w:rsidRPr="004C7058" w:rsidRDefault="003B3105" w:rsidP="001E533B">
            <w:pPr>
              <w:rPr>
                <w:rFonts w:ascii="新細明體" w:eastAsia="新細明體" w:hAnsi="新細明體"/>
                <w:color w:val="000000" w:themeColor="text1"/>
              </w:rPr>
            </w:pPr>
          </w:p>
        </w:tc>
        <w:tc>
          <w:tcPr>
            <w:tcW w:w="1276" w:type="dxa"/>
            <w:vMerge/>
          </w:tcPr>
          <w:p w14:paraId="4797E81C" w14:textId="77777777" w:rsidR="003B3105" w:rsidRPr="004C7058" w:rsidRDefault="003B3105" w:rsidP="001E533B">
            <w:pPr>
              <w:rPr>
                <w:rFonts w:ascii="新細明體" w:eastAsia="新細明體" w:hAnsi="新細明體"/>
                <w:color w:val="000000" w:themeColor="text1"/>
              </w:rPr>
            </w:pPr>
          </w:p>
        </w:tc>
        <w:tc>
          <w:tcPr>
            <w:tcW w:w="5386" w:type="dxa"/>
            <w:tcBorders>
              <w:top w:val="nil"/>
              <w:bottom w:val="nil"/>
            </w:tcBorders>
          </w:tcPr>
          <w:p w14:paraId="29B05B5B" w14:textId="77777777" w:rsidR="003B3105" w:rsidRPr="004C7058" w:rsidRDefault="0027008E" w:rsidP="003B3105">
            <w:pPr>
              <w:spacing w:line="360" w:lineRule="exact"/>
              <w:ind w:left="702" w:hangingChars="270" w:hanging="702"/>
              <w:rPr>
                <w:rFonts w:ascii="新細明體" w:eastAsia="新細明體" w:hAnsi="新細明體" w:cs="新細明體"/>
                <w:color w:val="000000" w:themeColor="text1"/>
              </w:rPr>
            </w:pPr>
            <w:r w:rsidRPr="004C7058">
              <w:rPr>
                <w:rFonts w:ascii="新細明體" w:eastAsia="新細明體" w:hAnsi="新細明體" w:cs="新細明體" w:hint="eastAsia"/>
                <w:color w:val="000000" w:themeColor="text1"/>
              </w:rPr>
              <w:t>(十一)核心系統原服務中斷時，是否於可容忍時間內，由備援設備或其他方式取代並提供服務。</w:t>
            </w:r>
          </w:p>
        </w:tc>
        <w:tc>
          <w:tcPr>
            <w:tcW w:w="5387" w:type="dxa"/>
            <w:tcBorders>
              <w:top w:val="nil"/>
              <w:bottom w:val="nil"/>
            </w:tcBorders>
          </w:tcPr>
          <w:p w14:paraId="6DAD7C16" w14:textId="77777777" w:rsidR="003B3105" w:rsidRPr="004C7058" w:rsidRDefault="0027008E" w:rsidP="003B3105">
            <w:pPr>
              <w:spacing w:line="360" w:lineRule="exact"/>
              <w:ind w:left="702" w:hangingChars="270" w:hanging="702"/>
              <w:rPr>
                <w:rFonts w:ascii="新細明體" w:eastAsia="新細明體" w:hAnsi="新細明體" w:cs="新細明體"/>
                <w:color w:val="000000" w:themeColor="text1"/>
              </w:rPr>
            </w:pPr>
            <w:r w:rsidRPr="004C7058">
              <w:rPr>
                <w:rFonts w:ascii="新細明體" w:eastAsia="新細明體" w:hAnsi="新細明體" w:cs="新細明體" w:hint="eastAsia"/>
                <w:color w:val="000000" w:themeColor="text1"/>
              </w:rPr>
              <w:t>(十一)核心系統原服務中斷時，是否於可容忍時間內，由備援設備或其他方式取代並提供服務。</w:t>
            </w:r>
          </w:p>
        </w:tc>
        <w:tc>
          <w:tcPr>
            <w:tcW w:w="2023" w:type="dxa"/>
            <w:vMerge/>
            <w:tcBorders>
              <w:right w:val="single" w:sz="12" w:space="0" w:color="auto"/>
            </w:tcBorders>
          </w:tcPr>
          <w:p w14:paraId="337E4384" w14:textId="77777777" w:rsidR="003B3105" w:rsidRPr="004C7058" w:rsidRDefault="003B3105" w:rsidP="003B3105">
            <w:pPr>
              <w:spacing w:line="360" w:lineRule="exact"/>
              <w:ind w:left="28" w:right="28"/>
              <w:rPr>
                <w:rFonts w:ascii="新細明體" w:eastAsia="新細明體" w:hAnsi="新細明體" w:cs="Times New Roman"/>
                <w:color w:val="000000" w:themeColor="text1"/>
                <w:spacing w:val="20"/>
                <w:szCs w:val="20"/>
              </w:rPr>
            </w:pPr>
          </w:p>
        </w:tc>
      </w:tr>
      <w:tr w:rsidR="003B3105" w:rsidRPr="004C7058" w14:paraId="4AABF765" w14:textId="77777777">
        <w:tc>
          <w:tcPr>
            <w:tcW w:w="1384" w:type="dxa"/>
            <w:vMerge/>
            <w:tcBorders>
              <w:left w:val="single" w:sz="12" w:space="0" w:color="auto"/>
              <w:bottom w:val="single" w:sz="12" w:space="0" w:color="auto"/>
            </w:tcBorders>
          </w:tcPr>
          <w:p w14:paraId="0967528F" w14:textId="77777777" w:rsidR="003B3105" w:rsidRPr="004C7058" w:rsidRDefault="003B3105" w:rsidP="001E533B">
            <w:pPr>
              <w:rPr>
                <w:rFonts w:ascii="新細明體" w:eastAsia="新細明體" w:hAnsi="新細明體"/>
                <w:color w:val="000000" w:themeColor="text1"/>
              </w:rPr>
            </w:pPr>
          </w:p>
        </w:tc>
        <w:tc>
          <w:tcPr>
            <w:tcW w:w="1276" w:type="dxa"/>
            <w:vMerge/>
            <w:tcBorders>
              <w:bottom w:val="single" w:sz="12" w:space="0" w:color="auto"/>
            </w:tcBorders>
          </w:tcPr>
          <w:p w14:paraId="5BD6DB17" w14:textId="77777777" w:rsidR="003B3105" w:rsidRPr="004C7058" w:rsidRDefault="003B3105" w:rsidP="001E533B">
            <w:pPr>
              <w:rPr>
                <w:rFonts w:ascii="新細明體" w:eastAsia="新細明體" w:hAnsi="新細明體"/>
                <w:color w:val="000000" w:themeColor="text1"/>
              </w:rPr>
            </w:pPr>
          </w:p>
        </w:tc>
        <w:tc>
          <w:tcPr>
            <w:tcW w:w="5386" w:type="dxa"/>
            <w:tcBorders>
              <w:top w:val="nil"/>
              <w:bottom w:val="single" w:sz="12" w:space="0" w:color="auto"/>
            </w:tcBorders>
          </w:tcPr>
          <w:p w14:paraId="5C9FE276" w14:textId="126A04A8" w:rsidR="003B3105" w:rsidRPr="004C7058" w:rsidRDefault="0027008E" w:rsidP="0027008E">
            <w:pPr>
              <w:ind w:left="702" w:hangingChars="270" w:hanging="702"/>
              <w:rPr>
                <w:rFonts w:ascii="新細明體" w:eastAsia="新細明體" w:hAnsi="新細明體" w:cs="新細明體"/>
                <w:color w:val="000000" w:themeColor="text1"/>
              </w:rPr>
            </w:pPr>
            <w:r w:rsidRPr="004C7058">
              <w:rPr>
                <w:rFonts w:ascii="新細明體" w:eastAsia="新細明體" w:hAnsi="新細明體" w:cs="新細明體" w:hint="eastAsia"/>
                <w:color w:val="000000" w:themeColor="text1"/>
              </w:rPr>
              <w:t>(十二)公司資訊委外作業如涉及核心資通系統與資通服務，資訊服務供應商是否定期提供資通系統與資通服務之回復計畫(如災難復原計畫、備援演練、營運持續計畫等)。</w:t>
            </w:r>
          </w:p>
        </w:tc>
        <w:tc>
          <w:tcPr>
            <w:tcW w:w="5387" w:type="dxa"/>
            <w:tcBorders>
              <w:top w:val="nil"/>
              <w:bottom w:val="single" w:sz="12" w:space="0" w:color="auto"/>
            </w:tcBorders>
          </w:tcPr>
          <w:p w14:paraId="7CBFB24A" w14:textId="08415A0E" w:rsidR="003B3105" w:rsidRPr="004C7058" w:rsidRDefault="0027008E" w:rsidP="0027008E">
            <w:pPr>
              <w:spacing w:line="360" w:lineRule="exact"/>
              <w:ind w:left="702" w:hangingChars="270" w:hanging="702"/>
              <w:rPr>
                <w:rFonts w:ascii="新細明體" w:eastAsia="新細明體" w:hAnsi="新細明體" w:cs="新細明體"/>
                <w:color w:val="000000" w:themeColor="text1"/>
              </w:rPr>
            </w:pPr>
            <w:r w:rsidRPr="004C7058">
              <w:rPr>
                <w:rFonts w:ascii="新細明體" w:eastAsia="新細明體" w:hAnsi="新細明體" w:cs="新細明體" w:hint="eastAsia"/>
                <w:color w:val="000000" w:themeColor="text1"/>
              </w:rPr>
              <w:t>(十二)公司資訊委外作業如涉及核心資通系統與資通服務，資訊服務供應商是否定期提供資通系統與資通服務之回復計畫(如災難復原計畫、備援演練、營運持續計畫等)。</w:t>
            </w:r>
          </w:p>
        </w:tc>
        <w:tc>
          <w:tcPr>
            <w:tcW w:w="2023" w:type="dxa"/>
            <w:vMerge/>
            <w:tcBorders>
              <w:bottom w:val="single" w:sz="12" w:space="0" w:color="auto"/>
              <w:right w:val="single" w:sz="12" w:space="0" w:color="auto"/>
            </w:tcBorders>
          </w:tcPr>
          <w:p w14:paraId="6127B086" w14:textId="77777777" w:rsidR="003B3105" w:rsidRPr="004C7058" w:rsidRDefault="003B3105" w:rsidP="003B3105">
            <w:pPr>
              <w:spacing w:line="360" w:lineRule="exact"/>
              <w:ind w:left="28" w:right="28"/>
              <w:rPr>
                <w:rFonts w:ascii="新細明體" w:eastAsia="新細明體" w:hAnsi="新細明體" w:cs="Times New Roman"/>
                <w:color w:val="000000" w:themeColor="text1"/>
                <w:spacing w:val="20"/>
                <w:szCs w:val="20"/>
              </w:rPr>
            </w:pPr>
          </w:p>
        </w:tc>
      </w:tr>
    </w:tbl>
    <w:p w14:paraId="16C7968A" w14:textId="77777777" w:rsidR="00E87601" w:rsidRPr="004C7058" w:rsidRDefault="00E87601">
      <w:pPr>
        <w:spacing w:line="360" w:lineRule="exact"/>
        <w:rPr>
          <w:rFonts w:ascii="新細明體" w:eastAsia="新細明體" w:hAnsi="新細明體" w:cs="Times New Roman"/>
          <w:color w:val="000000" w:themeColor="text1"/>
        </w:rPr>
      </w:pPr>
    </w:p>
    <w:sectPr w:rsidR="00E87601" w:rsidRPr="004C7058" w:rsidSect="00A24FFC">
      <w:pgSz w:w="16840" w:h="11907" w:orient="landscape" w:code="9"/>
      <w:pgMar w:top="720" w:right="720" w:bottom="720" w:left="720" w:header="851"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13267" w14:textId="77777777" w:rsidR="001D1798" w:rsidRDefault="001D1798" w:rsidP="00E87601">
      <w:pPr>
        <w:spacing w:line="240" w:lineRule="auto"/>
      </w:pPr>
      <w:r>
        <w:separator/>
      </w:r>
    </w:p>
  </w:endnote>
  <w:endnote w:type="continuationSeparator" w:id="0">
    <w:p w14:paraId="31870A9E" w14:textId="77777777" w:rsidR="001D1798" w:rsidRDefault="001D1798" w:rsidP="00E876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Courier 10 Pitch"/>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標楷體">
    <w:altName w:val="DFKai-SB"/>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16892A" w14:textId="77777777" w:rsidR="001D1798" w:rsidRDefault="001D1798" w:rsidP="00E87601">
      <w:pPr>
        <w:spacing w:line="240" w:lineRule="auto"/>
      </w:pPr>
      <w:r>
        <w:separator/>
      </w:r>
    </w:p>
  </w:footnote>
  <w:footnote w:type="continuationSeparator" w:id="0">
    <w:p w14:paraId="5E5FA984" w14:textId="77777777" w:rsidR="001D1798" w:rsidRDefault="001D1798" w:rsidP="00E8760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A718B"/>
    <w:multiLevelType w:val="multilevel"/>
    <w:tmpl w:val="508CA08A"/>
    <w:lvl w:ilvl="0">
      <w:start w:val="1"/>
      <w:numFmt w:val="taiwaneseCountingThousand"/>
      <w:lvlText w:val="（%1）"/>
      <w:lvlJc w:val="left"/>
      <w:pPr>
        <w:tabs>
          <w:tab w:val="num" w:pos="2672"/>
        </w:tabs>
        <w:ind w:left="2672" w:hanging="840"/>
      </w:pPr>
      <w:rPr>
        <w:rFonts w:cs="Times New Roman" w:hint="eastAsia"/>
      </w:rPr>
    </w:lvl>
    <w:lvl w:ilvl="1">
      <w:start w:val="1"/>
      <w:numFmt w:val="ideographTraditional"/>
      <w:lvlText w:val="%2、"/>
      <w:lvlJc w:val="left"/>
      <w:pPr>
        <w:tabs>
          <w:tab w:val="num" w:pos="2792"/>
        </w:tabs>
        <w:ind w:left="2792" w:hanging="480"/>
      </w:pPr>
      <w:rPr>
        <w:rFonts w:cs="Times New Roman"/>
      </w:rPr>
    </w:lvl>
    <w:lvl w:ilvl="2">
      <w:start w:val="1"/>
      <w:numFmt w:val="lowerRoman"/>
      <w:lvlText w:val="%3."/>
      <w:lvlJc w:val="right"/>
      <w:pPr>
        <w:tabs>
          <w:tab w:val="num" w:pos="3272"/>
        </w:tabs>
        <w:ind w:left="3272" w:hanging="480"/>
      </w:pPr>
      <w:rPr>
        <w:rFonts w:cs="Times New Roman"/>
      </w:rPr>
    </w:lvl>
    <w:lvl w:ilvl="3">
      <w:start w:val="1"/>
      <w:numFmt w:val="decimal"/>
      <w:lvlText w:val="%4."/>
      <w:lvlJc w:val="left"/>
      <w:pPr>
        <w:tabs>
          <w:tab w:val="num" w:pos="3752"/>
        </w:tabs>
        <w:ind w:left="3752" w:hanging="480"/>
      </w:pPr>
      <w:rPr>
        <w:rFonts w:cs="Times New Roman"/>
      </w:rPr>
    </w:lvl>
    <w:lvl w:ilvl="4">
      <w:start w:val="1"/>
      <w:numFmt w:val="ideographTraditional"/>
      <w:lvlText w:val="%5、"/>
      <w:lvlJc w:val="left"/>
      <w:pPr>
        <w:tabs>
          <w:tab w:val="num" w:pos="4232"/>
        </w:tabs>
        <w:ind w:left="4232" w:hanging="480"/>
      </w:pPr>
      <w:rPr>
        <w:rFonts w:cs="Times New Roman"/>
      </w:rPr>
    </w:lvl>
    <w:lvl w:ilvl="5">
      <w:start w:val="1"/>
      <w:numFmt w:val="lowerRoman"/>
      <w:lvlText w:val="%6."/>
      <w:lvlJc w:val="right"/>
      <w:pPr>
        <w:tabs>
          <w:tab w:val="num" w:pos="4712"/>
        </w:tabs>
        <w:ind w:left="4712" w:hanging="480"/>
      </w:pPr>
      <w:rPr>
        <w:rFonts w:cs="Times New Roman"/>
      </w:rPr>
    </w:lvl>
    <w:lvl w:ilvl="6">
      <w:start w:val="1"/>
      <w:numFmt w:val="decimal"/>
      <w:lvlText w:val="%7."/>
      <w:lvlJc w:val="left"/>
      <w:pPr>
        <w:tabs>
          <w:tab w:val="num" w:pos="5192"/>
        </w:tabs>
        <w:ind w:left="5192" w:hanging="480"/>
      </w:pPr>
      <w:rPr>
        <w:rFonts w:cs="Times New Roman"/>
      </w:rPr>
    </w:lvl>
    <w:lvl w:ilvl="7">
      <w:start w:val="1"/>
      <w:numFmt w:val="ideographTraditional"/>
      <w:lvlText w:val="%8、"/>
      <w:lvlJc w:val="left"/>
      <w:pPr>
        <w:tabs>
          <w:tab w:val="num" w:pos="5672"/>
        </w:tabs>
        <w:ind w:left="5672" w:hanging="480"/>
      </w:pPr>
      <w:rPr>
        <w:rFonts w:cs="Times New Roman"/>
      </w:rPr>
    </w:lvl>
    <w:lvl w:ilvl="8">
      <w:start w:val="1"/>
      <w:numFmt w:val="lowerRoman"/>
      <w:lvlText w:val="%9."/>
      <w:lvlJc w:val="right"/>
      <w:pPr>
        <w:tabs>
          <w:tab w:val="num" w:pos="6152"/>
        </w:tabs>
        <w:ind w:left="6152" w:hanging="480"/>
      </w:pPr>
      <w:rPr>
        <w:rFonts w:cs="Times New Roman"/>
      </w:rPr>
    </w:lvl>
  </w:abstractNum>
  <w:abstractNum w:abstractNumId="1" w15:restartNumberingAfterBreak="0">
    <w:nsid w:val="10DB4ADC"/>
    <w:multiLevelType w:val="singleLevel"/>
    <w:tmpl w:val="17EC2A1C"/>
    <w:lvl w:ilvl="0">
      <w:start w:val="1"/>
      <w:numFmt w:val="taiwaneseCountingThousand"/>
      <w:lvlText w:val="（%1）"/>
      <w:lvlJc w:val="left"/>
      <w:pPr>
        <w:tabs>
          <w:tab w:val="num" w:pos="904"/>
        </w:tabs>
        <w:ind w:left="904" w:hanging="876"/>
      </w:pPr>
      <w:rPr>
        <w:rFonts w:cs="Times New Roman" w:hint="eastAsia"/>
      </w:rPr>
    </w:lvl>
  </w:abstractNum>
  <w:abstractNum w:abstractNumId="2" w15:restartNumberingAfterBreak="0">
    <w:nsid w:val="122D758D"/>
    <w:multiLevelType w:val="singleLevel"/>
    <w:tmpl w:val="D83E8314"/>
    <w:lvl w:ilvl="0">
      <w:start w:val="1"/>
      <w:numFmt w:val="decimal"/>
      <w:lvlText w:val="%1."/>
      <w:lvlJc w:val="left"/>
      <w:pPr>
        <w:tabs>
          <w:tab w:val="num" w:pos="1007"/>
        </w:tabs>
        <w:ind w:left="1007" w:hanging="195"/>
      </w:pPr>
      <w:rPr>
        <w:rFonts w:ascii="新細明體" w:eastAsia="新細明體" w:cs="Times New Roman" w:hint="eastAsia"/>
        <w:color w:val="FF0000"/>
        <w:u w:val="single"/>
      </w:rPr>
    </w:lvl>
  </w:abstractNum>
  <w:abstractNum w:abstractNumId="3" w15:restartNumberingAfterBreak="0">
    <w:nsid w:val="136E18A7"/>
    <w:multiLevelType w:val="singleLevel"/>
    <w:tmpl w:val="F2BEE7CE"/>
    <w:lvl w:ilvl="0">
      <w:start w:val="1"/>
      <w:numFmt w:val="decimal"/>
      <w:lvlText w:val="%1."/>
      <w:lvlJc w:val="left"/>
      <w:pPr>
        <w:tabs>
          <w:tab w:val="num" w:pos="747"/>
        </w:tabs>
        <w:ind w:left="747" w:hanging="195"/>
      </w:pPr>
      <w:rPr>
        <w:rFonts w:cs="Times New Roman" w:hint="eastAsia"/>
      </w:rPr>
    </w:lvl>
  </w:abstractNum>
  <w:abstractNum w:abstractNumId="4" w15:restartNumberingAfterBreak="0">
    <w:nsid w:val="16975A5D"/>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5" w15:restartNumberingAfterBreak="0">
    <w:nsid w:val="22B5442D"/>
    <w:multiLevelType w:val="singleLevel"/>
    <w:tmpl w:val="89702BA4"/>
    <w:lvl w:ilvl="0">
      <w:start w:val="1"/>
      <w:numFmt w:val="decimal"/>
      <w:lvlText w:val="%1."/>
      <w:lvlJc w:val="left"/>
      <w:pPr>
        <w:tabs>
          <w:tab w:val="num" w:pos="1084"/>
        </w:tabs>
        <w:ind w:left="1084" w:hanging="384"/>
      </w:pPr>
      <w:rPr>
        <w:rFonts w:ascii="新細明體" w:eastAsia="新細明體" w:cs="Times New Roman" w:hint="eastAsia"/>
      </w:rPr>
    </w:lvl>
  </w:abstractNum>
  <w:abstractNum w:abstractNumId="6" w15:restartNumberingAfterBreak="0">
    <w:nsid w:val="32EA67CF"/>
    <w:multiLevelType w:val="singleLevel"/>
    <w:tmpl w:val="60E831F0"/>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7" w15:restartNumberingAfterBreak="0">
    <w:nsid w:val="3A41225B"/>
    <w:multiLevelType w:val="singleLevel"/>
    <w:tmpl w:val="5A4EFA4E"/>
    <w:lvl w:ilvl="0">
      <w:start w:val="1"/>
      <w:numFmt w:val="decimal"/>
      <w:lvlText w:val="%1."/>
      <w:lvlJc w:val="left"/>
      <w:pPr>
        <w:tabs>
          <w:tab w:val="num" w:pos="1108"/>
        </w:tabs>
        <w:ind w:left="1108" w:hanging="405"/>
      </w:pPr>
      <w:rPr>
        <w:rFonts w:cs="Times New Roman" w:hint="eastAsia"/>
      </w:rPr>
    </w:lvl>
  </w:abstractNum>
  <w:abstractNum w:abstractNumId="8" w15:restartNumberingAfterBreak="0">
    <w:nsid w:val="41CC78C5"/>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9" w15:restartNumberingAfterBreak="0">
    <w:nsid w:val="52D33297"/>
    <w:multiLevelType w:val="singleLevel"/>
    <w:tmpl w:val="FAEE3386"/>
    <w:lvl w:ilvl="0">
      <w:start w:val="1"/>
      <w:numFmt w:val="decimal"/>
      <w:lvlText w:val="%1."/>
      <w:lvlJc w:val="left"/>
      <w:pPr>
        <w:tabs>
          <w:tab w:val="num" w:pos="877"/>
        </w:tabs>
        <w:ind w:left="877" w:hanging="195"/>
      </w:pPr>
      <w:rPr>
        <w:rFonts w:cs="Times New Roman" w:hint="eastAsia"/>
      </w:rPr>
    </w:lvl>
  </w:abstractNum>
  <w:abstractNum w:abstractNumId="10" w15:restartNumberingAfterBreak="0">
    <w:nsid w:val="5F307CEC"/>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11" w15:restartNumberingAfterBreak="0">
    <w:nsid w:val="649E48F8"/>
    <w:multiLevelType w:val="multilevel"/>
    <w:tmpl w:val="64882E9C"/>
    <w:lvl w:ilvl="0">
      <w:start w:val="1"/>
      <w:numFmt w:val="taiwaneseCountingThousand"/>
      <w:suff w:val="nothing"/>
      <w:lvlText w:val="%1、"/>
      <w:lvlJc w:val="left"/>
      <w:pPr>
        <w:ind w:left="425" w:hanging="425"/>
      </w:pPr>
      <w:rPr>
        <w:rFonts w:cs="Times New Roman" w:hint="eastAsia"/>
      </w:rPr>
    </w:lvl>
    <w:lvl w:ilvl="1">
      <w:start w:val="1"/>
      <w:numFmt w:val="taiwaneseCountingThousand"/>
      <w:suff w:val="nothing"/>
      <w:lvlText w:val="(%2)"/>
      <w:lvlJc w:val="left"/>
      <w:pPr>
        <w:ind w:left="737" w:hanging="453"/>
      </w:pPr>
      <w:rPr>
        <w:rFonts w:cs="Times New Roman" w:hint="eastAsia"/>
      </w:rPr>
    </w:lvl>
    <w:lvl w:ilvl="2">
      <w:start w:val="1"/>
      <w:numFmt w:val="taiwaneseCountingThousand"/>
      <w:suff w:val="nothing"/>
      <w:lvlText w:val="第%3項"/>
      <w:lvlJc w:val="left"/>
      <w:pPr>
        <w:ind w:left="1418" w:hanging="567"/>
      </w:pPr>
      <w:rPr>
        <w:rFonts w:cs="Times New Roman" w:hint="eastAsia"/>
      </w:rPr>
    </w:lvl>
    <w:lvl w:ilvl="3">
      <w:start w:val="1"/>
      <w:numFmt w:val="none"/>
      <w:suff w:val="nothing"/>
      <w:lvlText w:val=""/>
      <w:lvlJc w:val="left"/>
      <w:pPr>
        <w:ind w:left="1984" w:hanging="708"/>
      </w:pPr>
      <w:rPr>
        <w:rFonts w:cs="Times New Roman" w:hint="eastAsia"/>
      </w:rPr>
    </w:lvl>
    <w:lvl w:ilvl="4">
      <w:start w:val="1"/>
      <w:numFmt w:val="none"/>
      <w:suff w:val="nothing"/>
      <w:lvlText w:val=""/>
      <w:lvlJc w:val="left"/>
      <w:pPr>
        <w:ind w:left="2551" w:hanging="850"/>
      </w:pPr>
      <w:rPr>
        <w:rFonts w:cs="Times New Roman" w:hint="eastAsia"/>
      </w:rPr>
    </w:lvl>
    <w:lvl w:ilvl="5">
      <w:start w:val="1"/>
      <w:numFmt w:val="none"/>
      <w:suff w:val="nothing"/>
      <w:lvlText w:val=""/>
      <w:lvlJc w:val="left"/>
      <w:pPr>
        <w:ind w:left="3260" w:hanging="1134"/>
      </w:pPr>
      <w:rPr>
        <w:rFonts w:cs="Times New Roman" w:hint="eastAsia"/>
      </w:rPr>
    </w:lvl>
    <w:lvl w:ilvl="6">
      <w:start w:val="1"/>
      <w:numFmt w:val="none"/>
      <w:suff w:val="nothing"/>
      <w:lvlText w:val=""/>
      <w:lvlJc w:val="left"/>
      <w:pPr>
        <w:ind w:left="3827" w:hanging="1276"/>
      </w:pPr>
      <w:rPr>
        <w:rFonts w:cs="Times New Roman" w:hint="eastAsia"/>
      </w:rPr>
    </w:lvl>
    <w:lvl w:ilvl="7">
      <w:start w:val="1"/>
      <w:numFmt w:val="none"/>
      <w:suff w:val="nothing"/>
      <w:lvlText w:val=""/>
      <w:lvlJc w:val="left"/>
      <w:pPr>
        <w:ind w:left="4394" w:hanging="1418"/>
      </w:pPr>
      <w:rPr>
        <w:rFonts w:cs="Times New Roman" w:hint="eastAsia"/>
      </w:rPr>
    </w:lvl>
    <w:lvl w:ilvl="8">
      <w:start w:val="1"/>
      <w:numFmt w:val="none"/>
      <w:suff w:val="nothing"/>
      <w:lvlText w:val=""/>
      <w:lvlJc w:val="left"/>
      <w:pPr>
        <w:ind w:left="5102" w:hanging="1700"/>
      </w:pPr>
      <w:rPr>
        <w:rFonts w:cs="Times New Roman" w:hint="eastAsia"/>
      </w:rPr>
    </w:lvl>
  </w:abstractNum>
  <w:abstractNum w:abstractNumId="12" w15:restartNumberingAfterBreak="0">
    <w:nsid w:val="661C7F9F"/>
    <w:multiLevelType w:val="singleLevel"/>
    <w:tmpl w:val="9A8A353E"/>
    <w:lvl w:ilvl="0">
      <w:start w:val="1"/>
      <w:numFmt w:val="taiwaneseCountingThousand"/>
      <w:lvlText w:val="（%1）"/>
      <w:lvlJc w:val="left"/>
      <w:pPr>
        <w:tabs>
          <w:tab w:val="num" w:pos="880"/>
        </w:tabs>
        <w:ind w:left="880" w:hanging="852"/>
      </w:pPr>
      <w:rPr>
        <w:rFonts w:cs="Times New Roman" w:hint="eastAsia"/>
      </w:rPr>
    </w:lvl>
  </w:abstractNum>
  <w:abstractNum w:abstractNumId="13" w15:restartNumberingAfterBreak="0">
    <w:nsid w:val="697D3FA8"/>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4" w15:restartNumberingAfterBreak="0">
    <w:nsid w:val="6A1E3F23"/>
    <w:multiLevelType w:val="singleLevel"/>
    <w:tmpl w:val="D64468C4"/>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15" w15:restartNumberingAfterBreak="0">
    <w:nsid w:val="6D1B63E2"/>
    <w:multiLevelType w:val="multilevel"/>
    <w:tmpl w:val="288627EA"/>
    <w:lvl w:ilvl="0">
      <w:start w:val="1"/>
      <w:numFmt w:val="taiwaneseCountingThousand"/>
      <w:lvlText w:val="(%1)"/>
      <w:lvlJc w:val="left"/>
      <w:pPr>
        <w:tabs>
          <w:tab w:val="num" w:pos="920"/>
        </w:tabs>
        <w:ind w:left="920" w:hanging="444"/>
      </w:pPr>
      <w:rPr>
        <w:rFonts w:cs="Times New Roman" w:hint="eastAsia"/>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16" w15:restartNumberingAfterBreak="0">
    <w:nsid w:val="6E487ECB"/>
    <w:multiLevelType w:val="singleLevel"/>
    <w:tmpl w:val="F230B57A"/>
    <w:lvl w:ilvl="0">
      <w:start w:val="1"/>
      <w:numFmt w:val="taiwaneseCountingThousand"/>
      <w:lvlText w:val="（%1）"/>
      <w:lvlJc w:val="left"/>
      <w:pPr>
        <w:tabs>
          <w:tab w:val="num" w:pos="796"/>
        </w:tabs>
        <w:ind w:left="796" w:hanging="768"/>
      </w:pPr>
      <w:rPr>
        <w:rFonts w:cs="Times New Roman" w:hint="eastAsia"/>
        <w:color w:val="auto"/>
      </w:rPr>
    </w:lvl>
  </w:abstractNum>
  <w:abstractNum w:abstractNumId="17" w15:restartNumberingAfterBreak="0">
    <w:nsid w:val="72822C94"/>
    <w:multiLevelType w:val="singleLevel"/>
    <w:tmpl w:val="BAB2CAD2"/>
    <w:lvl w:ilvl="0">
      <w:start w:val="1"/>
      <w:numFmt w:val="taiwaneseCountingThousand"/>
      <w:lvlText w:val="%1、"/>
      <w:lvlJc w:val="left"/>
      <w:pPr>
        <w:tabs>
          <w:tab w:val="num" w:pos="604"/>
        </w:tabs>
        <w:ind w:left="604" w:hanging="576"/>
      </w:pPr>
      <w:rPr>
        <w:rFonts w:cs="Times New Roman" w:hint="eastAsia"/>
      </w:rPr>
    </w:lvl>
  </w:abstractNum>
  <w:abstractNum w:abstractNumId="18" w15:restartNumberingAfterBreak="0">
    <w:nsid w:val="760272F7"/>
    <w:multiLevelType w:val="singleLevel"/>
    <w:tmpl w:val="7EA040BA"/>
    <w:lvl w:ilvl="0">
      <w:start w:val="1"/>
      <w:numFmt w:val="taiwaneseCountingThousand"/>
      <w:lvlText w:val="（%1）"/>
      <w:lvlJc w:val="left"/>
      <w:pPr>
        <w:tabs>
          <w:tab w:val="num" w:pos="780"/>
        </w:tabs>
        <w:ind w:left="780" w:hanging="780"/>
      </w:pPr>
      <w:rPr>
        <w:rFonts w:cs="Times New Roman" w:hint="eastAsia"/>
      </w:rPr>
    </w:lvl>
  </w:abstractNum>
  <w:abstractNum w:abstractNumId="19" w15:restartNumberingAfterBreak="0">
    <w:nsid w:val="7E166BE2"/>
    <w:multiLevelType w:val="multilevel"/>
    <w:tmpl w:val="878A2996"/>
    <w:lvl w:ilvl="0">
      <w:start w:val="1"/>
      <w:numFmt w:val="decimal"/>
      <w:lvlText w:val="(%1)"/>
      <w:lvlJc w:val="left"/>
      <w:pPr>
        <w:tabs>
          <w:tab w:val="num" w:pos="937"/>
        </w:tabs>
        <w:ind w:left="937" w:hanging="360"/>
      </w:pPr>
      <w:rPr>
        <w:rFonts w:cs="Times New Roman" w:hint="eastAsia"/>
      </w:rPr>
    </w:lvl>
    <w:lvl w:ilvl="1">
      <w:start w:val="1"/>
      <w:numFmt w:val="ideographTraditional"/>
      <w:lvlText w:val="%2、"/>
      <w:lvlJc w:val="left"/>
      <w:pPr>
        <w:tabs>
          <w:tab w:val="num" w:pos="1537"/>
        </w:tabs>
        <w:ind w:left="1537" w:hanging="480"/>
      </w:pPr>
      <w:rPr>
        <w:rFonts w:cs="Times New Roman"/>
      </w:rPr>
    </w:lvl>
    <w:lvl w:ilvl="2">
      <w:start w:val="1"/>
      <w:numFmt w:val="lowerRoman"/>
      <w:lvlText w:val="%3."/>
      <w:lvlJc w:val="right"/>
      <w:pPr>
        <w:tabs>
          <w:tab w:val="num" w:pos="2017"/>
        </w:tabs>
        <w:ind w:left="2017" w:hanging="480"/>
      </w:pPr>
      <w:rPr>
        <w:rFonts w:cs="Times New Roman"/>
      </w:rPr>
    </w:lvl>
    <w:lvl w:ilvl="3">
      <w:start w:val="1"/>
      <w:numFmt w:val="decimal"/>
      <w:lvlText w:val="%4."/>
      <w:lvlJc w:val="left"/>
      <w:pPr>
        <w:tabs>
          <w:tab w:val="num" w:pos="2497"/>
        </w:tabs>
        <w:ind w:left="2497" w:hanging="480"/>
      </w:pPr>
      <w:rPr>
        <w:rFonts w:cs="Times New Roman"/>
      </w:rPr>
    </w:lvl>
    <w:lvl w:ilvl="4">
      <w:start w:val="1"/>
      <w:numFmt w:val="ideographTraditional"/>
      <w:lvlText w:val="%5、"/>
      <w:lvlJc w:val="left"/>
      <w:pPr>
        <w:tabs>
          <w:tab w:val="num" w:pos="2977"/>
        </w:tabs>
        <w:ind w:left="2977" w:hanging="480"/>
      </w:pPr>
      <w:rPr>
        <w:rFonts w:cs="Times New Roman"/>
      </w:rPr>
    </w:lvl>
    <w:lvl w:ilvl="5">
      <w:start w:val="1"/>
      <w:numFmt w:val="lowerRoman"/>
      <w:lvlText w:val="%6."/>
      <w:lvlJc w:val="right"/>
      <w:pPr>
        <w:tabs>
          <w:tab w:val="num" w:pos="3457"/>
        </w:tabs>
        <w:ind w:left="3457" w:hanging="480"/>
      </w:pPr>
      <w:rPr>
        <w:rFonts w:cs="Times New Roman"/>
      </w:rPr>
    </w:lvl>
    <w:lvl w:ilvl="6">
      <w:start w:val="1"/>
      <w:numFmt w:val="decimal"/>
      <w:lvlText w:val="%7."/>
      <w:lvlJc w:val="left"/>
      <w:pPr>
        <w:tabs>
          <w:tab w:val="num" w:pos="3937"/>
        </w:tabs>
        <w:ind w:left="3937" w:hanging="480"/>
      </w:pPr>
      <w:rPr>
        <w:rFonts w:cs="Times New Roman"/>
      </w:rPr>
    </w:lvl>
    <w:lvl w:ilvl="7">
      <w:start w:val="1"/>
      <w:numFmt w:val="ideographTraditional"/>
      <w:lvlText w:val="%8、"/>
      <w:lvlJc w:val="left"/>
      <w:pPr>
        <w:tabs>
          <w:tab w:val="num" w:pos="4417"/>
        </w:tabs>
        <w:ind w:left="4417" w:hanging="480"/>
      </w:pPr>
      <w:rPr>
        <w:rFonts w:cs="Times New Roman"/>
      </w:rPr>
    </w:lvl>
    <w:lvl w:ilvl="8">
      <w:start w:val="1"/>
      <w:numFmt w:val="lowerRoman"/>
      <w:lvlText w:val="%9."/>
      <w:lvlJc w:val="right"/>
      <w:pPr>
        <w:tabs>
          <w:tab w:val="num" w:pos="4897"/>
        </w:tabs>
        <w:ind w:left="4897" w:hanging="480"/>
      </w:pPr>
      <w:rPr>
        <w:rFonts w:cs="Times New Roman"/>
      </w:rPr>
    </w:lvl>
  </w:abstractNum>
  <w:num w:numId="1" w16cid:durableId="1523323179">
    <w:abstractNumId w:val="8"/>
  </w:num>
  <w:num w:numId="2" w16cid:durableId="1449201050">
    <w:abstractNumId w:val="7"/>
  </w:num>
  <w:num w:numId="3" w16cid:durableId="208347645">
    <w:abstractNumId w:val="13"/>
  </w:num>
  <w:num w:numId="4" w16cid:durableId="209802461">
    <w:abstractNumId w:val="0"/>
  </w:num>
  <w:num w:numId="5" w16cid:durableId="1591350893">
    <w:abstractNumId w:val="11"/>
  </w:num>
  <w:num w:numId="6" w16cid:durableId="63066765">
    <w:abstractNumId w:val="2"/>
  </w:num>
  <w:num w:numId="7" w16cid:durableId="959992081">
    <w:abstractNumId w:val="4"/>
  </w:num>
  <w:num w:numId="8" w16cid:durableId="1154642517">
    <w:abstractNumId w:val="12"/>
  </w:num>
  <w:num w:numId="9" w16cid:durableId="2021077672">
    <w:abstractNumId w:val="16"/>
  </w:num>
  <w:num w:numId="10" w16cid:durableId="384792474">
    <w:abstractNumId w:val="5"/>
  </w:num>
  <w:num w:numId="11" w16cid:durableId="567425463">
    <w:abstractNumId w:val="17"/>
  </w:num>
  <w:num w:numId="12" w16cid:durableId="1531991681">
    <w:abstractNumId w:val="6"/>
  </w:num>
  <w:num w:numId="13" w16cid:durableId="1421877709">
    <w:abstractNumId w:val="1"/>
  </w:num>
  <w:num w:numId="14" w16cid:durableId="2089618171">
    <w:abstractNumId w:val="14"/>
  </w:num>
  <w:num w:numId="15" w16cid:durableId="2024432474">
    <w:abstractNumId w:val="15"/>
  </w:num>
  <w:num w:numId="16" w16cid:durableId="990906787">
    <w:abstractNumId w:val="19"/>
  </w:num>
  <w:num w:numId="17" w16cid:durableId="1963223195">
    <w:abstractNumId w:val="18"/>
  </w:num>
  <w:num w:numId="18" w16cid:durableId="1351878485">
    <w:abstractNumId w:val="9"/>
  </w:num>
  <w:num w:numId="19" w16cid:durableId="7486041">
    <w:abstractNumId w:val="3"/>
  </w:num>
  <w:num w:numId="20" w16cid:durableId="5700393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proofState w:spelling="clean" w:grammar="clean"/>
  <w:defaultTabStop w:val="480"/>
  <w:doNotHyphenateCaps/>
  <w:drawingGridHorizontalSpacing w:val="13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601"/>
    <w:rsid w:val="000220A3"/>
    <w:rsid w:val="0003737B"/>
    <w:rsid w:val="00037462"/>
    <w:rsid w:val="0004302B"/>
    <w:rsid w:val="0006487C"/>
    <w:rsid w:val="00081A5A"/>
    <w:rsid w:val="000852F4"/>
    <w:rsid w:val="000E2E57"/>
    <w:rsid w:val="001132A5"/>
    <w:rsid w:val="00115946"/>
    <w:rsid w:val="00155D75"/>
    <w:rsid w:val="00161B02"/>
    <w:rsid w:val="001643B7"/>
    <w:rsid w:val="00164EC3"/>
    <w:rsid w:val="001812B0"/>
    <w:rsid w:val="001C0745"/>
    <w:rsid w:val="001D1798"/>
    <w:rsid w:val="001E533B"/>
    <w:rsid w:val="00200AE8"/>
    <w:rsid w:val="00205F30"/>
    <w:rsid w:val="00211835"/>
    <w:rsid w:val="00216524"/>
    <w:rsid w:val="00216A6E"/>
    <w:rsid w:val="002300E4"/>
    <w:rsid w:val="0025567C"/>
    <w:rsid w:val="0027008E"/>
    <w:rsid w:val="002B6B5B"/>
    <w:rsid w:val="002B7B8A"/>
    <w:rsid w:val="002D3036"/>
    <w:rsid w:val="002D3AE3"/>
    <w:rsid w:val="0030176E"/>
    <w:rsid w:val="0030391B"/>
    <w:rsid w:val="003042D6"/>
    <w:rsid w:val="0031289E"/>
    <w:rsid w:val="00320C3C"/>
    <w:rsid w:val="0032634F"/>
    <w:rsid w:val="00354E9A"/>
    <w:rsid w:val="00360CA1"/>
    <w:rsid w:val="003757E9"/>
    <w:rsid w:val="003948F0"/>
    <w:rsid w:val="003B3105"/>
    <w:rsid w:val="003B5A2D"/>
    <w:rsid w:val="003B7480"/>
    <w:rsid w:val="003B7771"/>
    <w:rsid w:val="003C4C66"/>
    <w:rsid w:val="00402508"/>
    <w:rsid w:val="0043298E"/>
    <w:rsid w:val="004331D4"/>
    <w:rsid w:val="004542BC"/>
    <w:rsid w:val="00456B35"/>
    <w:rsid w:val="00460ACD"/>
    <w:rsid w:val="00463342"/>
    <w:rsid w:val="0048793B"/>
    <w:rsid w:val="004A1319"/>
    <w:rsid w:val="004A29F0"/>
    <w:rsid w:val="004B19C0"/>
    <w:rsid w:val="004C3BE1"/>
    <w:rsid w:val="004C7058"/>
    <w:rsid w:val="004E3C0D"/>
    <w:rsid w:val="00531E93"/>
    <w:rsid w:val="005352D5"/>
    <w:rsid w:val="005404DE"/>
    <w:rsid w:val="0057095C"/>
    <w:rsid w:val="005716CE"/>
    <w:rsid w:val="0057303B"/>
    <w:rsid w:val="00587858"/>
    <w:rsid w:val="00590586"/>
    <w:rsid w:val="005A67E0"/>
    <w:rsid w:val="005B5700"/>
    <w:rsid w:val="005D293B"/>
    <w:rsid w:val="005E48B0"/>
    <w:rsid w:val="005E77C1"/>
    <w:rsid w:val="0061624E"/>
    <w:rsid w:val="00622D10"/>
    <w:rsid w:val="00651DC4"/>
    <w:rsid w:val="00654915"/>
    <w:rsid w:val="00667311"/>
    <w:rsid w:val="006736A2"/>
    <w:rsid w:val="00677A71"/>
    <w:rsid w:val="006862FE"/>
    <w:rsid w:val="0068743F"/>
    <w:rsid w:val="006906B7"/>
    <w:rsid w:val="006C109E"/>
    <w:rsid w:val="006E7D9E"/>
    <w:rsid w:val="00731EBA"/>
    <w:rsid w:val="0073748C"/>
    <w:rsid w:val="007631C0"/>
    <w:rsid w:val="00764CFE"/>
    <w:rsid w:val="007772E0"/>
    <w:rsid w:val="00787829"/>
    <w:rsid w:val="00797F9C"/>
    <w:rsid w:val="007A7FE5"/>
    <w:rsid w:val="007C280B"/>
    <w:rsid w:val="007C39F2"/>
    <w:rsid w:val="007D05DD"/>
    <w:rsid w:val="007E1E63"/>
    <w:rsid w:val="00820A8B"/>
    <w:rsid w:val="00826565"/>
    <w:rsid w:val="00840168"/>
    <w:rsid w:val="00894FE6"/>
    <w:rsid w:val="008F01FF"/>
    <w:rsid w:val="008F51D8"/>
    <w:rsid w:val="008F7C66"/>
    <w:rsid w:val="009017D2"/>
    <w:rsid w:val="00910034"/>
    <w:rsid w:val="009149AD"/>
    <w:rsid w:val="009210DF"/>
    <w:rsid w:val="00927933"/>
    <w:rsid w:val="00955B62"/>
    <w:rsid w:val="00970E02"/>
    <w:rsid w:val="00973423"/>
    <w:rsid w:val="00977DDF"/>
    <w:rsid w:val="009805CF"/>
    <w:rsid w:val="009C3809"/>
    <w:rsid w:val="009C653F"/>
    <w:rsid w:val="009E5975"/>
    <w:rsid w:val="009F093C"/>
    <w:rsid w:val="00A10FAE"/>
    <w:rsid w:val="00A24FFC"/>
    <w:rsid w:val="00A327CE"/>
    <w:rsid w:val="00A505EE"/>
    <w:rsid w:val="00A5751A"/>
    <w:rsid w:val="00A669C2"/>
    <w:rsid w:val="00A7490F"/>
    <w:rsid w:val="00A943E4"/>
    <w:rsid w:val="00AD1920"/>
    <w:rsid w:val="00AD7183"/>
    <w:rsid w:val="00B24B03"/>
    <w:rsid w:val="00B80849"/>
    <w:rsid w:val="00B85495"/>
    <w:rsid w:val="00BA3B85"/>
    <w:rsid w:val="00BD0555"/>
    <w:rsid w:val="00BD0E46"/>
    <w:rsid w:val="00BE1F83"/>
    <w:rsid w:val="00BF247F"/>
    <w:rsid w:val="00C26683"/>
    <w:rsid w:val="00C34F36"/>
    <w:rsid w:val="00C37DB9"/>
    <w:rsid w:val="00C43033"/>
    <w:rsid w:val="00C6790C"/>
    <w:rsid w:val="00C85E8F"/>
    <w:rsid w:val="00C904D3"/>
    <w:rsid w:val="00CA515A"/>
    <w:rsid w:val="00CC593E"/>
    <w:rsid w:val="00CD0699"/>
    <w:rsid w:val="00CE4D28"/>
    <w:rsid w:val="00CE53D7"/>
    <w:rsid w:val="00CE74B4"/>
    <w:rsid w:val="00CE7C73"/>
    <w:rsid w:val="00D03B05"/>
    <w:rsid w:val="00D10A56"/>
    <w:rsid w:val="00D25C08"/>
    <w:rsid w:val="00D348F3"/>
    <w:rsid w:val="00D5639E"/>
    <w:rsid w:val="00D73498"/>
    <w:rsid w:val="00D93714"/>
    <w:rsid w:val="00DB54C8"/>
    <w:rsid w:val="00DB54EE"/>
    <w:rsid w:val="00DC16C9"/>
    <w:rsid w:val="00DE3298"/>
    <w:rsid w:val="00E055DE"/>
    <w:rsid w:val="00E14FB0"/>
    <w:rsid w:val="00E17EAE"/>
    <w:rsid w:val="00E35783"/>
    <w:rsid w:val="00E520A8"/>
    <w:rsid w:val="00E6151B"/>
    <w:rsid w:val="00E8068F"/>
    <w:rsid w:val="00E87601"/>
    <w:rsid w:val="00EA2E15"/>
    <w:rsid w:val="00EB3A71"/>
    <w:rsid w:val="00EF791F"/>
    <w:rsid w:val="00F02C37"/>
    <w:rsid w:val="00F2266B"/>
    <w:rsid w:val="00F237EE"/>
    <w:rsid w:val="00F247E4"/>
    <w:rsid w:val="00F35FDD"/>
    <w:rsid w:val="00F56FAD"/>
    <w:rsid w:val="00F6439B"/>
    <w:rsid w:val="00F86396"/>
    <w:rsid w:val="00FA5967"/>
    <w:rsid w:val="00FA7BF5"/>
    <w:rsid w:val="00FB3CAF"/>
    <w:rsid w:val="00FD5445"/>
    <w:rsid w:val="00FE0FC0"/>
    <w:rsid w:val="00FE6622"/>
    <w:rsid w:val="00FF65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E67795"/>
  <w15:chartTrackingRefBased/>
  <w15:docId w15:val="{69DD0655-20AA-4718-9CC8-9D7D56B45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napToGrid w:val="0"/>
      <w:spacing w:line="360" w:lineRule="atLeast"/>
      <w:jc w:val="both"/>
    </w:pPr>
    <w:rPr>
      <w:rFonts w:ascii="標楷體" w:eastAsia="標楷體" w:hAnsi="Times New Roman" w:cs="標楷體"/>
      <w:spacing w:val="10"/>
      <w:kern w:val="2"/>
      <w:sz w:val="24"/>
      <w:szCs w:val="24"/>
    </w:rPr>
  </w:style>
  <w:style w:type="paragraph" w:styleId="1">
    <w:name w:val="heading 1"/>
    <w:basedOn w:val="a"/>
    <w:next w:val="a"/>
    <w:link w:val="10"/>
    <w:uiPriority w:val="99"/>
    <w:qFormat/>
    <w:pPr>
      <w:spacing w:after="120"/>
      <w:jc w:val="center"/>
      <w:outlineLvl w:val="0"/>
    </w:pPr>
    <w:rPr>
      <w:rFonts w:hAnsi="Arial"/>
      <w:b/>
      <w:bCs/>
      <w:kern w:val="52"/>
      <w:sz w:val="36"/>
      <w:szCs w:val="36"/>
    </w:rPr>
  </w:style>
  <w:style w:type="paragraph" w:styleId="2">
    <w:name w:val="heading 2"/>
    <w:basedOn w:val="a"/>
    <w:next w:val="a"/>
    <w:link w:val="20"/>
    <w:uiPriority w:val="99"/>
    <w:qFormat/>
    <w:pPr>
      <w:keepNext/>
      <w:spacing w:line="720" w:lineRule="auto"/>
      <w:outlineLvl w:val="1"/>
    </w:pPr>
    <w:rPr>
      <w:rFonts w:ascii="Arial" w:hAnsi="Arial" w:cs="Arial"/>
      <w:b/>
      <w:bCs/>
      <w:sz w:val="48"/>
      <w:szCs w:val="48"/>
    </w:rPr>
  </w:style>
  <w:style w:type="paragraph" w:styleId="3">
    <w:name w:val="heading 3"/>
    <w:basedOn w:val="a"/>
    <w:next w:val="a"/>
    <w:link w:val="30"/>
    <w:uiPriority w:val="99"/>
    <w:qFormat/>
    <w:pPr>
      <w:keepNext/>
      <w:spacing w:line="720" w:lineRule="auto"/>
      <w:outlineLvl w:val="2"/>
    </w:pPr>
    <w:rPr>
      <w:rFonts w:ascii="Arial" w:hAnsi="Arial" w:cs="Arial"/>
      <w:b/>
      <w:bCs/>
      <w:sz w:val="36"/>
      <w:szCs w:val="36"/>
    </w:rPr>
  </w:style>
  <w:style w:type="paragraph" w:styleId="4">
    <w:name w:val="heading 4"/>
    <w:basedOn w:val="a"/>
    <w:next w:val="a0"/>
    <w:link w:val="40"/>
    <w:uiPriority w:val="99"/>
    <w:qFormat/>
    <w:pPr>
      <w:keepNext/>
      <w:adjustRightInd w:val="0"/>
      <w:snapToGrid/>
      <w:spacing w:line="720" w:lineRule="atLeast"/>
      <w:jc w:val="left"/>
      <w:textAlignment w:val="baseline"/>
      <w:outlineLvl w:val="3"/>
    </w:pPr>
    <w:rPr>
      <w:rFonts w:ascii="Arial" w:eastAsia="新細明體" w:hAnsi="Arial" w:cs="Arial"/>
      <w:spacing w:val="0"/>
      <w:kern w:val="0"/>
      <w:sz w:val="36"/>
      <w:szCs w:val="36"/>
    </w:rPr>
  </w:style>
  <w:style w:type="paragraph" w:styleId="5">
    <w:name w:val="heading 5"/>
    <w:basedOn w:val="a"/>
    <w:next w:val="a0"/>
    <w:link w:val="50"/>
    <w:uiPriority w:val="99"/>
    <w:qFormat/>
    <w:pPr>
      <w:keepNext/>
      <w:adjustRightInd w:val="0"/>
      <w:snapToGrid/>
      <w:spacing w:line="720" w:lineRule="atLeast"/>
      <w:jc w:val="left"/>
      <w:textAlignment w:val="baseline"/>
      <w:outlineLvl w:val="4"/>
    </w:pPr>
    <w:rPr>
      <w:rFonts w:ascii="Arial" w:eastAsia="新細明體" w:hAnsi="Arial" w:cs="Arial"/>
      <w:b/>
      <w:bCs/>
      <w:spacing w:val="0"/>
      <w:kern w:val="0"/>
      <w:sz w:val="36"/>
      <w:szCs w:val="36"/>
    </w:rPr>
  </w:style>
  <w:style w:type="paragraph" w:styleId="6">
    <w:name w:val="heading 6"/>
    <w:basedOn w:val="a"/>
    <w:next w:val="a0"/>
    <w:link w:val="60"/>
    <w:uiPriority w:val="99"/>
    <w:qFormat/>
    <w:pPr>
      <w:keepNext/>
      <w:adjustRightInd w:val="0"/>
      <w:snapToGrid/>
      <w:spacing w:line="720" w:lineRule="atLeast"/>
      <w:jc w:val="left"/>
      <w:textAlignment w:val="baseline"/>
      <w:outlineLvl w:val="5"/>
    </w:pPr>
    <w:rPr>
      <w:rFonts w:ascii="Arial" w:eastAsia="新細明體" w:hAnsi="Arial" w:cs="Arial"/>
      <w:spacing w:val="0"/>
      <w:kern w:val="0"/>
      <w:sz w:val="36"/>
      <w:szCs w:val="36"/>
    </w:rPr>
  </w:style>
  <w:style w:type="paragraph" w:styleId="7">
    <w:name w:val="heading 7"/>
    <w:basedOn w:val="a"/>
    <w:next w:val="a0"/>
    <w:link w:val="70"/>
    <w:uiPriority w:val="99"/>
    <w:qFormat/>
    <w:pPr>
      <w:keepNext/>
      <w:adjustRightInd w:val="0"/>
      <w:snapToGrid/>
      <w:spacing w:line="720" w:lineRule="atLeast"/>
      <w:jc w:val="left"/>
      <w:textAlignment w:val="baseline"/>
      <w:outlineLvl w:val="6"/>
    </w:pPr>
    <w:rPr>
      <w:rFonts w:ascii="Arial" w:eastAsia="新細明體" w:hAnsi="Arial" w:cs="Arial"/>
      <w:b/>
      <w:bCs/>
      <w:spacing w:val="0"/>
      <w:kern w:val="0"/>
      <w:sz w:val="36"/>
      <w:szCs w:val="36"/>
    </w:rPr>
  </w:style>
  <w:style w:type="paragraph" w:styleId="8">
    <w:name w:val="heading 8"/>
    <w:basedOn w:val="a"/>
    <w:next w:val="a0"/>
    <w:link w:val="80"/>
    <w:uiPriority w:val="99"/>
    <w:qFormat/>
    <w:pPr>
      <w:keepNext/>
      <w:adjustRightInd w:val="0"/>
      <w:snapToGrid/>
      <w:spacing w:line="720" w:lineRule="atLeast"/>
      <w:jc w:val="left"/>
      <w:textAlignment w:val="baseline"/>
      <w:outlineLvl w:val="7"/>
    </w:pPr>
    <w:rPr>
      <w:rFonts w:ascii="Arial" w:eastAsia="新細明體" w:hAnsi="Arial" w:cs="Arial"/>
      <w:spacing w:val="0"/>
      <w:kern w:val="0"/>
      <w:sz w:val="36"/>
      <w:szCs w:val="36"/>
    </w:rPr>
  </w:style>
  <w:style w:type="paragraph" w:styleId="9">
    <w:name w:val="heading 9"/>
    <w:basedOn w:val="a"/>
    <w:next w:val="a0"/>
    <w:link w:val="90"/>
    <w:uiPriority w:val="99"/>
    <w:qFormat/>
    <w:pPr>
      <w:keepNext/>
      <w:adjustRightInd w:val="0"/>
      <w:snapToGrid/>
      <w:spacing w:line="720" w:lineRule="atLeast"/>
      <w:jc w:val="left"/>
      <w:textAlignment w:val="baseline"/>
      <w:outlineLvl w:val="8"/>
    </w:pPr>
    <w:rPr>
      <w:rFonts w:ascii="Arial" w:eastAsia="新細明體" w:hAnsi="Arial" w:cs="Arial"/>
      <w:spacing w:val="0"/>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uiPriority w:val="9"/>
    <w:locked/>
    <w:rPr>
      <w:rFonts w:ascii="Cambria" w:eastAsia="新細明體" w:hAnsi="Cambria" w:cs="Times New Roman"/>
      <w:b/>
      <w:bCs/>
      <w:spacing w:val="10"/>
      <w:kern w:val="52"/>
      <w:sz w:val="52"/>
      <w:szCs w:val="52"/>
    </w:rPr>
  </w:style>
  <w:style w:type="character" w:customStyle="1" w:styleId="20">
    <w:name w:val="標題 2 字元"/>
    <w:link w:val="2"/>
    <w:uiPriority w:val="9"/>
    <w:semiHidden/>
    <w:locked/>
    <w:rPr>
      <w:rFonts w:ascii="Cambria" w:eastAsia="新細明體" w:hAnsi="Cambria" w:cs="Times New Roman"/>
      <w:b/>
      <w:bCs/>
      <w:spacing w:val="10"/>
      <w:sz w:val="48"/>
      <w:szCs w:val="48"/>
    </w:rPr>
  </w:style>
  <w:style w:type="character" w:customStyle="1" w:styleId="30">
    <w:name w:val="標題 3 字元"/>
    <w:link w:val="3"/>
    <w:uiPriority w:val="9"/>
    <w:semiHidden/>
    <w:locked/>
    <w:rPr>
      <w:rFonts w:ascii="Cambria" w:eastAsia="新細明體" w:hAnsi="Cambria" w:cs="Times New Roman"/>
      <w:b/>
      <w:bCs/>
      <w:spacing w:val="10"/>
      <w:sz w:val="36"/>
      <w:szCs w:val="36"/>
    </w:rPr>
  </w:style>
  <w:style w:type="character" w:customStyle="1" w:styleId="40">
    <w:name w:val="標題 4 字元"/>
    <w:link w:val="4"/>
    <w:uiPriority w:val="9"/>
    <w:semiHidden/>
    <w:locked/>
    <w:rPr>
      <w:rFonts w:ascii="Cambria" w:eastAsia="新細明體" w:hAnsi="Cambria" w:cs="Times New Roman"/>
      <w:spacing w:val="10"/>
      <w:sz w:val="36"/>
      <w:szCs w:val="36"/>
    </w:rPr>
  </w:style>
  <w:style w:type="character" w:customStyle="1" w:styleId="50">
    <w:name w:val="標題 5 字元"/>
    <w:link w:val="5"/>
    <w:uiPriority w:val="9"/>
    <w:semiHidden/>
    <w:locked/>
    <w:rPr>
      <w:rFonts w:ascii="Cambria" w:eastAsia="新細明體" w:hAnsi="Cambria" w:cs="Times New Roman"/>
      <w:b/>
      <w:bCs/>
      <w:spacing w:val="10"/>
      <w:sz w:val="36"/>
      <w:szCs w:val="36"/>
    </w:rPr>
  </w:style>
  <w:style w:type="character" w:customStyle="1" w:styleId="60">
    <w:name w:val="標題 6 字元"/>
    <w:link w:val="6"/>
    <w:uiPriority w:val="9"/>
    <w:semiHidden/>
    <w:locked/>
    <w:rPr>
      <w:rFonts w:ascii="Cambria" w:eastAsia="新細明體" w:hAnsi="Cambria" w:cs="Times New Roman"/>
      <w:spacing w:val="10"/>
      <w:sz w:val="36"/>
      <w:szCs w:val="36"/>
    </w:rPr>
  </w:style>
  <w:style w:type="character" w:customStyle="1" w:styleId="70">
    <w:name w:val="標題 7 字元"/>
    <w:link w:val="7"/>
    <w:uiPriority w:val="9"/>
    <w:semiHidden/>
    <w:locked/>
    <w:rPr>
      <w:rFonts w:ascii="Cambria" w:eastAsia="新細明體" w:hAnsi="Cambria" w:cs="Times New Roman"/>
      <w:b/>
      <w:bCs/>
      <w:spacing w:val="10"/>
      <w:sz w:val="36"/>
      <w:szCs w:val="36"/>
    </w:rPr>
  </w:style>
  <w:style w:type="character" w:customStyle="1" w:styleId="80">
    <w:name w:val="標題 8 字元"/>
    <w:link w:val="8"/>
    <w:uiPriority w:val="9"/>
    <w:semiHidden/>
    <w:locked/>
    <w:rPr>
      <w:rFonts w:ascii="Cambria" w:eastAsia="新細明體" w:hAnsi="Cambria" w:cs="Times New Roman"/>
      <w:spacing w:val="10"/>
      <w:sz w:val="36"/>
      <w:szCs w:val="36"/>
    </w:rPr>
  </w:style>
  <w:style w:type="character" w:customStyle="1" w:styleId="90">
    <w:name w:val="標題 9 字元"/>
    <w:link w:val="9"/>
    <w:uiPriority w:val="9"/>
    <w:semiHidden/>
    <w:locked/>
    <w:rPr>
      <w:rFonts w:ascii="Cambria" w:eastAsia="新細明體" w:hAnsi="Cambria" w:cs="Times New Roman"/>
      <w:spacing w:val="10"/>
      <w:sz w:val="36"/>
      <w:szCs w:val="36"/>
    </w:rPr>
  </w:style>
  <w:style w:type="paragraph" w:styleId="a0">
    <w:name w:val="Normal Indent"/>
    <w:basedOn w:val="a"/>
    <w:uiPriority w:val="99"/>
    <w:pPr>
      <w:ind w:left="480"/>
    </w:pPr>
  </w:style>
  <w:style w:type="paragraph" w:styleId="a4">
    <w:name w:val="Block Text"/>
    <w:basedOn w:val="a"/>
    <w:uiPriority w:val="99"/>
    <w:pPr>
      <w:ind w:left="758" w:right="28" w:hanging="730"/>
    </w:pPr>
    <w:rPr>
      <w:rFonts w:ascii="新細明體" w:eastAsia="新細明體" w:cs="新細明體"/>
      <w:spacing w:val="24"/>
    </w:rPr>
  </w:style>
  <w:style w:type="paragraph" w:styleId="21">
    <w:name w:val="Body Text 2"/>
    <w:basedOn w:val="a"/>
    <w:link w:val="22"/>
    <w:uiPriority w:val="99"/>
    <w:pPr>
      <w:spacing w:line="360" w:lineRule="exact"/>
    </w:pPr>
    <w:rPr>
      <w:rFonts w:ascii="新細明體" w:eastAsia="新細明體" w:cs="新細明體"/>
      <w:color w:val="0000FF"/>
      <w:u w:val="single"/>
    </w:rPr>
  </w:style>
  <w:style w:type="character" w:customStyle="1" w:styleId="22">
    <w:name w:val="本文 2 字元"/>
    <w:link w:val="21"/>
    <w:uiPriority w:val="99"/>
    <w:semiHidden/>
    <w:locked/>
    <w:rPr>
      <w:rFonts w:ascii="標楷體" w:eastAsia="標楷體" w:hAnsi="Times New Roman" w:cs="標楷體"/>
      <w:spacing w:val="10"/>
      <w:sz w:val="24"/>
      <w:szCs w:val="24"/>
    </w:rPr>
  </w:style>
  <w:style w:type="paragraph" w:styleId="a5">
    <w:name w:val="Body Text"/>
    <w:basedOn w:val="a"/>
    <w:link w:val="a6"/>
    <w:uiPriority w:val="99"/>
    <w:pPr>
      <w:ind w:right="28"/>
    </w:pPr>
    <w:rPr>
      <w:rFonts w:ascii="新細明體" w:eastAsia="新細明體" w:cs="新細明體"/>
    </w:rPr>
  </w:style>
  <w:style w:type="character" w:customStyle="1" w:styleId="a6">
    <w:name w:val="本文 字元"/>
    <w:link w:val="a5"/>
    <w:uiPriority w:val="99"/>
    <w:semiHidden/>
    <w:locked/>
    <w:rPr>
      <w:rFonts w:ascii="標楷體" w:eastAsia="標楷體" w:hAnsi="Times New Roman" w:cs="標楷體"/>
      <w:spacing w:val="10"/>
      <w:sz w:val="24"/>
      <w:szCs w:val="24"/>
    </w:rPr>
  </w:style>
  <w:style w:type="paragraph" w:styleId="HTML">
    <w:name w:val="HTML Preformatted"/>
    <w:basedOn w:val="a"/>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240" w:lineRule="auto"/>
      <w:jc w:val="left"/>
    </w:pPr>
    <w:rPr>
      <w:rFonts w:ascii="細明體" w:eastAsia="細明體" w:hAnsi="Courier New" w:cs="細明體"/>
      <w:color w:val="008000"/>
      <w:spacing w:val="0"/>
      <w:kern w:val="0"/>
      <w:sz w:val="20"/>
      <w:szCs w:val="20"/>
    </w:rPr>
  </w:style>
  <w:style w:type="character" w:customStyle="1" w:styleId="HTML0">
    <w:name w:val="HTML 預設格式 字元"/>
    <w:link w:val="HTML"/>
    <w:uiPriority w:val="99"/>
    <w:semiHidden/>
    <w:locked/>
    <w:rPr>
      <w:rFonts w:ascii="Courier New" w:eastAsia="標楷體" w:hAnsi="Courier New" w:cs="Courier New"/>
      <w:spacing w:val="10"/>
      <w:sz w:val="20"/>
      <w:szCs w:val="20"/>
    </w:rPr>
  </w:style>
  <w:style w:type="paragraph" w:styleId="a7">
    <w:name w:val="footer"/>
    <w:basedOn w:val="a"/>
    <w:link w:val="a8"/>
    <w:uiPriority w:val="99"/>
    <w:pPr>
      <w:tabs>
        <w:tab w:val="center" w:pos="4153"/>
        <w:tab w:val="right" w:pos="8306"/>
      </w:tabs>
    </w:pPr>
    <w:rPr>
      <w:sz w:val="20"/>
      <w:szCs w:val="20"/>
    </w:rPr>
  </w:style>
  <w:style w:type="character" w:customStyle="1" w:styleId="a8">
    <w:name w:val="頁尾 字元"/>
    <w:link w:val="a7"/>
    <w:uiPriority w:val="99"/>
    <w:semiHidden/>
    <w:locked/>
    <w:rPr>
      <w:rFonts w:ascii="標楷體" w:eastAsia="標楷體" w:hAnsi="Times New Roman" w:cs="標楷體"/>
      <w:spacing w:val="10"/>
      <w:sz w:val="20"/>
      <w:szCs w:val="20"/>
    </w:rPr>
  </w:style>
  <w:style w:type="character" w:styleId="a9">
    <w:name w:val="page number"/>
    <w:uiPriority w:val="99"/>
    <w:rPr>
      <w:rFonts w:cs="Times New Roman"/>
    </w:rPr>
  </w:style>
  <w:style w:type="paragraph" w:styleId="23">
    <w:name w:val="Body Text Indent 2"/>
    <w:basedOn w:val="a"/>
    <w:link w:val="24"/>
    <w:uiPriority w:val="99"/>
    <w:pPr>
      <w:spacing w:before="240" w:line="288" w:lineRule="auto"/>
      <w:ind w:left="1118" w:hanging="402"/>
    </w:pPr>
    <w:rPr>
      <w:rFonts w:hAnsi="標楷體"/>
      <w:spacing w:val="0"/>
    </w:rPr>
  </w:style>
  <w:style w:type="character" w:customStyle="1" w:styleId="24">
    <w:name w:val="本文縮排 2 字元"/>
    <w:link w:val="23"/>
    <w:uiPriority w:val="99"/>
    <w:semiHidden/>
    <w:locked/>
    <w:rPr>
      <w:rFonts w:ascii="標楷體" w:eastAsia="標楷體" w:hAnsi="Times New Roman" w:cs="標楷體"/>
      <w:spacing w:val="10"/>
      <w:sz w:val="24"/>
      <w:szCs w:val="24"/>
    </w:rPr>
  </w:style>
  <w:style w:type="paragraph" w:styleId="31">
    <w:name w:val="Body Text Indent 3"/>
    <w:basedOn w:val="a"/>
    <w:link w:val="32"/>
    <w:uiPriority w:val="99"/>
    <w:pPr>
      <w:spacing w:line="360" w:lineRule="exact"/>
      <w:ind w:left="862" w:hanging="862"/>
    </w:pPr>
    <w:rPr>
      <w:rFonts w:ascii="新細明體" w:eastAsia="新細明體" w:cs="新細明體"/>
      <w:u w:val="single"/>
    </w:rPr>
  </w:style>
  <w:style w:type="character" w:customStyle="1" w:styleId="32">
    <w:name w:val="本文縮排 3 字元"/>
    <w:link w:val="31"/>
    <w:uiPriority w:val="99"/>
    <w:semiHidden/>
    <w:locked/>
    <w:rPr>
      <w:rFonts w:ascii="標楷體" w:eastAsia="標楷體" w:hAnsi="Times New Roman" w:cs="標楷體"/>
      <w:spacing w:val="10"/>
      <w:sz w:val="16"/>
      <w:szCs w:val="16"/>
    </w:rPr>
  </w:style>
  <w:style w:type="paragraph" w:styleId="aa">
    <w:name w:val="header"/>
    <w:basedOn w:val="a"/>
    <w:link w:val="ab"/>
    <w:uiPriority w:val="99"/>
    <w:pPr>
      <w:tabs>
        <w:tab w:val="center" w:pos="4153"/>
        <w:tab w:val="right" w:pos="8306"/>
      </w:tabs>
    </w:pPr>
    <w:rPr>
      <w:sz w:val="20"/>
      <w:szCs w:val="20"/>
    </w:rPr>
  </w:style>
  <w:style w:type="character" w:customStyle="1" w:styleId="ab">
    <w:name w:val="頁首 字元"/>
    <w:link w:val="aa"/>
    <w:uiPriority w:val="99"/>
    <w:semiHidden/>
    <w:locked/>
    <w:rPr>
      <w:rFonts w:ascii="標楷體" w:eastAsia="標楷體" w:hAnsi="Times New Roman" w:cs="標楷體"/>
      <w:spacing w:val="10"/>
      <w:sz w:val="20"/>
      <w:szCs w:val="20"/>
    </w:rPr>
  </w:style>
  <w:style w:type="table" w:styleId="ac">
    <w:name w:val="Table Grid"/>
    <w:basedOn w:val="a2"/>
    <w:uiPriority w:val="59"/>
    <w:rsid w:val="00A24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0EADB-4AC3-491B-98F7-B418BE3A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343</Words>
  <Characters>1961</Characters>
  <Application>Microsoft Office Word</Application>
  <DocSecurity>0</DocSecurity>
  <Lines>16</Lines>
  <Paragraphs>4</Paragraphs>
  <ScaleCrop>false</ScaleCrop>
  <Company>Hewlett-Packard Company</Company>
  <LinksUpToDate>false</LinksUpToDate>
  <CharactersWithSpaces>2300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證券商內部控制制度標準規範─內部控制制度修訂對照表（97年度）</dc:title>
  <dc:subject/>
  <dc:creator>0753</dc:creator>
  <cp:keywords/>
  <cp:lastModifiedBy>姚智崇</cp:lastModifiedBy>
  <cp:revision>3</cp:revision>
  <cp:lastPrinted>2004-03-09T19:20:00Z</cp:lastPrinted>
  <dcterms:created xsi:type="dcterms:W3CDTF">2026-07-13T03:55:00Z</dcterms:created>
  <dcterms:modified xsi:type="dcterms:W3CDTF">2026-08-13T02:35:00Z</dcterms:modified>
</cp:coreProperties>
</file>