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48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012"/>
        <w:gridCol w:w="7938"/>
        <w:gridCol w:w="3119"/>
      </w:tblGrid>
      <w:tr w:rsidR="00EC502D" w:rsidRPr="00EC502D" w14:paraId="16373B01" w14:textId="77777777" w:rsidTr="00312A7A">
        <w:trPr>
          <w:trHeight w:val="560"/>
          <w:tblHeader/>
        </w:trPr>
        <w:tc>
          <w:tcPr>
            <w:tcW w:w="1418" w:type="dxa"/>
            <w:vAlign w:val="center"/>
          </w:tcPr>
          <w:p w14:paraId="36067904" w14:textId="77777777" w:rsidR="00004818" w:rsidRPr="00EC502D" w:rsidRDefault="00004818">
            <w:pPr>
              <w:jc w:val="center"/>
            </w:pPr>
            <w:r w:rsidRPr="00EC502D">
              <w:rPr>
                <w:rFonts w:hint="eastAsia"/>
              </w:rPr>
              <w:t>編</w:t>
            </w:r>
            <w:r w:rsidRPr="00EC502D">
              <w:t xml:space="preserve">  </w:t>
            </w:r>
            <w:r w:rsidRPr="00EC502D">
              <w:rPr>
                <w:rFonts w:hint="eastAsia"/>
              </w:rPr>
              <w:t>號</w:t>
            </w:r>
          </w:p>
        </w:tc>
        <w:tc>
          <w:tcPr>
            <w:tcW w:w="2012" w:type="dxa"/>
            <w:vAlign w:val="center"/>
          </w:tcPr>
          <w:p w14:paraId="315D5BB5" w14:textId="77777777" w:rsidR="00004818" w:rsidRPr="00EC502D" w:rsidRDefault="00004818">
            <w:pPr>
              <w:jc w:val="center"/>
            </w:pPr>
            <w:r w:rsidRPr="00EC502D">
              <w:rPr>
                <w:rFonts w:hint="eastAsia"/>
              </w:rPr>
              <w:t>作</w:t>
            </w:r>
            <w:r w:rsidRPr="00EC502D">
              <w:t xml:space="preserve">  </w:t>
            </w:r>
            <w:r w:rsidRPr="00EC502D">
              <w:rPr>
                <w:rFonts w:hint="eastAsia"/>
              </w:rPr>
              <w:t>業</w:t>
            </w:r>
            <w:r w:rsidRPr="00EC502D">
              <w:t xml:space="preserve">  </w:t>
            </w:r>
            <w:r w:rsidRPr="00EC502D">
              <w:rPr>
                <w:rFonts w:hint="eastAsia"/>
              </w:rPr>
              <w:t>項</w:t>
            </w:r>
            <w:r w:rsidRPr="00EC502D">
              <w:t xml:space="preserve">  </w:t>
            </w:r>
            <w:r w:rsidRPr="00EC502D">
              <w:rPr>
                <w:rFonts w:hint="eastAsia"/>
              </w:rPr>
              <w:t>目</w:t>
            </w:r>
          </w:p>
        </w:tc>
        <w:tc>
          <w:tcPr>
            <w:tcW w:w="7938" w:type="dxa"/>
            <w:vAlign w:val="center"/>
          </w:tcPr>
          <w:p w14:paraId="6593ECA5" w14:textId="77777777" w:rsidR="00004818" w:rsidRPr="00EC502D" w:rsidRDefault="00004818" w:rsidP="00BB34E2">
            <w:pPr>
              <w:ind w:rightChars="47" w:right="113"/>
              <w:jc w:val="center"/>
            </w:pPr>
            <w:r w:rsidRPr="00EC502D">
              <w:rPr>
                <w:rFonts w:hint="eastAsia"/>
              </w:rPr>
              <w:t>作</w:t>
            </w:r>
            <w:r w:rsidRPr="00EC502D">
              <w:t xml:space="preserve">  </w:t>
            </w:r>
            <w:r w:rsidRPr="00EC502D">
              <w:rPr>
                <w:rFonts w:hint="eastAsia"/>
              </w:rPr>
              <w:t>業</w:t>
            </w:r>
            <w:r w:rsidRPr="00EC502D">
              <w:t xml:space="preserve">  </w:t>
            </w:r>
            <w:r w:rsidRPr="00EC502D">
              <w:rPr>
                <w:rFonts w:hint="eastAsia"/>
              </w:rPr>
              <w:t>程</w:t>
            </w:r>
            <w:r w:rsidRPr="00EC502D">
              <w:t xml:space="preserve">  </w:t>
            </w:r>
            <w:r w:rsidRPr="00EC502D">
              <w:rPr>
                <w:rFonts w:hint="eastAsia"/>
              </w:rPr>
              <w:t>序</w:t>
            </w:r>
            <w:r w:rsidRPr="00EC502D">
              <w:t xml:space="preserve">  </w:t>
            </w:r>
            <w:r w:rsidRPr="00EC502D">
              <w:rPr>
                <w:rFonts w:hint="eastAsia"/>
              </w:rPr>
              <w:t>及</w:t>
            </w:r>
            <w:r w:rsidRPr="00EC502D">
              <w:t xml:space="preserve">  </w:t>
            </w:r>
            <w:r w:rsidRPr="00EC502D">
              <w:rPr>
                <w:rFonts w:hint="eastAsia"/>
              </w:rPr>
              <w:t>控</w:t>
            </w:r>
            <w:r w:rsidRPr="00EC502D">
              <w:t xml:space="preserve">  </w:t>
            </w:r>
            <w:r w:rsidRPr="00EC502D">
              <w:rPr>
                <w:rFonts w:hint="eastAsia"/>
              </w:rPr>
              <w:t>制</w:t>
            </w:r>
            <w:r w:rsidRPr="00EC502D">
              <w:t xml:space="preserve">  </w:t>
            </w:r>
            <w:r w:rsidRPr="00EC502D">
              <w:rPr>
                <w:rFonts w:hint="eastAsia"/>
              </w:rPr>
              <w:t>重</w:t>
            </w:r>
            <w:r w:rsidRPr="00EC502D">
              <w:t xml:space="preserve">  </w:t>
            </w:r>
            <w:r w:rsidRPr="00EC502D">
              <w:rPr>
                <w:rFonts w:hint="eastAsia"/>
              </w:rPr>
              <w:t>點</w:t>
            </w:r>
          </w:p>
        </w:tc>
        <w:tc>
          <w:tcPr>
            <w:tcW w:w="3119" w:type="dxa"/>
            <w:vAlign w:val="center"/>
          </w:tcPr>
          <w:p w14:paraId="76EA5120" w14:textId="77777777" w:rsidR="00004818" w:rsidRPr="00EC502D" w:rsidRDefault="00004818" w:rsidP="00BB34E2">
            <w:pPr>
              <w:tabs>
                <w:tab w:val="left" w:pos="719"/>
                <w:tab w:val="left" w:pos="1259"/>
                <w:tab w:val="left" w:pos="1439"/>
              </w:tabs>
              <w:ind w:rightChars="47" w:right="113" w:hanging="1"/>
              <w:jc w:val="center"/>
            </w:pPr>
            <w:r w:rsidRPr="00EC502D">
              <w:rPr>
                <w:rFonts w:hint="eastAsia"/>
              </w:rPr>
              <w:t>依</w:t>
            </w:r>
            <w:r w:rsidRPr="00EC502D">
              <w:t xml:space="preserve">  </w:t>
            </w:r>
            <w:r w:rsidRPr="00EC502D">
              <w:rPr>
                <w:rFonts w:hint="eastAsia"/>
              </w:rPr>
              <w:t>據</w:t>
            </w:r>
            <w:r w:rsidRPr="00EC502D">
              <w:t xml:space="preserve">  </w:t>
            </w:r>
            <w:r w:rsidRPr="00EC502D">
              <w:rPr>
                <w:rFonts w:hint="eastAsia"/>
              </w:rPr>
              <w:t>資</w:t>
            </w:r>
            <w:r w:rsidRPr="00EC502D">
              <w:t xml:space="preserve">  </w:t>
            </w:r>
            <w:r w:rsidRPr="00EC502D">
              <w:rPr>
                <w:rFonts w:hint="eastAsia"/>
              </w:rPr>
              <w:t>料</w:t>
            </w:r>
          </w:p>
        </w:tc>
      </w:tr>
      <w:tr w:rsidR="00004818" w:rsidRPr="00EC502D" w14:paraId="15BD3E76" w14:textId="77777777" w:rsidTr="00312A7A">
        <w:trPr>
          <w:trHeight w:val="8031"/>
        </w:trPr>
        <w:tc>
          <w:tcPr>
            <w:tcW w:w="1418" w:type="dxa"/>
          </w:tcPr>
          <w:p w14:paraId="5FDF4AEF" w14:textId="77777777" w:rsidR="00004818" w:rsidRPr="00EC502D" w:rsidRDefault="00275919">
            <w:pPr>
              <w:spacing w:line="400" w:lineRule="exact"/>
              <w:jc w:val="center"/>
              <w:rPr>
                <w:spacing w:val="24"/>
              </w:rPr>
            </w:pPr>
            <w:r w:rsidRPr="00EC502D">
              <w:rPr>
                <w:spacing w:val="24"/>
              </w:rPr>
              <w:t>CA-19700</w:t>
            </w:r>
          </w:p>
          <w:p w14:paraId="144AAE29" w14:textId="77777777" w:rsidR="00004818" w:rsidRPr="00EC502D" w:rsidRDefault="00004818">
            <w:pPr>
              <w:spacing w:line="400" w:lineRule="exact"/>
              <w:jc w:val="center"/>
              <w:rPr>
                <w:spacing w:val="24"/>
              </w:rPr>
            </w:pPr>
          </w:p>
          <w:p w14:paraId="10080DA0" w14:textId="77777777" w:rsidR="00004818" w:rsidRPr="00EC502D" w:rsidRDefault="00004818">
            <w:pPr>
              <w:spacing w:line="400" w:lineRule="exact"/>
              <w:jc w:val="center"/>
              <w:rPr>
                <w:spacing w:val="24"/>
              </w:rPr>
            </w:pPr>
          </w:p>
          <w:p w14:paraId="1FFF657B" w14:textId="77777777" w:rsidR="00004818" w:rsidRPr="00EC502D" w:rsidRDefault="00004818">
            <w:pPr>
              <w:spacing w:line="400" w:lineRule="exact"/>
              <w:jc w:val="center"/>
              <w:rPr>
                <w:spacing w:val="24"/>
              </w:rPr>
            </w:pPr>
          </w:p>
          <w:p w14:paraId="23E4D58F" w14:textId="77777777" w:rsidR="00004818" w:rsidRPr="00EC502D" w:rsidRDefault="00004818">
            <w:pPr>
              <w:spacing w:line="400" w:lineRule="exact"/>
              <w:jc w:val="center"/>
              <w:rPr>
                <w:spacing w:val="24"/>
              </w:rPr>
            </w:pPr>
          </w:p>
          <w:p w14:paraId="1CE1996E" w14:textId="77777777" w:rsidR="00004818" w:rsidRPr="00EC502D" w:rsidRDefault="00004818">
            <w:pPr>
              <w:spacing w:line="400" w:lineRule="exact"/>
              <w:jc w:val="center"/>
              <w:rPr>
                <w:spacing w:val="24"/>
              </w:rPr>
            </w:pPr>
          </w:p>
          <w:p w14:paraId="15C7D992" w14:textId="77777777" w:rsidR="00004818" w:rsidRPr="00EC502D" w:rsidRDefault="00004818">
            <w:pPr>
              <w:spacing w:line="400" w:lineRule="exact"/>
              <w:jc w:val="center"/>
              <w:rPr>
                <w:spacing w:val="24"/>
              </w:rPr>
            </w:pPr>
          </w:p>
          <w:p w14:paraId="2EF269E4" w14:textId="77777777" w:rsidR="00004818" w:rsidRPr="00EC502D" w:rsidRDefault="00004818">
            <w:pPr>
              <w:spacing w:line="400" w:lineRule="exact"/>
              <w:jc w:val="center"/>
              <w:rPr>
                <w:spacing w:val="24"/>
              </w:rPr>
            </w:pPr>
          </w:p>
          <w:p w14:paraId="24D51DFB" w14:textId="77777777" w:rsidR="00004818" w:rsidRPr="00EC502D" w:rsidRDefault="00004818">
            <w:pPr>
              <w:spacing w:line="400" w:lineRule="exact"/>
              <w:jc w:val="center"/>
              <w:rPr>
                <w:spacing w:val="24"/>
              </w:rPr>
            </w:pPr>
          </w:p>
          <w:p w14:paraId="1EEBEAF8" w14:textId="77777777" w:rsidR="00004818" w:rsidRPr="00EC502D" w:rsidRDefault="00004818">
            <w:pPr>
              <w:spacing w:line="400" w:lineRule="exact"/>
              <w:jc w:val="center"/>
              <w:rPr>
                <w:spacing w:val="24"/>
              </w:rPr>
            </w:pPr>
          </w:p>
          <w:p w14:paraId="5BA1FC31" w14:textId="77777777" w:rsidR="00004818" w:rsidRPr="00EC502D" w:rsidRDefault="00004818">
            <w:pPr>
              <w:spacing w:line="400" w:lineRule="exact"/>
              <w:jc w:val="center"/>
              <w:rPr>
                <w:spacing w:val="24"/>
              </w:rPr>
            </w:pPr>
          </w:p>
          <w:p w14:paraId="7054C44E" w14:textId="77777777" w:rsidR="00004818" w:rsidRPr="00EC502D" w:rsidRDefault="00004818">
            <w:pPr>
              <w:spacing w:line="400" w:lineRule="exact"/>
              <w:jc w:val="center"/>
              <w:rPr>
                <w:spacing w:val="24"/>
              </w:rPr>
            </w:pPr>
          </w:p>
          <w:p w14:paraId="7EFBE2BD" w14:textId="77777777" w:rsidR="00004818" w:rsidRPr="00EC502D" w:rsidRDefault="00004818">
            <w:pPr>
              <w:spacing w:line="400" w:lineRule="exact"/>
              <w:jc w:val="center"/>
              <w:rPr>
                <w:spacing w:val="24"/>
              </w:rPr>
            </w:pPr>
          </w:p>
          <w:p w14:paraId="203656FC" w14:textId="77777777" w:rsidR="00004818" w:rsidRPr="00EC502D" w:rsidRDefault="00004818">
            <w:pPr>
              <w:spacing w:line="400" w:lineRule="exact"/>
              <w:jc w:val="center"/>
              <w:rPr>
                <w:spacing w:val="24"/>
              </w:rPr>
            </w:pPr>
          </w:p>
          <w:p w14:paraId="5FB3D1CB" w14:textId="77777777" w:rsidR="00004818" w:rsidRPr="00EC502D" w:rsidRDefault="00004818">
            <w:pPr>
              <w:spacing w:line="400" w:lineRule="exact"/>
              <w:jc w:val="center"/>
              <w:rPr>
                <w:spacing w:val="24"/>
              </w:rPr>
            </w:pPr>
          </w:p>
          <w:p w14:paraId="10844732" w14:textId="77777777" w:rsidR="00004818" w:rsidRPr="00EC502D" w:rsidRDefault="00004818">
            <w:pPr>
              <w:spacing w:line="400" w:lineRule="exact"/>
              <w:jc w:val="center"/>
              <w:rPr>
                <w:spacing w:val="24"/>
              </w:rPr>
            </w:pPr>
          </w:p>
          <w:p w14:paraId="3DABF29A" w14:textId="77777777" w:rsidR="00004818" w:rsidRPr="00EC502D" w:rsidRDefault="00004818">
            <w:pPr>
              <w:spacing w:line="400" w:lineRule="exact"/>
              <w:jc w:val="center"/>
              <w:rPr>
                <w:spacing w:val="24"/>
              </w:rPr>
            </w:pPr>
          </w:p>
          <w:p w14:paraId="0886C295" w14:textId="77777777" w:rsidR="00004818" w:rsidRPr="00EC502D" w:rsidRDefault="00004818">
            <w:pPr>
              <w:spacing w:line="400" w:lineRule="exact"/>
              <w:jc w:val="center"/>
              <w:rPr>
                <w:spacing w:val="24"/>
              </w:rPr>
            </w:pPr>
          </w:p>
          <w:p w14:paraId="34E3904B" w14:textId="77777777" w:rsidR="00004818" w:rsidRPr="00EC502D" w:rsidRDefault="00004818">
            <w:pPr>
              <w:spacing w:line="400" w:lineRule="exact"/>
              <w:jc w:val="center"/>
              <w:rPr>
                <w:spacing w:val="24"/>
              </w:rPr>
            </w:pPr>
          </w:p>
          <w:p w14:paraId="19234FA3" w14:textId="77777777" w:rsidR="00004818" w:rsidRPr="00EC502D" w:rsidRDefault="00004818">
            <w:pPr>
              <w:spacing w:line="400" w:lineRule="exact"/>
              <w:jc w:val="center"/>
              <w:rPr>
                <w:spacing w:val="24"/>
              </w:rPr>
            </w:pPr>
          </w:p>
          <w:p w14:paraId="7AB2D124" w14:textId="77777777" w:rsidR="00004818" w:rsidRPr="00EC502D" w:rsidRDefault="00004818">
            <w:pPr>
              <w:spacing w:line="400" w:lineRule="exact"/>
              <w:jc w:val="center"/>
              <w:rPr>
                <w:spacing w:val="24"/>
              </w:rPr>
            </w:pPr>
          </w:p>
          <w:p w14:paraId="390E435F" w14:textId="77777777" w:rsidR="00004818" w:rsidRPr="00EC502D" w:rsidRDefault="00275919">
            <w:pPr>
              <w:spacing w:line="400" w:lineRule="exact"/>
              <w:jc w:val="center"/>
              <w:rPr>
                <w:spacing w:val="24"/>
              </w:rPr>
            </w:pPr>
            <w:r w:rsidRPr="00EC502D">
              <w:rPr>
                <w:spacing w:val="24"/>
              </w:rPr>
              <w:lastRenderedPageBreak/>
              <w:t>CA-19700</w:t>
            </w:r>
          </w:p>
          <w:p w14:paraId="733B5F90" w14:textId="77777777" w:rsidR="00004818" w:rsidRPr="00EC502D" w:rsidRDefault="00004818">
            <w:pPr>
              <w:spacing w:line="400" w:lineRule="exact"/>
              <w:jc w:val="center"/>
              <w:rPr>
                <w:spacing w:val="24"/>
              </w:rPr>
            </w:pPr>
          </w:p>
          <w:p w14:paraId="47CDFF2A" w14:textId="77777777" w:rsidR="00004818" w:rsidRPr="00EC502D" w:rsidRDefault="00004818">
            <w:pPr>
              <w:spacing w:line="400" w:lineRule="exact"/>
              <w:jc w:val="center"/>
              <w:rPr>
                <w:spacing w:val="24"/>
              </w:rPr>
            </w:pPr>
          </w:p>
          <w:p w14:paraId="44C2BECE" w14:textId="77777777" w:rsidR="00004818" w:rsidRPr="00EC502D" w:rsidRDefault="00004818">
            <w:pPr>
              <w:spacing w:line="400" w:lineRule="exact"/>
              <w:jc w:val="center"/>
              <w:rPr>
                <w:spacing w:val="24"/>
              </w:rPr>
            </w:pPr>
          </w:p>
          <w:p w14:paraId="7E1EC8C9" w14:textId="77777777" w:rsidR="00004818" w:rsidRPr="00EC502D" w:rsidRDefault="00004818">
            <w:pPr>
              <w:spacing w:line="400" w:lineRule="exact"/>
              <w:jc w:val="center"/>
              <w:rPr>
                <w:spacing w:val="24"/>
              </w:rPr>
            </w:pPr>
          </w:p>
          <w:p w14:paraId="7E09D30F" w14:textId="77777777" w:rsidR="00004818" w:rsidRPr="00EC502D" w:rsidRDefault="00004818">
            <w:pPr>
              <w:spacing w:line="400" w:lineRule="exact"/>
              <w:jc w:val="center"/>
              <w:rPr>
                <w:spacing w:val="24"/>
              </w:rPr>
            </w:pPr>
          </w:p>
          <w:p w14:paraId="59F2D305" w14:textId="77777777" w:rsidR="00004818" w:rsidRPr="00EC502D" w:rsidRDefault="00004818">
            <w:pPr>
              <w:spacing w:line="400" w:lineRule="exact"/>
              <w:jc w:val="center"/>
              <w:rPr>
                <w:spacing w:val="24"/>
              </w:rPr>
            </w:pPr>
          </w:p>
          <w:p w14:paraId="5396484C" w14:textId="77777777" w:rsidR="00004818" w:rsidRPr="00EC502D" w:rsidRDefault="00004818">
            <w:pPr>
              <w:spacing w:line="400" w:lineRule="exact"/>
              <w:jc w:val="center"/>
              <w:rPr>
                <w:spacing w:val="24"/>
              </w:rPr>
            </w:pPr>
          </w:p>
          <w:p w14:paraId="47607183" w14:textId="77777777" w:rsidR="00004818" w:rsidRPr="00EC502D" w:rsidRDefault="00004818">
            <w:pPr>
              <w:spacing w:line="400" w:lineRule="exact"/>
              <w:jc w:val="center"/>
              <w:rPr>
                <w:spacing w:val="24"/>
              </w:rPr>
            </w:pPr>
          </w:p>
          <w:p w14:paraId="59EF89A0" w14:textId="77777777" w:rsidR="00004818" w:rsidRPr="00EC502D" w:rsidRDefault="00004818">
            <w:pPr>
              <w:spacing w:line="400" w:lineRule="exact"/>
              <w:jc w:val="center"/>
              <w:rPr>
                <w:spacing w:val="24"/>
              </w:rPr>
            </w:pPr>
          </w:p>
          <w:p w14:paraId="557FB390" w14:textId="77777777" w:rsidR="00004818" w:rsidRPr="00EC502D" w:rsidRDefault="00004818">
            <w:pPr>
              <w:spacing w:line="400" w:lineRule="exact"/>
              <w:jc w:val="center"/>
              <w:rPr>
                <w:spacing w:val="24"/>
              </w:rPr>
            </w:pPr>
          </w:p>
          <w:p w14:paraId="1F187F7E" w14:textId="77777777" w:rsidR="00004818" w:rsidRPr="00EC502D" w:rsidRDefault="00004818">
            <w:pPr>
              <w:spacing w:line="400" w:lineRule="exact"/>
              <w:jc w:val="center"/>
              <w:rPr>
                <w:spacing w:val="24"/>
              </w:rPr>
            </w:pPr>
          </w:p>
          <w:p w14:paraId="09DFD8FF" w14:textId="77777777" w:rsidR="00004818" w:rsidRPr="00EC502D" w:rsidRDefault="00004818">
            <w:pPr>
              <w:spacing w:line="400" w:lineRule="exact"/>
              <w:jc w:val="center"/>
              <w:rPr>
                <w:spacing w:val="24"/>
              </w:rPr>
            </w:pPr>
          </w:p>
          <w:p w14:paraId="6B946867" w14:textId="77777777" w:rsidR="00004818" w:rsidRPr="00EC502D" w:rsidRDefault="00004818">
            <w:pPr>
              <w:spacing w:line="400" w:lineRule="exact"/>
              <w:jc w:val="center"/>
              <w:rPr>
                <w:spacing w:val="24"/>
              </w:rPr>
            </w:pPr>
          </w:p>
          <w:p w14:paraId="37763958" w14:textId="77777777" w:rsidR="00004818" w:rsidRPr="00EC502D" w:rsidRDefault="00004818">
            <w:pPr>
              <w:spacing w:line="400" w:lineRule="exact"/>
              <w:jc w:val="center"/>
              <w:rPr>
                <w:spacing w:val="24"/>
              </w:rPr>
            </w:pPr>
          </w:p>
          <w:p w14:paraId="4D82BD9C" w14:textId="77777777" w:rsidR="00004818" w:rsidRPr="00EC502D" w:rsidRDefault="00004818">
            <w:pPr>
              <w:spacing w:line="400" w:lineRule="exact"/>
              <w:jc w:val="center"/>
              <w:rPr>
                <w:spacing w:val="24"/>
              </w:rPr>
            </w:pPr>
          </w:p>
          <w:p w14:paraId="2BB0DEF1" w14:textId="77777777" w:rsidR="00004818" w:rsidRPr="00EC502D" w:rsidRDefault="00004818">
            <w:pPr>
              <w:spacing w:line="400" w:lineRule="exact"/>
              <w:jc w:val="center"/>
              <w:rPr>
                <w:spacing w:val="24"/>
              </w:rPr>
            </w:pPr>
          </w:p>
          <w:p w14:paraId="3B659227" w14:textId="77777777" w:rsidR="00004818" w:rsidRPr="00EC502D" w:rsidRDefault="00004818">
            <w:pPr>
              <w:spacing w:line="400" w:lineRule="exact"/>
              <w:jc w:val="center"/>
              <w:rPr>
                <w:spacing w:val="24"/>
              </w:rPr>
            </w:pPr>
          </w:p>
          <w:p w14:paraId="42A4AA66" w14:textId="77777777" w:rsidR="00004818" w:rsidRPr="00EC502D" w:rsidRDefault="00004818">
            <w:pPr>
              <w:spacing w:line="400" w:lineRule="exact"/>
              <w:jc w:val="center"/>
              <w:rPr>
                <w:spacing w:val="24"/>
              </w:rPr>
            </w:pPr>
          </w:p>
          <w:p w14:paraId="4229E8CA" w14:textId="77777777" w:rsidR="00004818" w:rsidRPr="00EC502D" w:rsidRDefault="00004818">
            <w:pPr>
              <w:spacing w:line="400" w:lineRule="exact"/>
              <w:jc w:val="center"/>
              <w:rPr>
                <w:spacing w:val="24"/>
              </w:rPr>
            </w:pPr>
          </w:p>
          <w:p w14:paraId="5CD47023" w14:textId="77777777" w:rsidR="00004818" w:rsidRPr="00EC502D" w:rsidRDefault="00004818">
            <w:pPr>
              <w:spacing w:line="400" w:lineRule="exact"/>
              <w:jc w:val="center"/>
              <w:rPr>
                <w:spacing w:val="24"/>
              </w:rPr>
            </w:pPr>
          </w:p>
          <w:p w14:paraId="5CDED7FD" w14:textId="77777777" w:rsidR="00004818" w:rsidRPr="00EC502D" w:rsidRDefault="00275919">
            <w:pPr>
              <w:spacing w:line="400" w:lineRule="exact"/>
              <w:jc w:val="center"/>
              <w:rPr>
                <w:spacing w:val="24"/>
              </w:rPr>
            </w:pPr>
            <w:r w:rsidRPr="00EC502D">
              <w:rPr>
                <w:spacing w:val="24"/>
              </w:rPr>
              <w:lastRenderedPageBreak/>
              <w:t>CA-19700</w:t>
            </w:r>
          </w:p>
          <w:p w14:paraId="6C10E69D" w14:textId="77777777" w:rsidR="00004818" w:rsidRPr="00EC502D" w:rsidRDefault="00004818">
            <w:pPr>
              <w:spacing w:line="400" w:lineRule="exact"/>
              <w:jc w:val="center"/>
              <w:rPr>
                <w:spacing w:val="24"/>
              </w:rPr>
            </w:pPr>
          </w:p>
          <w:p w14:paraId="5F6C0FD7" w14:textId="77777777" w:rsidR="00004818" w:rsidRPr="00EC502D" w:rsidRDefault="00004818">
            <w:pPr>
              <w:spacing w:line="400" w:lineRule="exact"/>
              <w:jc w:val="center"/>
              <w:rPr>
                <w:spacing w:val="24"/>
              </w:rPr>
            </w:pPr>
          </w:p>
          <w:p w14:paraId="4FA8A038" w14:textId="77777777" w:rsidR="00004818" w:rsidRPr="00EC502D" w:rsidRDefault="00004818">
            <w:pPr>
              <w:spacing w:line="400" w:lineRule="exact"/>
              <w:jc w:val="center"/>
              <w:rPr>
                <w:spacing w:val="24"/>
              </w:rPr>
            </w:pPr>
          </w:p>
          <w:p w14:paraId="13175A84" w14:textId="77777777" w:rsidR="00004818" w:rsidRPr="00EC502D" w:rsidRDefault="00004818">
            <w:pPr>
              <w:spacing w:line="400" w:lineRule="exact"/>
              <w:jc w:val="center"/>
              <w:rPr>
                <w:spacing w:val="24"/>
              </w:rPr>
            </w:pPr>
          </w:p>
          <w:p w14:paraId="01F82916" w14:textId="77777777" w:rsidR="00004818" w:rsidRPr="00EC502D" w:rsidRDefault="00004818">
            <w:pPr>
              <w:spacing w:line="400" w:lineRule="exact"/>
              <w:jc w:val="center"/>
              <w:rPr>
                <w:spacing w:val="24"/>
              </w:rPr>
            </w:pPr>
          </w:p>
          <w:p w14:paraId="284CEE23" w14:textId="77777777" w:rsidR="00004818" w:rsidRPr="00EC502D" w:rsidRDefault="00004818">
            <w:pPr>
              <w:spacing w:line="400" w:lineRule="exact"/>
              <w:jc w:val="center"/>
              <w:rPr>
                <w:spacing w:val="24"/>
              </w:rPr>
            </w:pPr>
          </w:p>
          <w:p w14:paraId="2A587096" w14:textId="77777777" w:rsidR="00004818" w:rsidRPr="00EC502D" w:rsidRDefault="00004818">
            <w:pPr>
              <w:spacing w:line="400" w:lineRule="exact"/>
              <w:jc w:val="center"/>
              <w:rPr>
                <w:spacing w:val="24"/>
              </w:rPr>
            </w:pPr>
          </w:p>
          <w:p w14:paraId="1DE3F9FE" w14:textId="77777777" w:rsidR="00004818" w:rsidRPr="00EC502D" w:rsidRDefault="00004818">
            <w:pPr>
              <w:spacing w:line="400" w:lineRule="exact"/>
              <w:jc w:val="center"/>
              <w:rPr>
                <w:spacing w:val="24"/>
              </w:rPr>
            </w:pPr>
          </w:p>
          <w:p w14:paraId="4DFA5466" w14:textId="77777777" w:rsidR="00004818" w:rsidRPr="00EC502D" w:rsidRDefault="00004818">
            <w:pPr>
              <w:spacing w:line="400" w:lineRule="exact"/>
              <w:jc w:val="center"/>
              <w:rPr>
                <w:spacing w:val="24"/>
              </w:rPr>
            </w:pPr>
          </w:p>
          <w:p w14:paraId="17849FB4" w14:textId="77777777" w:rsidR="00004818" w:rsidRPr="00EC502D" w:rsidRDefault="00004818">
            <w:pPr>
              <w:spacing w:line="400" w:lineRule="exact"/>
              <w:jc w:val="center"/>
              <w:rPr>
                <w:spacing w:val="24"/>
              </w:rPr>
            </w:pPr>
          </w:p>
          <w:p w14:paraId="55EF7D47" w14:textId="77777777" w:rsidR="00004818" w:rsidRPr="00EC502D" w:rsidRDefault="00004818">
            <w:pPr>
              <w:spacing w:line="400" w:lineRule="exact"/>
              <w:jc w:val="center"/>
              <w:rPr>
                <w:spacing w:val="24"/>
              </w:rPr>
            </w:pPr>
          </w:p>
          <w:p w14:paraId="5FA5F22B" w14:textId="77777777" w:rsidR="00004818" w:rsidRPr="00EC502D" w:rsidRDefault="00004818">
            <w:pPr>
              <w:spacing w:line="400" w:lineRule="exact"/>
              <w:jc w:val="center"/>
              <w:rPr>
                <w:spacing w:val="24"/>
              </w:rPr>
            </w:pPr>
          </w:p>
          <w:p w14:paraId="7C48529B" w14:textId="77777777" w:rsidR="00004818" w:rsidRPr="00EC502D" w:rsidRDefault="00004818">
            <w:pPr>
              <w:spacing w:line="400" w:lineRule="exact"/>
              <w:jc w:val="center"/>
              <w:rPr>
                <w:spacing w:val="24"/>
              </w:rPr>
            </w:pPr>
          </w:p>
          <w:p w14:paraId="7D95EF3A" w14:textId="77777777" w:rsidR="00004818" w:rsidRPr="00EC502D" w:rsidRDefault="00004818">
            <w:pPr>
              <w:spacing w:line="400" w:lineRule="exact"/>
              <w:jc w:val="center"/>
              <w:rPr>
                <w:spacing w:val="24"/>
              </w:rPr>
            </w:pPr>
          </w:p>
          <w:p w14:paraId="7C078C10" w14:textId="77777777" w:rsidR="00004818" w:rsidRPr="00EC502D" w:rsidRDefault="00004818">
            <w:pPr>
              <w:spacing w:line="400" w:lineRule="exact"/>
              <w:jc w:val="center"/>
              <w:rPr>
                <w:spacing w:val="24"/>
              </w:rPr>
            </w:pPr>
          </w:p>
          <w:p w14:paraId="489535BA" w14:textId="77777777" w:rsidR="00004818" w:rsidRPr="00EC502D" w:rsidRDefault="00004818">
            <w:pPr>
              <w:spacing w:line="400" w:lineRule="exact"/>
              <w:jc w:val="center"/>
              <w:rPr>
                <w:spacing w:val="24"/>
              </w:rPr>
            </w:pPr>
          </w:p>
          <w:p w14:paraId="1F3AFA69" w14:textId="77777777" w:rsidR="00004818" w:rsidRPr="00EC502D" w:rsidRDefault="00004818">
            <w:pPr>
              <w:spacing w:line="400" w:lineRule="exact"/>
              <w:jc w:val="center"/>
              <w:rPr>
                <w:spacing w:val="24"/>
              </w:rPr>
            </w:pPr>
          </w:p>
          <w:p w14:paraId="34A55FD1" w14:textId="77777777" w:rsidR="00004818" w:rsidRPr="00EC502D" w:rsidRDefault="00004818">
            <w:pPr>
              <w:spacing w:line="400" w:lineRule="exact"/>
              <w:jc w:val="center"/>
              <w:rPr>
                <w:spacing w:val="24"/>
              </w:rPr>
            </w:pPr>
          </w:p>
          <w:p w14:paraId="4759AE51" w14:textId="77777777" w:rsidR="00004818" w:rsidRPr="00EC502D" w:rsidRDefault="00004818">
            <w:pPr>
              <w:spacing w:line="400" w:lineRule="exact"/>
              <w:jc w:val="center"/>
              <w:rPr>
                <w:spacing w:val="24"/>
              </w:rPr>
            </w:pPr>
          </w:p>
          <w:p w14:paraId="568127A6" w14:textId="77777777" w:rsidR="00004818" w:rsidRPr="00EC502D" w:rsidRDefault="00004818">
            <w:pPr>
              <w:spacing w:line="400" w:lineRule="exact"/>
              <w:jc w:val="center"/>
              <w:rPr>
                <w:spacing w:val="24"/>
              </w:rPr>
            </w:pPr>
          </w:p>
          <w:p w14:paraId="33DAFD6C" w14:textId="77777777" w:rsidR="00004818" w:rsidRPr="00EC502D" w:rsidRDefault="00275919">
            <w:pPr>
              <w:spacing w:line="400" w:lineRule="exact"/>
              <w:jc w:val="center"/>
              <w:rPr>
                <w:spacing w:val="24"/>
              </w:rPr>
            </w:pPr>
            <w:r w:rsidRPr="00EC502D">
              <w:rPr>
                <w:spacing w:val="24"/>
              </w:rPr>
              <w:lastRenderedPageBreak/>
              <w:t>CA-19700</w:t>
            </w:r>
          </w:p>
          <w:p w14:paraId="7338E435" w14:textId="77777777" w:rsidR="00004818" w:rsidRPr="00EC502D" w:rsidRDefault="00004818">
            <w:pPr>
              <w:spacing w:line="400" w:lineRule="exact"/>
              <w:jc w:val="center"/>
              <w:rPr>
                <w:spacing w:val="24"/>
              </w:rPr>
            </w:pPr>
          </w:p>
          <w:p w14:paraId="6897CC7F" w14:textId="77777777" w:rsidR="00004818" w:rsidRPr="00EC502D" w:rsidRDefault="00004818">
            <w:pPr>
              <w:spacing w:line="400" w:lineRule="exact"/>
              <w:jc w:val="center"/>
              <w:rPr>
                <w:spacing w:val="24"/>
              </w:rPr>
            </w:pPr>
          </w:p>
          <w:p w14:paraId="228D1F19" w14:textId="77777777" w:rsidR="00004818" w:rsidRPr="00EC502D" w:rsidRDefault="00004818">
            <w:pPr>
              <w:spacing w:line="400" w:lineRule="exact"/>
              <w:jc w:val="center"/>
              <w:rPr>
                <w:spacing w:val="24"/>
              </w:rPr>
            </w:pPr>
          </w:p>
          <w:p w14:paraId="1AEEB855" w14:textId="77777777" w:rsidR="00004818" w:rsidRPr="00EC502D" w:rsidRDefault="00004818">
            <w:pPr>
              <w:spacing w:line="400" w:lineRule="exact"/>
              <w:jc w:val="center"/>
              <w:rPr>
                <w:spacing w:val="24"/>
              </w:rPr>
            </w:pPr>
          </w:p>
          <w:p w14:paraId="53225BD6" w14:textId="77777777" w:rsidR="00004818" w:rsidRPr="00EC502D" w:rsidRDefault="00004818">
            <w:pPr>
              <w:spacing w:line="400" w:lineRule="exact"/>
              <w:jc w:val="center"/>
              <w:rPr>
                <w:spacing w:val="24"/>
              </w:rPr>
            </w:pPr>
          </w:p>
          <w:p w14:paraId="6829FB1B" w14:textId="77777777" w:rsidR="00004818" w:rsidRPr="00EC502D" w:rsidRDefault="00004818">
            <w:pPr>
              <w:spacing w:line="400" w:lineRule="exact"/>
              <w:jc w:val="center"/>
              <w:rPr>
                <w:spacing w:val="24"/>
              </w:rPr>
            </w:pPr>
          </w:p>
          <w:p w14:paraId="2D9316E6" w14:textId="77777777" w:rsidR="00004818" w:rsidRPr="00EC502D" w:rsidRDefault="00004818">
            <w:pPr>
              <w:spacing w:line="400" w:lineRule="exact"/>
              <w:jc w:val="center"/>
              <w:rPr>
                <w:spacing w:val="24"/>
              </w:rPr>
            </w:pPr>
          </w:p>
          <w:p w14:paraId="7EE23218" w14:textId="77777777" w:rsidR="00004818" w:rsidRPr="00EC502D" w:rsidRDefault="00004818">
            <w:pPr>
              <w:spacing w:line="400" w:lineRule="exact"/>
              <w:jc w:val="center"/>
              <w:rPr>
                <w:spacing w:val="24"/>
              </w:rPr>
            </w:pPr>
          </w:p>
          <w:p w14:paraId="46A8B9EE" w14:textId="77777777" w:rsidR="00004818" w:rsidRPr="00EC502D" w:rsidRDefault="00004818">
            <w:pPr>
              <w:spacing w:line="400" w:lineRule="exact"/>
              <w:jc w:val="center"/>
              <w:rPr>
                <w:spacing w:val="24"/>
              </w:rPr>
            </w:pPr>
          </w:p>
          <w:p w14:paraId="51F1B900" w14:textId="77777777" w:rsidR="00004818" w:rsidRPr="00EC502D" w:rsidRDefault="00004818">
            <w:pPr>
              <w:spacing w:line="400" w:lineRule="exact"/>
              <w:jc w:val="center"/>
              <w:rPr>
                <w:spacing w:val="24"/>
              </w:rPr>
            </w:pPr>
          </w:p>
          <w:p w14:paraId="41531129" w14:textId="77777777" w:rsidR="00004818" w:rsidRPr="00EC502D" w:rsidRDefault="00004818">
            <w:pPr>
              <w:spacing w:line="400" w:lineRule="exact"/>
              <w:jc w:val="center"/>
              <w:rPr>
                <w:spacing w:val="24"/>
              </w:rPr>
            </w:pPr>
          </w:p>
          <w:p w14:paraId="2AC63BC5" w14:textId="77777777" w:rsidR="00004818" w:rsidRPr="00EC502D" w:rsidRDefault="00004818">
            <w:pPr>
              <w:spacing w:line="400" w:lineRule="exact"/>
              <w:jc w:val="center"/>
              <w:rPr>
                <w:spacing w:val="24"/>
              </w:rPr>
            </w:pPr>
          </w:p>
          <w:p w14:paraId="11EFC14C" w14:textId="77777777" w:rsidR="00004818" w:rsidRPr="00EC502D" w:rsidRDefault="00004818">
            <w:pPr>
              <w:spacing w:line="400" w:lineRule="exact"/>
              <w:jc w:val="center"/>
              <w:rPr>
                <w:spacing w:val="24"/>
              </w:rPr>
            </w:pPr>
          </w:p>
          <w:p w14:paraId="35D73416" w14:textId="77777777" w:rsidR="00004818" w:rsidRPr="00EC502D" w:rsidRDefault="00004818">
            <w:pPr>
              <w:spacing w:line="400" w:lineRule="exact"/>
              <w:jc w:val="center"/>
              <w:rPr>
                <w:spacing w:val="24"/>
              </w:rPr>
            </w:pPr>
          </w:p>
          <w:p w14:paraId="1BF601AB" w14:textId="77777777" w:rsidR="00004818" w:rsidRPr="00EC502D" w:rsidRDefault="00004818">
            <w:pPr>
              <w:spacing w:line="400" w:lineRule="exact"/>
              <w:jc w:val="center"/>
              <w:rPr>
                <w:spacing w:val="24"/>
              </w:rPr>
            </w:pPr>
          </w:p>
          <w:p w14:paraId="47AAB026" w14:textId="77777777" w:rsidR="00004818" w:rsidRPr="00EC502D" w:rsidRDefault="00004818">
            <w:pPr>
              <w:spacing w:line="400" w:lineRule="exact"/>
              <w:jc w:val="center"/>
              <w:rPr>
                <w:spacing w:val="24"/>
              </w:rPr>
            </w:pPr>
          </w:p>
          <w:p w14:paraId="7A347007" w14:textId="77777777" w:rsidR="00004818" w:rsidRPr="00EC502D" w:rsidRDefault="00004818">
            <w:pPr>
              <w:spacing w:line="400" w:lineRule="exact"/>
              <w:jc w:val="center"/>
              <w:rPr>
                <w:spacing w:val="24"/>
              </w:rPr>
            </w:pPr>
          </w:p>
          <w:p w14:paraId="48BAAEA9" w14:textId="77777777" w:rsidR="00004818" w:rsidRPr="00EC502D" w:rsidRDefault="00004818">
            <w:pPr>
              <w:spacing w:line="400" w:lineRule="exact"/>
              <w:jc w:val="center"/>
              <w:rPr>
                <w:spacing w:val="24"/>
              </w:rPr>
            </w:pPr>
          </w:p>
          <w:p w14:paraId="3CCB5573" w14:textId="77777777" w:rsidR="00004818" w:rsidRPr="00EC502D" w:rsidRDefault="00004818">
            <w:pPr>
              <w:spacing w:line="400" w:lineRule="exact"/>
              <w:jc w:val="center"/>
              <w:rPr>
                <w:spacing w:val="24"/>
              </w:rPr>
            </w:pPr>
          </w:p>
          <w:p w14:paraId="5F99DE43" w14:textId="77777777" w:rsidR="00E25937" w:rsidRPr="00EC502D" w:rsidRDefault="00E25937">
            <w:pPr>
              <w:spacing w:line="400" w:lineRule="exact"/>
              <w:jc w:val="center"/>
              <w:rPr>
                <w:spacing w:val="24"/>
              </w:rPr>
            </w:pPr>
          </w:p>
          <w:p w14:paraId="2CF0A71A" w14:textId="77777777" w:rsidR="00004818" w:rsidRPr="00EC502D" w:rsidRDefault="00275919">
            <w:pPr>
              <w:spacing w:line="400" w:lineRule="exact"/>
              <w:jc w:val="center"/>
              <w:rPr>
                <w:spacing w:val="24"/>
              </w:rPr>
            </w:pPr>
            <w:r w:rsidRPr="00EC502D">
              <w:rPr>
                <w:spacing w:val="24"/>
              </w:rPr>
              <w:t>CA-19700</w:t>
            </w:r>
          </w:p>
          <w:p w14:paraId="27476677" w14:textId="77777777" w:rsidR="00E25937" w:rsidRPr="00EC502D" w:rsidRDefault="00E25937">
            <w:pPr>
              <w:spacing w:line="400" w:lineRule="exact"/>
              <w:jc w:val="center"/>
              <w:rPr>
                <w:spacing w:val="24"/>
              </w:rPr>
            </w:pPr>
          </w:p>
          <w:p w14:paraId="7932AAC9" w14:textId="77777777" w:rsidR="00E25937" w:rsidRPr="00EC502D" w:rsidRDefault="00E25937">
            <w:pPr>
              <w:spacing w:line="400" w:lineRule="exact"/>
              <w:jc w:val="center"/>
              <w:rPr>
                <w:spacing w:val="24"/>
              </w:rPr>
            </w:pPr>
          </w:p>
          <w:p w14:paraId="27CECCC5" w14:textId="77777777" w:rsidR="00E25937" w:rsidRPr="00EC502D" w:rsidRDefault="00E25937">
            <w:pPr>
              <w:spacing w:line="400" w:lineRule="exact"/>
              <w:jc w:val="center"/>
              <w:rPr>
                <w:spacing w:val="24"/>
              </w:rPr>
            </w:pPr>
          </w:p>
          <w:p w14:paraId="43925CD6" w14:textId="77777777" w:rsidR="00E25937" w:rsidRPr="00EC502D" w:rsidRDefault="00E25937">
            <w:pPr>
              <w:spacing w:line="400" w:lineRule="exact"/>
              <w:jc w:val="center"/>
              <w:rPr>
                <w:spacing w:val="24"/>
              </w:rPr>
            </w:pPr>
          </w:p>
          <w:p w14:paraId="61004B37" w14:textId="77777777" w:rsidR="00E25937" w:rsidRPr="00EC502D" w:rsidRDefault="00E25937">
            <w:pPr>
              <w:spacing w:line="400" w:lineRule="exact"/>
              <w:jc w:val="center"/>
              <w:rPr>
                <w:spacing w:val="24"/>
              </w:rPr>
            </w:pPr>
          </w:p>
          <w:p w14:paraId="63527623" w14:textId="77777777" w:rsidR="00E25937" w:rsidRPr="00EC502D" w:rsidRDefault="00E25937">
            <w:pPr>
              <w:spacing w:line="400" w:lineRule="exact"/>
              <w:jc w:val="center"/>
              <w:rPr>
                <w:spacing w:val="24"/>
              </w:rPr>
            </w:pPr>
          </w:p>
          <w:p w14:paraId="6D8B11E6" w14:textId="77777777" w:rsidR="00E25937" w:rsidRPr="00EC502D" w:rsidRDefault="00E25937">
            <w:pPr>
              <w:spacing w:line="400" w:lineRule="exact"/>
              <w:jc w:val="center"/>
              <w:rPr>
                <w:spacing w:val="24"/>
              </w:rPr>
            </w:pPr>
          </w:p>
          <w:p w14:paraId="0B3AA80F" w14:textId="77777777" w:rsidR="00E25937" w:rsidRPr="00EC502D" w:rsidRDefault="00E25937">
            <w:pPr>
              <w:spacing w:line="400" w:lineRule="exact"/>
              <w:jc w:val="center"/>
              <w:rPr>
                <w:spacing w:val="24"/>
              </w:rPr>
            </w:pPr>
          </w:p>
          <w:p w14:paraId="644DF288" w14:textId="77777777" w:rsidR="00E25937" w:rsidRPr="00EC502D" w:rsidRDefault="00E25937">
            <w:pPr>
              <w:spacing w:line="400" w:lineRule="exact"/>
              <w:jc w:val="center"/>
              <w:rPr>
                <w:spacing w:val="24"/>
              </w:rPr>
            </w:pPr>
          </w:p>
          <w:p w14:paraId="1D5E3642" w14:textId="77777777" w:rsidR="00E25937" w:rsidRPr="00EC502D" w:rsidRDefault="00E25937">
            <w:pPr>
              <w:spacing w:line="400" w:lineRule="exact"/>
              <w:jc w:val="center"/>
              <w:rPr>
                <w:spacing w:val="24"/>
              </w:rPr>
            </w:pPr>
          </w:p>
          <w:p w14:paraId="42543634" w14:textId="77777777" w:rsidR="00E25937" w:rsidRPr="00EC502D" w:rsidRDefault="00E25937">
            <w:pPr>
              <w:spacing w:line="400" w:lineRule="exact"/>
              <w:jc w:val="center"/>
              <w:rPr>
                <w:spacing w:val="24"/>
              </w:rPr>
            </w:pPr>
          </w:p>
          <w:p w14:paraId="33B03385" w14:textId="77777777" w:rsidR="00E25937" w:rsidRPr="00EC502D" w:rsidRDefault="00E25937">
            <w:pPr>
              <w:spacing w:line="400" w:lineRule="exact"/>
              <w:jc w:val="center"/>
              <w:rPr>
                <w:spacing w:val="24"/>
              </w:rPr>
            </w:pPr>
          </w:p>
          <w:p w14:paraId="09B54BDD" w14:textId="77777777" w:rsidR="00E25937" w:rsidRPr="00EC502D" w:rsidRDefault="00E25937">
            <w:pPr>
              <w:spacing w:line="400" w:lineRule="exact"/>
              <w:jc w:val="center"/>
              <w:rPr>
                <w:spacing w:val="24"/>
              </w:rPr>
            </w:pPr>
          </w:p>
          <w:p w14:paraId="0B2C08E6" w14:textId="77777777" w:rsidR="00E25937" w:rsidRPr="00EC502D" w:rsidRDefault="00E25937">
            <w:pPr>
              <w:spacing w:line="400" w:lineRule="exact"/>
              <w:jc w:val="center"/>
              <w:rPr>
                <w:spacing w:val="24"/>
              </w:rPr>
            </w:pPr>
          </w:p>
          <w:p w14:paraId="335E0818" w14:textId="77777777" w:rsidR="00E25937" w:rsidRPr="00EC502D" w:rsidRDefault="00E25937">
            <w:pPr>
              <w:spacing w:line="400" w:lineRule="exact"/>
              <w:jc w:val="center"/>
              <w:rPr>
                <w:spacing w:val="24"/>
              </w:rPr>
            </w:pPr>
          </w:p>
          <w:p w14:paraId="39693E76" w14:textId="77777777" w:rsidR="00E25937" w:rsidRPr="00EC502D" w:rsidRDefault="00E25937">
            <w:pPr>
              <w:spacing w:line="400" w:lineRule="exact"/>
              <w:jc w:val="center"/>
              <w:rPr>
                <w:spacing w:val="24"/>
              </w:rPr>
            </w:pPr>
          </w:p>
          <w:p w14:paraId="158E021F" w14:textId="77777777" w:rsidR="00E25937" w:rsidRPr="00EC502D" w:rsidRDefault="00E25937">
            <w:pPr>
              <w:spacing w:line="400" w:lineRule="exact"/>
              <w:jc w:val="center"/>
              <w:rPr>
                <w:spacing w:val="24"/>
              </w:rPr>
            </w:pPr>
          </w:p>
          <w:p w14:paraId="03F41D28" w14:textId="77777777" w:rsidR="00E25937" w:rsidRPr="00EC502D" w:rsidRDefault="00E25937">
            <w:pPr>
              <w:spacing w:line="400" w:lineRule="exact"/>
              <w:jc w:val="center"/>
              <w:rPr>
                <w:spacing w:val="24"/>
              </w:rPr>
            </w:pPr>
          </w:p>
          <w:p w14:paraId="470F3C5B" w14:textId="77777777" w:rsidR="00E25937" w:rsidRPr="00EC502D" w:rsidRDefault="00E25937">
            <w:pPr>
              <w:spacing w:line="400" w:lineRule="exact"/>
              <w:jc w:val="center"/>
              <w:rPr>
                <w:spacing w:val="24"/>
              </w:rPr>
            </w:pPr>
          </w:p>
        </w:tc>
        <w:tc>
          <w:tcPr>
            <w:tcW w:w="2012" w:type="dxa"/>
          </w:tcPr>
          <w:p w14:paraId="2E8B4B12" w14:textId="77777777" w:rsidR="00004818" w:rsidRPr="00EC502D" w:rsidRDefault="00CE54C3" w:rsidP="00312A7A">
            <w:pPr>
              <w:spacing w:line="400" w:lineRule="exact"/>
              <w:rPr>
                <w:spacing w:val="24"/>
              </w:rPr>
            </w:pPr>
            <w:r w:rsidRPr="00EC502D">
              <w:rPr>
                <w:rFonts w:hint="eastAsia"/>
                <w:spacing w:val="24"/>
              </w:rPr>
              <w:lastRenderedPageBreak/>
              <w:t>外幣拆款</w:t>
            </w:r>
            <w:r w:rsidR="00004818" w:rsidRPr="00EC502D">
              <w:rPr>
                <w:rFonts w:hint="eastAsia"/>
                <w:spacing w:val="24"/>
              </w:rPr>
              <w:t>作業</w:t>
            </w:r>
          </w:p>
          <w:p w14:paraId="30CBCD7A" w14:textId="77777777" w:rsidR="00004818" w:rsidRPr="00EC502D" w:rsidRDefault="00004818">
            <w:pPr>
              <w:spacing w:line="400" w:lineRule="exact"/>
              <w:jc w:val="center"/>
              <w:rPr>
                <w:spacing w:val="24"/>
              </w:rPr>
            </w:pPr>
          </w:p>
          <w:p w14:paraId="1596964B" w14:textId="77777777" w:rsidR="00004818" w:rsidRPr="00EC502D" w:rsidRDefault="00004818">
            <w:pPr>
              <w:spacing w:line="400" w:lineRule="exact"/>
              <w:jc w:val="center"/>
              <w:rPr>
                <w:spacing w:val="24"/>
              </w:rPr>
            </w:pPr>
          </w:p>
          <w:p w14:paraId="4D106DF9" w14:textId="77777777" w:rsidR="00004818" w:rsidRPr="00EC502D" w:rsidRDefault="00004818">
            <w:pPr>
              <w:spacing w:line="400" w:lineRule="exact"/>
              <w:jc w:val="center"/>
              <w:rPr>
                <w:spacing w:val="24"/>
              </w:rPr>
            </w:pPr>
          </w:p>
          <w:p w14:paraId="0A57C22D" w14:textId="77777777" w:rsidR="00004818" w:rsidRPr="00EC502D" w:rsidRDefault="00004818">
            <w:pPr>
              <w:spacing w:line="400" w:lineRule="exact"/>
              <w:jc w:val="center"/>
              <w:rPr>
                <w:spacing w:val="24"/>
              </w:rPr>
            </w:pPr>
          </w:p>
          <w:p w14:paraId="63C0EE38" w14:textId="77777777" w:rsidR="00004818" w:rsidRPr="00EC502D" w:rsidRDefault="00004818">
            <w:pPr>
              <w:spacing w:line="400" w:lineRule="exact"/>
              <w:jc w:val="center"/>
              <w:rPr>
                <w:spacing w:val="24"/>
              </w:rPr>
            </w:pPr>
          </w:p>
          <w:p w14:paraId="7B7FCB2F" w14:textId="77777777" w:rsidR="00004818" w:rsidRPr="00EC502D" w:rsidRDefault="00004818">
            <w:pPr>
              <w:spacing w:line="400" w:lineRule="exact"/>
              <w:jc w:val="center"/>
              <w:rPr>
                <w:spacing w:val="24"/>
              </w:rPr>
            </w:pPr>
          </w:p>
          <w:p w14:paraId="70A2B90A" w14:textId="77777777" w:rsidR="00004818" w:rsidRPr="00EC502D" w:rsidRDefault="00004818">
            <w:pPr>
              <w:spacing w:line="400" w:lineRule="exact"/>
              <w:jc w:val="center"/>
              <w:rPr>
                <w:spacing w:val="24"/>
              </w:rPr>
            </w:pPr>
          </w:p>
          <w:p w14:paraId="2DA1B549" w14:textId="77777777" w:rsidR="00871EDD" w:rsidRPr="00EC502D" w:rsidRDefault="00871EDD">
            <w:pPr>
              <w:spacing w:line="400" w:lineRule="exact"/>
              <w:jc w:val="center"/>
              <w:rPr>
                <w:spacing w:val="24"/>
              </w:rPr>
            </w:pPr>
          </w:p>
          <w:p w14:paraId="2FB486B7" w14:textId="77777777" w:rsidR="00004818" w:rsidRPr="00EC502D" w:rsidRDefault="00004818">
            <w:pPr>
              <w:spacing w:line="400" w:lineRule="exact"/>
              <w:jc w:val="center"/>
              <w:rPr>
                <w:spacing w:val="24"/>
              </w:rPr>
            </w:pPr>
          </w:p>
          <w:p w14:paraId="3BA0E21D" w14:textId="77777777" w:rsidR="00004818" w:rsidRPr="00EC502D" w:rsidRDefault="00004818">
            <w:pPr>
              <w:spacing w:line="400" w:lineRule="exact"/>
              <w:jc w:val="center"/>
              <w:rPr>
                <w:spacing w:val="24"/>
              </w:rPr>
            </w:pPr>
          </w:p>
          <w:p w14:paraId="260F3EE4" w14:textId="77777777" w:rsidR="00004818" w:rsidRPr="00EC502D" w:rsidRDefault="00004818">
            <w:pPr>
              <w:spacing w:line="400" w:lineRule="exact"/>
              <w:jc w:val="center"/>
              <w:rPr>
                <w:spacing w:val="24"/>
              </w:rPr>
            </w:pPr>
          </w:p>
          <w:p w14:paraId="31EC67D4" w14:textId="77777777" w:rsidR="00004818" w:rsidRPr="00EC502D" w:rsidRDefault="00004818">
            <w:pPr>
              <w:spacing w:line="400" w:lineRule="exact"/>
              <w:jc w:val="center"/>
              <w:rPr>
                <w:spacing w:val="24"/>
              </w:rPr>
            </w:pPr>
          </w:p>
          <w:p w14:paraId="5557EFEE" w14:textId="77777777" w:rsidR="00004818" w:rsidRPr="00EC502D" w:rsidRDefault="00004818">
            <w:pPr>
              <w:spacing w:line="400" w:lineRule="exact"/>
              <w:jc w:val="center"/>
              <w:rPr>
                <w:spacing w:val="24"/>
              </w:rPr>
            </w:pPr>
          </w:p>
          <w:p w14:paraId="299C54FB" w14:textId="77777777" w:rsidR="00004818" w:rsidRPr="00EC502D" w:rsidRDefault="00004818">
            <w:pPr>
              <w:spacing w:line="400" w:lineRule="exact"/>
              <w:jc w:val="center"/>
              <w:rPr>
                <w:spacing w:val="24"/>
              </w:rPr>
            </w:pPr>
          </w:p>
          <w:p w14:paraId="6D74DAA7" w14:textId="77777777" w:rsidR="00004818" w:rsidRPr="00EC502D" w:rsidRDefault="00004818">
            <w:pPr>
              <w:spacing w:line="400" w:lineRule="exact"/>
              <w:jc w:val="center"/>
              <w:rPr>
                <w:spacing w:val="24"/>
              </w:rPr>
            </w:pPr>
          </w:p>
          <w:p w14:paraId="36F51EB9" w14:textId="77777777" w:rsidR="00004818" w:rsidRPr="00EC502D" w:rsidRDefault="00004818">
            <w:pPr>
              <w:spacing w:line="400" w:lineRule="exact"/>
              <w:jc w:val="center"/>
              <w:rPr>
                <w:spacing w:val="24"/>
              </w:rPr>
            </w:pPr>
          </w:p>
          <w:p w14:paraId="74A861F7" w14:textId="77777777" w:rsidR="00004818" w:rsidRPr="00EC502D" w:rsidRDefault="00004818">
            <w:pPr>
              <w:spacing w:line="400" w:lineRule="exact"/>
              <w:jc w:val="center"/>
              <w:rPr>
                <w:spacing w:val="24"/>
              </w:rPr>
            </w:pPr>
          </w:p>
          <w:p w14:paraId="7AC33ADC" w14:textId="77777777" w:rsidR="00004818" w:rsidRPr="00EC502D" w:rsidRDefault="00004818">
            <w:pPr>
              <w:spacing w:line="400" w:lineRule="exact"/>
              <w:jc w:val="center"/>
              <w:rPr>
                <w:spacing w:val="24"/>
              </w:rPr>
            </w:pPr>
          </w:p>
          <w:p w14:paraId="2EB60D1F" w14:textId="77777777" w:rsidR="00004818" w:rsidRPr="00EC502D" w:rsidRDefault="00004818">
            <w:pPr>
              <w:spacing w:line="400" w:lineRule="exact"/>
              <w:jc w:val="center"/>
              <w:rPr>
                <w:spacing w:val="24"/>
              </w:rPr>
            </w:pPr>
          </w:p>
          <w:p w14:paraId="19223A34" w14:textId="77777777" w:rsidR="00004818" w:rsidRPr="00EC502D" w:rsidRDefault="00004818">
            <w:pPr>
              <w:spacing w:line="400" w:lineRule="exact"/>
              <w:jc w:val="center"/>
              <w:rPr>
                <w:spacing w:val="24"/>
              </w:rPr>
            </w:pPr>
          </w:p>
          <w:p w14:paraId="511F8B7F" w14:textId="77777777" w:rsidR="00E25937" w:rsidRPr="00EC502D" w:rsidRDefault="00E25937" w:rsidP="00E25937">
            <w:pPr>
              <w:spacing w:line="400" w:lineRule="exact"/>
              <w:rPr>
                <w:spacing w:val="24"/>
              </w:rPr>
            </w:pPr>
            <w:r w:rsidRPr="00EC502D">
              <w:rPr>
                <w:rFonts w:hint="eastAsia"/>
                <w:spacing w:val="24"/>
              </w:rPr>
              <w:lastRenderedPageBreak/>
              <w:t>外幣拆款作業</w:t>
            </w:r>
          </w:p>
          <w:p w14:paraId="4237603A" w14:textId="77777777" w:rsidR="00004818" w:rsidRPr="00EC502D" w:rsidRDefault="00004818">
            <w:pPr>
              <w:spacing w:line="400" w:lineRule="exact"/>
              <w:jc w:val="center"/>
              <w:rPr>
                <w:spacing w:val="24"/>
              </w:rPr>
            </w:pPr>
          </w:p>
          <w:p w14:paraId="617369C9" w14:textId="77777777" w:rsidR="00004818" w:rsidRPr="00EC502D" w:rsidRDefault="00004818">
            <w:pPr>
              <w:spacing w:line="400" w:lineRule="exact"/>
              <w:jc w:val="center"/>
              <w:rPr>
                <w:spacing w:val="24"/>
              </w:rPr>
            </w:pPr>
          </w:p>
          <w:p w14:paraId="23AE2042" w14:textId="77777777" w:rsidR="00004818" w:rsidRPr="00EC502D" w:rsidRDefault="00004818">
            <w:pPr>
              <w:spacing w:line="400" w:lineRule="exact"/>
              <w:jc w:val="center"/>
              <w:rPr>
                <w:spacing w:val="24"/>
              </w:rPr>
            </w:pPr>
          </w:p>
          <w:p w14:paraId="6A184E74" w14:textId="77777777" w:rsidR="00004818" w:rsidRPr="00EC502D" w:rsidRDefault="00004818">
            <w:pPr>
              <w:spacing w:line="400" w:lineRule="exact"/>
              <w:jc w:val="center"/>
              <w:rPr>
                <w:spacing w:val="24"/>
              </w:rPr>
            </w:pPr>
          </w:p>
          <w:p w14:paraId="4186A71C" w14:textId="77777777" w:rsidR="00004818" w:rsidRPr="00EC502D" w:rsidRDefault="00004818">
            <w:pPr>
              <w:spacing w:line="400" w:lineRule="exact"/>
              <w:jc w:val="center"/>
              <w:rPr>
                <w:spacing w:val="24"/>
              </w:rPr>
            </w:pPr>
          </w:p>
          <w:p w14:paraId="65C5B762" w14:textId="77777777" w:rsidR="00004818" w:rsidRPr="00EC502D" w:rsidRDefault="00004818">
            <w:pPr>
              <w:spacing w:line="400" w:lineRule="exact"/>
              <w:jc w:val="center"/>
              <w:rPr>
                <w:spacing w:val="24"/>
              </w:rPr>
            </w:pPr>
          </w:p>
          <w:p w14:paraId="6D191F1D" w14:textId="77777777" w:rsidR="00004818" w:rsidRPr="00EC502D" w:rsidRDefault="00004818">
            <w:pPr>
              <w:spacing w:line="400" w:lineRule="exact"/>
              <w:jc w:val="center"/>
              <w:rPr>
                <w:spacing w:val="24"/>
              </w:rPr>
            </w:pPr>
          </w:p>
          <w:p w14:paraId="77CB86AE" w14:textId="77777777" w:rsidR="00004818" w:rsidRPr="00EC502D" w:rsidRDefault="00004818">
            <w:pPr>
              <w:spacing w:line="400" w:lineRule="exact"/>
              <w:jc w:val="center"/>
              <w:rPr>
                <w:spacing w:val="24"/>
              </w:rPr>
            </w:pPr>
          </w:p>
          <w:p w14:paraId="55FAB7D2" w14:textId="77777777" w:rsidR="00004818" w:rsidRPr="00EC502D" w:rsidRDefault="00004818">
            <w:pPr>
              <w:spacing w:line="400" w:lineRule="exact"/>
              <w:jc w:val="center"/>
              <w:rPr>
                <w:spacing w:val="24"/>
              </w:rPr>
            </w:pPr>
          </w:p>
          <w:p w14:paraId="0E6AE1D0" w14:textId="77777777" w:rsidR="00004818" w:rsidRPr="00EC502D" w:rsidRDefault="00004818">
            <w:pPr>
              <w:spacing w:line="400" w:lineRule="exact"/>
              <w:jc w:val="center"/>
              <w:rPr>
                <w:spacing w:val="24"/>
              </w:rPr>
            </w:pPr>
          </w:p>
          <w:p w14:paraId="356598F8" w14:textId="77777777" w:rsidR="00004818" w:rsidRPr="00EC502D" w:rsidRDefault="00004818">
            <w:pPr>
              <w:spacing w:line="400" w:lineRule="exact"/>
              <w:jc w:val="center"/>
              <w:rPr>
                <w:spacing w:val="24"/>
              </w:rPr>
            </w:pPr>
          </w:p>
          <w:p w14:paraId="15AA229C" w14:textId="77777777" w:rsidR="00004818" w:rsidRPr="00EC502D" w:rsidRDefault="00004818">
            <w:pPr>
              <w:spacing w:line="400" w:lineRule="exact"/>
              <w:jc w:val="center"/>
              <w:rPr>
                <w:spacing w:val="24"/>
              </w:rPr>
            </w:pPr>
          </w:p>
          <w:p w14:paraId="3AFE7D35" w14:textId="77777777" w:rsidR="00004818" w:rsidRPr="00EC502D" w:rsidRDefault="00004818">
            <w:pPr>
              <w:spacing w:line="400" w:lineRule="exact"/>
              <w:jc w:val="center"/>
              <w:rPr>
                <w:spacing w:val="24"/>
              </w:rPr>
            </w:pPr>
          </w:p>
          <w:p w14:paraId="50163F7B" w14:textId="77777777" w:rsidR="00004818" w:rsidRPr="00EC502D" w:rsidRDefault="00004818">
            <w:pPr>
              <w:spacing w:line="400" w:lineRule="exact"/>
              <w:jc w:val="center"/>
              <w:rPr>
                <w:spacing w:val="24"/>
              </w:rPr>
            </w:pPr>
          </w:p>
          <w:p w14:paraId="008E3ABD" w14:textId="77777777" w:rsidR="00004818" w:rsidRPr="00EC502D" w:rsidRDefault="00004818">
            <w:pPr>
              <w:spacing w:line="400" w:lineRule="exact"/>
              <w:jc w:val="center"/>
              <w:rPr>
                <w:spacing w:val="24"/>
              </w:rPr>
            </w:pPr>
          </w:p>
          <w:p w14:paraId="6B700B19" w14:textId="77777777" w:rsidR="00004818" w:rsidRPr="00EC502D" w:rsidRDefault="00004818">
            <w:pPr>
              <w:spacing w:line="400" w:lineRule="exact"/>
              <w:jc w:val="center"/>
              <w:rPr>
                <w:spacing w:val="24"/>
              </w:rPr>
            </w:pPr>
          </w:p>
          <w:p w14:paraId="44669EE4" w14:textId="77777777" w:rsidR="00004818" w:rsidRPr="00EC502D" w:rsidRDefault="00004818">
            <w:pPr>
              <w:spacing w:line="400" w:lineRule="exact"/>
              <w:jc w:val="center"/>
              <w:rPr>
                <w:spacing w:val="24"/>
              </w:rPr>
            </w:pPr>
          </w:p>
          <w:p w14:paraId="2FEA69EB" w14:textId="77777777" w:rsidR="00004818" w:rsidRPr="00EC502D" w:rsidRDefault="00004818">
            <w:pPr>
              <w:spacing w:line="400" w:lineRule="exact"/>
              <w:jc w:val="center"/>
              <w:rPr>
                <w:spacing w:val="24"/>
              </w:rPr>
            </w:pPr>
          </w:p>
          <w:p w14:paraId="4EEE3516" w14:textId="77777777" w:rsidR="009914EC" w:rsidRPr="00EC502D" w:rsidRDefault="009914EC">
            <w:pPr>
              <w:spacing w:line="400" w:lineRule="exact"/>
              <w:jc w:val="center"/>
              <w:rPr>
                <w:spacing w:val="24"/>
              </w:rPr>
            </w:pPr>
          </w:p>
          <w:p w14:paraId="2377693B" w14:textId="77777777" w:rsidR="00004818" w:rsidRPr="00EC502D" w:rsidRDefault="00004818">
            <w:pPr>
              <w:spacing w:line="400" w:lineRule="exact"/>
              <w:jc w:val="center"/>
              <w:rPr>
                <w:spacing w:val="24"/>
              </w:rPr>
            </w:pPr>
          </w:p>
          <w:p w14:paraId="370CC6EA" w14:textId="77777777" w:rsidR="00E25937" w:rsidRPr="00EC502D" w:rsidRDefault="00E25937" w:rsidP="00E25937">
            <w:pPr>
              <w:spacing w:line="400" w:lineRule="exact"/>
              <w:rPr>
                <w:spacing w:val="24"/>
              </w:rPr>
            </w:pPr>
            <w:r w:rsidRPr="00EC502D">
              <w:rPr>
                <w:rFonts w:hint="eastAsia"/>
                <w:spacing w:val="24"/>
              </w:rPr>
              <w:lastRenderedPageBreak/>
              <w:t>外幣拆款作業</w:t>
            </w:r>
          </w:p>
          <w:p w14:paraId="0037C79E" w14:textId="77777777" w:rsidR="00004818" w:rsidRPr="00EC502D" w:rsidRDefault="00004818">
            <w:pPr>
              <w:spacing w:line="400" w:lineRule="exact"/>
              <w:jc w:val="center"/>
              <w:rPr>
                <w:spacing w:val="24"/>
              </w:rPr>
            </w:pPr>
          </w:p>
          <w:p w14:paraId="76F1AC3F" w14:textId="77777777" w:rsidR="00004818" w:rsidRPr="00EC502D" w:rsidRDefault="00004818">
            <w:pPr>
              <w:spacing w:line="400" w:lineRule="exact"/>
              <w:jc w:val="center"/>
              <w:rPr>
                <w:spacing w:val="24"/>
              </w:rPr>
            </w:pPr>
          </w:p>
          <w:p w14:paraId="3069E167" w14:textId="77777777" w:rsidR="00004818" w:rsidRPr="00EC502D" w:rsidRDefault="00004818">
            <w:pPr>
              <w:spacing w:line="400" w:lineRule="exact"/>
              <w:jc w:val="center"/>
              <w:rPr>
                <w:spacing w:val="24"/>
              </w:rPr>
            </w:pPr>
          </w:p>
          <w:p w14:paraId="68F8FFA9" w14:textId="77777777" w:rsidR="00004818" w:rsidRPr="00EC502D" w:rsidRDefault="00004818">
            <w:pPr>
              <w:spacing w:line="400" w:lineRule="exact"/>
              <w:jc w:val="center"/>
              <w:rPr>
                <w:spacing w:val="24"/>
              </w:rPr>
            </w:pPr>
          </w:p>
          <w:p w14:paraId="3374EF08" w14:textId="77777777" w:rsidR="00004818" w:rsidRPr="00EC502D" w:rsidRDefault="00004818">
            <w:pPr>
              <w:spacing w:line="400" w:lineRule="exact"/>
              <w:jc w:val="center"/>
              <w:rPr>
                <w:spacing w:val="24"/>
              </w:rPr>
            </w:pPr>
          </w:p>
          <w:p w14:paraId="2802CA51" w14:textId="77777777" w:rsidR="00004818" w:rsidRPr="00EC502D" w:rsidRDefault="00004818">
            <w:pPr>
              <w:spacing w:line="400" w:lineRule="exact"/>
              <w:jc w:val="center"/>
              <w:rPr>
                <w:spacing w:val="24"/>
              </w:rPr>
            </w:pPr>
          </w:p>
          <w:p w14:paraId="0E18590D" w14:textId="77777777" w:rsidR="00004818" w:rsidRPr="00EC502D" w:rsidRDefault="00004818">
            <w:pPr>
              <w:spacing w:line="400" w:lineRule="exact"/>
              <w:jc w:val="center"/>
              <w:rPr>
                <w:spacing w:val="24"/>
              </w:rPr>
            </w:pPr>
          </w:p>
          <w:p w14:paraId="571CF01C" w14:textId="77777777" w:rsidR="00004818" w:rsidRPr="00EC502D" w:rsidRDefault="00004818">
            <w:pPr>
              <w:spacing w:line="400" w:lineRule="exact"/>
              <w:jc w:val="center"/>
              <w:rPr>
                <w:spacing w:val="24"/>
              </w:rPr>
            </w:pPr>
          </w:p>
          <w:p w14:paraId="0C343858" w14:textId="77777777" w:rsidR="00004818" w:rsidRPr="00EC502D" w:rsidRDefault="00004818">
            <w:pPr>
              <w:spacing w:line="400" w:lineRule="exact"/>
              <w:jc w:val="center"/>
              <w:rPr>
                <w:spacing w:val="24"/>
              </w:rPr>
            </w:pPr>
          </w:p>
          <w:p w14:paraId="4A623719" w14:textId="77777777" w:rsidR="00004818" w:rsidRPr="00EC502D" w:rsidRDefault="00004818">
            <w:pPr>
              <w:spacing w:line="400" w:lineRule="exact"/>
              <w:jc w:val="center"/>
              <w:rPr>
                <w:spacing w:val="24"/>
              </w:rPr>
            </w:pPr>
          </w:p>
          <w:p w14:paraId="34E89D96" w14:textId="77777777" w:rsidR="00004818" w:rsidRPr="00EC502D" w:rsidRDefault="00004818">
            <w:pPr>
              <w:spacing w:line="400" w:lineRule="exact"/>
              <w:jc w:val="center"/>
              <w:rPr>
                <w:spacing w:val="24"/>
              </w:rPr>
            </w:pPr>
          </w:p>
          <w:p w14:paraId="5AF265B9" w14:textId="77777777" w:rsidR="00004818" w:rsidRPr="00EC502D" w:rsidRDefault="00004818">
            <w:pPr>
              <w:spacing w:line="400" w:lineRule="exact"/>
              <w:jc w:val="center"/>
              <w:rPr>
                <w:spacing w:val="24"/>
              </w:rPr>
            </w:pPr>
          </w:p>
          <w:p w14:paraId="20354912" w14:textId="77777777" w:rsidR="00004818" w:rsidRPr="00EC502D" w:rsidRDefault="00004818">
            <w:pPr>
              <w:spacing w:line="400" w:lineRule="exact"/>
              <w:jc w:val="center"/>
              <w:rPr>
                <w:spacing w:val="24"/>
              </w:rPr>
            </w:pPr>
          </w:p>
          <w:p w14:paraId="3740E95E" w14:textId="77777777" w:rsidR="00004818" w:rsidRPr="00EC502D" w:rsidRDefault="00004818">
            <w:pPr>
              <w:spacing w:line="400" w:lineRule="exact"/>
              <w:jc w:val="center"/>
              <w:rPr>
                <w:spacing w:val="24"/>
              </w:rPr>
            </w:pPr>
          </w:p>
          <w:p w14:paraId="50458CF8" w14:textId="77777777" w:rsidR="00004818" w:rsidRPr="00EC502D" w:rsidRDefault="00004818">
            <w:pPr>
              <w:spacing w:line="400" w:lineRule="exact"/>
              <w:jc w:val="center"/>
              <w:rPr>
                <w:spacing w:val="24"/>
              </w:rPr>
            </w:pPr>
          </w:p>
          <w:p w14:paraId="173DED6C" w14:textId="77777777" w:rsidR="00004818" w:rsidRPr="00EC502D" w:rsidRDefault="00004818">
            <w:pPr>
              <w:spacing w:line="400" w:lineRule="exact"/>
              <w:jc w:val="center"/>
              <w:rPr>
                <w:spacing w:val="24"/>
              </w:rPr>
            </w:pPr>
          </w:p>
          <w:p w14:paraId="3DCA0E38" w14:textId="77777777" w:rsidR="00004818" w:rsidRPr="00EC502D" w:rsidRDefault="00004818">
            <w:pPr>
              <w:spacing w:line="400" w:lineRule="exact"/>
              <w:jc w:val="center"/>
              <w:rPr>
                <w:spacing w:val="24"/>
              </w:rPr>
            </w:pPr>
          </w:p>
          <w:p w14:paraId="0B9046D9" w14:textId="77777777" w:rsidR="00004818" w:rsidRPr="00EC502D" w:rsidRDefault="00004818">
            <w:pPr>
              <w:spacing w:line="400" w:lineRule="exact"/>
              <w:jc w:val="center"/>
              <w:rPr>
                <w:spacing w:val="24"/>
              </w:rPr>
            </w:pPr>
          </w:p>
          <w:p w14:paraId="38FAB7C4" w14:textId="77777777" w:rsidR="00CB65D8" w:rsidRPr="00EC502D" w:rsidRDefault="00CB65D8">
            <w:pPr>
              <w:spacing w:line="400" w:lineRule="exact"/>
              <w:jc w:val="center"/>
              <w:rPr>
                <w:spacing w:val="24"/>
              </w:rPr>
            </w:pPr>
          </w:p>
          <w:p w14:paraId="0568B83E" w14:textId="77777777" w:rsidR="00004818" w:rsidRPr="00EC502D" w:rsidRDefault="00004818">
            <w:pPr>
              <w:spacing w:line="400" w:lineRule="exact"/>
              <w:jc w:val="center"/>
              <w:rPr>
                <w:spacing w:val="24"/>
              </w:rPr>
            </w:pPr>
          </w:p>
          <w:p w14:paraId="1D70D46E" w14:textId="77777777" w:rsidR="00E25937" w:rsidRPr="00EC502D" w:rsidRDefault="00E25937" w:rsidP="00E25937">
            <w:pPr>
              <w:spacing w:line="400" w:lineRule="exact"/>
              <w:rPr>
                <w:spacing w:val="24"/>
              </w:rPr>
            </w:pPr>
            <w:r w:rsidRPr="00EC502D">
              <w:rPr>
                <w:rFonts w:hint="eastAsia"/>
                <w:spacing w:val="24"/>
              </w:rPr>
              <w:lastRenderedPageBreak/>
              <w:t>外幣拆款作業</w:t>
            </w:r>
          </w:p>
          <w:p w14:paraId="0C923264" w14:textId="77777777" w:rsidR="00004818" w:rsidRPr="00EC502D" w:rsidRDefault="00004818">
            <w:pPr>
              <w:spacing w:line="400" w:lineRule="exact"/>
              <w:jc w:val="center"/>
              <w:rPr>
                <w:spacing w:val="24"/>
              </w:rPr>
            </w:pPr>
          </w:p>
          <w:p w14:paraId="5FA3E32B" w14:textId="77777777" w:rsidR="00004818" w:rsidRPr="00EC502D" w:rsidRDefault="00004818">
            <w:pPr>
              <w:spacing w:line="400" w:lineRule="exact"/>
              <w:jc w:val="center"/>
              <w:rPr>
                <w:spacing w:val="24"/>
              </w:rPr>
            </w:pPr>
          </w:p>
          <w:p w14:paraId="2D4ED558" w14:textId="77777777" w:rsidR="00004818" w:rsidRPr="00EC502D" w:rsidRDefault="00004818">
            <w:pPr>
              <w:spacing w:line="400" w:lineRule="exact"/>
              <w:jc w:val="center"/>
              <w:rPr>
                <w:spacing w:val="24"/>
              </w:rPr>
            </w:pPr>
          </w:p>
          <w:p w14:paraId="445B59F3" w14:textId="77777777" w:rsidR="00004818" w:rsidRPr="00EC502D" w:rsidRDefault="00004818">
            <w:pPr>
              <w:spacing w:line="400" w:lineRule="exact"/>
              <w:jc w:val="center"/>
              <w:rPr>
                <w:spacing w:val="24"/>
              </w:rPr>
            </w:pPr>
          </w:p>
          <w:p w14:paraId="7F9695F7" w14:textId="77777777" w:rsidR="00004818" w:rsidRPr="00EC502D" w:rsidRDefault="00004818">
            <w:pPr>
              <w:spacing w:line="400" w:lineRule="exact"/>
              <w:jc w:val="center"/>
              <w:rPr>
                <w:spacing w:val="24"/>
              </w:rPr>
            </w:pPr>
          </w:p>
          <w:p w14:paraId="4F042B00" w14:textId="77777777" w:rsidR="00004818" w:rsidRPr="00EC502D" w:rsidRDefault="00004818">
            <w:pPr>
              <w:spacing w:line="400" w:lineRule="exact"/>
              <w:jc w:val="center"/>
              <w:rPr>
                <w:spacing w:val="24"/>
              </w:rPr>
            </w:pPr>
          </w:p>
          <w:p w14:paraId="6DF28C05" w14:textId="77777777" w:rsidR="00004818" w:rsidRPr="00EC502D" w:rsidRDefault="00004818">
            <w:pPr>
              <w:spacing w:line="400" w:lineRule="exact"/>
              <w:jc w:val="center"/>
              <w:rPr>
                <w:spacing w:val="24"/>
              </w:rPr>
            </w:pPr>
          </w:p>
          <w:p w14:paraId="0CF280AC" w14:textId="77777777" w:rsidR="00004818" w:rsidRPr="00EC502D" w:rsidRDefault="00004818">
            <w:pPr>
              <w:spacing w:line="400" w:lineRule="exact"/>
              <w:jc w:val="center"/>
              <w:rPr>
                <w:spacing w:val="24"/>
              </w:rPr>
            </w:pPr>
          </w:p>
          <w:p w14:paraId="4E3F0CD7" w14:textId="77777777" w:rsidR="00004818" w:rsidRPr="00EC502D" w:rsidRDefault="00004818">
            <w:pPr>
              <w:spacing w:line="400" w:lineRule="exact"/>
              <w:jc w:val="center"/>
              <w:rPr>
                <w:spacing w:val="24"/>
              </w:rPr>
            </w:pPr>
          </w:p>
          <w:p w14:paraId="63DC8372" w14:textId="77777777" w:rsidR="00004818" w:rsidRPr="00EC502D" w:rsidRDefault="00004818">
            <w:pPr>
              <w:spacing w:line="400" w:lineRule="exact"/>
              <w:jc w:val="center"/>
              <w:rPr>
                <w:spacing w:val="24"/>
              </w:rPr>
            </w:pPr>
          </w:p>
          <w:p w14:paraId="1DABA979" w14:textId="77777777" w:rsidR="00004818" w:rsidRPr="00EC502D" w:rsidRDefault="00004818">
            <w:pPr>
              <w:spacing w:line="400" w:lineRule="exact"/>
              <w:jc w:val="center"/>
              <w:rPr>
                <w:spacing w:val="24"/>
              </w:rPr>
            </w:pPr>
          </w:p>
          <w:p w14:paraId="5D914080" w14:textId="77777777" w:rsidR="00004818" w:rsidRPr="00EC502D" w:rsidRDefault="00004818">
            <w:pPr>
              <w:spacing w:line="400" w:lineRule="exact"/>
              <w:jc w:val="center"/>
              <w:rPr>
                <w:spacing w:val="24"/>
              </w:rPr>
            </w:pPr>
          </w:p>
          <w:p w14:paraId="28645B86" w14:textId="77777777" w:rsidR="00004818" w:rsidRPr="00EC502D" w:rsidRDefault="00004818">
            <w:pPr>
              <w:spacing w:line="400" w:lineRule="exact"/>
              <w:jc w:val="center"/>
              <w:rPr>
                <w:spacing w:val="24"/>
              </w:rPr>
            </w:pPr>
          </w:p>
          <w:p w14:paraId="2D17E22C" w14:textId="77777777" w:rsidR="00004818" w:rsidRPr="00EC502D" w:rsidRDefault="00004818">
            <w:pPr>
              <w:spacing w:line="400" w:lineRule="exact"/>
              <w:jc w:val="center"/>
              <w:rPr>
                <w:spacing w:val="24"/>
              </w:rPr>
            </w:pPr>
          </w:p>
          <w:p w14:paraId="084C7832" w14:textId="77777777" w:rsidR="00004818" w:rsidRPr="00EC502D" w:rsidRDefault="00004818">
            <w:pPr>
              <w:spacing w:line="400" w:lineRule="exact"/>
              <w:jc w:val="center"/>
              <w:rPr>
                <w:spacing w:val="24"/>
              </w:rPr>
            </w:pPr>
          </w:p>
          <w:p w14:paraId="78ABD134" w14:textId="77777777" w:rsidR="00004818" w:rsidRPr="00EC502D" w:rsidRDefault="00004818">
            <w:pPr>
              <w:spacing w:line="400" w:lineRule="exact"/>
              <w:jc w:val="center"/>
              <w:rPr>
                <w:spacing w:val="24"/>
              </w:rPr>
            </w:pPr>
          </w:p>
          <w:p w14:paraId="7285BD2F" w14:textId="77777777" w:rsidR="00004818" w:rsidRPr="00EC502D" w:rsidRDefault="00004818">
            <w:pPr>
              <w:spacing w:line="400" w:lineRule="exact"/>
              <w:jc w:val="center"/>
              <w:rPr>
                <w:spacing w:val="24"/>
              </w:rPr>
            </w:pPr>
          </w:p>
          <w:p w14:paraId="0FB7B9AD" w14:textId="77777777" w:rsidR="00004818" w:rsidRPr="00EC502D" w:rsidRDefault="00004818">
            <w:pPr>
              <w:spacing w:line="400" w:lineRule="exact"/>
              <w:jc w:val="center"/>
              <w:rPr>
                <w:spacing w:val="24"/>
              </w:rPr>
            </w:pPr>
          </w:p>
          <w:p w14:paraId="165AD03B" w14:textId="77777777" w:rsidR="00004818" w:rsidRPr="00EC502D" w:rsidRDefault="00004818">
            <w:pPr>
              <w:spacing w:line="400" w:lineRule="exact"/>
              <w:jc w:val="center"/>
              <w:rPr>
                <w:spacing w:val="24"/>
              </w:rPr>
            </w:pPr>
          </w:p>
          <w:p w14:paraId="34F32B9F" w14:textId="77777777" w:rsidR="00CB65D8" w:rsidRPr="00EC502D" w:rsidRDefault="00CB65D8">
            <w:pPr>
              <w:spacing w:line="400" w:lineRule="exact"/>
              <w:jc w:val="center"/>
              <w:rPr>
                <w:spacing w:val="24"/>
              </w:rPr>
            </w:pPr>
          </w:p>
          <w:p w14:paraId="6FDD3179" w14:textId="77777777" w:rsidR="00E25937" w:rsidRPr="00EC502D" w:rsidRDefault="00E25937" w:rsidP="00E25937">
            <w:pPr>
              <w:spacing w:line="400" w:lineRule="exact"/>
              <w:rPr>
                <w:spacing w:val="24"/>
              </w:rPr>
            </w:pPr>
            <w:r w:rsidRPr="00EC502D">
              <w:rPr>
                <w:rFonts w:hint="eastAsia"/>
                <w:spacing w:val="24"/>
              </w:rPr>
              <w:t>外幣拆款作業</w:t>
            </w:r>
          </w:p>
          <w:p w14:paraId="13BFF070" w14:textId="77777777" w:rsidR="00004818" w:rsidRPr="00EC502D" w:rsidRDefault="00004818">
            <w:pPr>
              <w:spacing w:line="400" w:lineRule="exact"/>
              <w:jc w:val="center"/>
              <w:rPr>
                <w:spacing w:val="24"/>
              </w:rPr>
            </w:pPr>
          </w:p>
          <w:p w14:paraId="4577A75E" w14:textId="77777777" w:rsidR="00004818" w:rsidRPr="00EC502D" w:rsidRDefault="00004818">
            <w:pPr>
              <w:spacing w:line="400" w:lineRule="exact"/>
              <w:jc w:val="center"/>
              <w:rPr>
                <w:spacing w:val="24"/>
              </w:rPr>
            </w:pPr>
          </w:p>
          <w:p w14:paraId="1A5CA136" w14:textId="77777777" w:rsidR="00004818" w:rsidRPr="00EC502D" w:rsidRDefault="00004818">
            <w:pPr>
              <w:spacing w:line="400" w:lineRule="exact"/>
              <w:jc w:val="center"/>
              <w:rPr>
                <w:spacing w:val="24"/>
              </w:rPr>
            </w:pPr>
          </w:p>
          <w:p w14:paraId="6EA142D8" w14:textId="77777777" w:rsidR="00E25937" w:rsidRPr="00EC502D" w:rsidRDefault="00E25937">
            <w:pPr>
              <w:spacing w:line="400" w:lineRule="exact"/>
              <w:jc w:val="center"/>
              <w:rPr>
                <w:spacing w:val="24"/>
              </w:rPr>
            </w:pPr>
          </w:p>
          <w:p w14:paraId="3B8E5B72" w14:textId="77777777" w:rsidR="00E25937" w:rsidRPr="00EC502D" w:rsidRDefault="00E25937">
            <w:pPr>
              <w:spacing w:line="400" w:lineRule="exact"/>
              <w:jc w:val="center"/>
              <w:rPr>
                <w:spacing w:val="24"/>
              </w:rPr>
            </w:pPr>
          </w:p>
          <w:p w14:paraId="5F56EB5F" w14:textId="77777777" w:rsidR="00E25937" w:rsidRPr="00EC502D" w:rsidRDefault="00E25937">
            <w:pPr>
              <w:spacing w:line="400" w:lineRule="exact"/>
              <w:jc w:val="center"/>
              <w:rPr>
                <w:spacing w:val="24"/>
              </w:rPr>
            </w:pPr>
          </w:p>
          <w:p w14:paraId="249075E1" w14:textId="77777777" w:rsidR="00E25937" w:rsidRPr="00EC502D" w:rsidRDefault="00E25937">
            <w:pPr>
              <w:spacing w:line="400" w:lineRule="exact"/>
              <w:jc w:val="center"/>
              <w:rPr>
                <w:spacing w:val="24"/>
              </w:rPr>
            </w:pPr>
          </w:p>
          <w:p w14:paraId="5506EE76" w14:textId="77777777" w:rsidR="00E25937" w:rsidRPr="00EC502D" w:rsidRDefault="00E25937">
            <w:pPr>
              <w:spacing w:line="400" w:lineRule="exact"/>
              <w:jc w:val="center"/>
              <w:rPr>
                <w:spacing w:val="24"/>
              </w:rPr>
            </w:pPr>
          </w:p>
          <w:p w14:paraId="05F707C7" w14:textId="77777777" w:rsidR="00E25937" w:rsidRPr="00EC502D" w:rsidRDefault="00E25937">
            <w:pPr>
              <w:spacing w:line="400" w:lineRule="exact"/>
              <w:jc w:val="center"/>
              <w:rPr>
                <w:spacing w:val="24"/>
              </w:rPr>
            </w:pPr>
          </w:p>
          <w:p w14:paraId="70F207C6" w14:textId="77777777" w:rsidR="00E25937" w:rsidRPr="00EC502D" w:rsidRDefault="00E25937">
            <w:pPr>
              <w:spacing w:line="400" w:lineRule="exact"/>
              <w:jc w:val="center"/>
              <w:rPr>
                <w:spacing w:val="24"/>
              </w:rPr>
            </w:pPr>
          </w:p>
          <w:p w14:paraId="102136C3" w14:textId="77777777" w:rsidR="00E25937" w:rsidRPr="00EC502D" w:rsidRDefault="00E25937">
            <w:pPr>
              <w:spacing w:line="400" w:lineRule="exact"/>
              <w:jc w:val="center"/>
              <w:rPr>
                <w:spacing w:val="24"/>
              </w:rPr>
            </w:pPr>
          </w:p>
          <w:p w14:paraId="653E85D1" w14:textId="77777777" w:rsidR="00E25937" w:rsidRPr="00EC502D" w:rsidRDefault="00E25937">
            <w:pPr>
              <w:spacing w:line="400" w:lineRule="exact"/>
              <w:jc w:val="center"/>
              <w:rPr>
                <w:spacing w:val="24"/>
              </w:rPr>
            </w:pPr>
          </w:p>
          <w:p w14:paraId="2AA09EDC" w14:textId="77777777" w:rsidR="00E25937" w:rsidRPr="00EC502D" w:rsidRDefault="00E25937">
            <w:pPr>
              <w:spacing w:line="400" w:lineRule="exact"/>
              <w:jc w:val="center"/>
              <w:rPr>
                <w:spacing w:val="24"/>
              </w:rPr>
            </w:pPr>
          </w:p>
          <w:p w14:paraId="6EFB2207" w14:textId="77777777" w:rsidR="00E25937" w:rsidRPr="00EC502D" w:rsidRDefault="00E25937">
            <w:pPr>
              <w:spacing w:line="400" w:lineRule="exact"/>
              <w:jc w:val="center"/>
              <w:rPr>
                <w:spacing w:val="24"/>
              </w:rPr>
            </w:pPr>
          </w:p>
          <w:p w14:paraId="33556B04" w14:textId="77777777" w:rsidR="00E25937" w:rsidRPr="00EC502D" w:rsidRDefault="00E25937">
            <w:pPr>
              <w:spacing w:line="400" w:lineRule="exact"/>
              <w:jc w:val="center"/>
              <w:rPr>
                <w:spacing w:val="24"/>
              </w:rPr>
            </w:pPr>
          </w:p>
          <w:p w14:paraId="6EF757AF" w14:textId="77777777" w:rsidR="00E25937" w:rsidRPr="00EC502D" w:rsidRDefault="00E25937">
            <w:pPr>
              <w:spacing w:line="400" w:lineRule="exact"/>
              <w:jc w:val="center"/>
              <w:rPr>
                <w:spacing w:val="24"/>
              </w:rPr>
            </w:pPr>
          </w:p>
          <w:p w14:paraId="21EBCF9C" w14:textId="77777777" w:rsidR="00E25937" w:rsidRPr="00EC502D" w:rsidRDefault="00E25937">
            <w:pPr>
              <w:spacing w:line="400" w:lineRule="exact"/>
              <w:jc w:val="center"/>
              <w:rPr>
                <w:spacing w:val="24"/>
              </w:rPr>
            </w:pPr>
          </w:p>
          <w:p w14:paraId="6E885109" w14:textId="77777777" w:rsidR="00E25937" w:rsidRPr="00EC502D" w:rsidRDefault="00E25937" w:rsidP="00A25949">
            <w:pPr>
              <w:spacing w:line="400" w:lineRule="exact"/>
              <w:jc w:val="center"/>
              <w:rPr>
                <w:spacing w:val="24"/>
              </w:rPr>
            </w:pPr>
          </w:p>
        </w:tc>
        <w:tc>
          <w:tcPr>
            <w:tcW w:w="7938" w:type="dxa"/>
          </w:tcPr>
          <w:p w14:paraId="7E99BD67" w14:textId="77777777" w:rsidR="00A25949" w:rsidRPr="00EC502D" w:rsidRDefault="00A25949" w:rsidP="00A25949">
            <w:pPr>
              <w:pStyle w:val="a9"/>
              <w:numPr>
                <w:ilvl w:val="1"/>
                <w:numId w:val="2"/>
              </w:numPr>
              <w:spacing w:line="400" w:lineRule="exact"/>
              <w:ind w:leftChars="0" w:rightChars="47" w:right="113" w:hanging="1009"/>
              <w:jc w:val="both"/>
              <w:rPr>
                <w:rFonts w:ascii="新細明體"/>
                <w:spacing w:val="24"/>
              </w:rPr>
            </w:pPr>
            <w:r w:rsidRPr="00EC502D">
              <w:rPr>
                <w:rFonts w:ascii="新細明體" w:hAnsi="新細明體" w:hint="eastAsia"/>
                <w:spacing w:val="24"/>
              </w:rPr>
              <w:lastRenderedPageBreak/>
              <w:t>交易限制</w:t>
            </w:r>
            <w:r w:rsidRPr="00EC502D">
              <w:rPr>
                <w:rFonts w:ascii="新細明體" w:hAnsi="新細明體"/>
                <w:spacing w:val="24"/>
              </w:rPr>
              <w:t>:</w:t>
            </w:r>
          </w:p>
          <w:p w14:paraId="6B04116D" w14:textId="77777777" w:rsidR="00A25949" w:rsidRPr="00EC502D" w:rsidRDefault="00A25949" w:rsidP="00A25949">
            <w:pPr>
              <w:pStyle w:val="a9"/>
              <w:numPr>
                <w:ilvl w:val="0"/>
                <w:numId w:val="7"/>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公司之外幣風險部位，不得超過公司自行向中央銀行外匯局申請核備之上限，外幣風險部位管理請參</w:t>
            </w:r>
            <w:r w:rsidRPr="00EC502D">
              <w:rPr>
                <w:rFonts w:ascii="新細明體" w:hAnsi="新細明體"/>
                <w:spacing w:val="24"/>
              </w:rPr>
              <w:t>CA-18400</w:t>
            </w:r>
            <w:r w:rsidRPr="00EC502D">
              <w:rPr>
                <w:rFonts w:ascii="新細明體" w:hAnsi="新細明體" w:hint="eastAsia"/>
                <w:spacing w:val="24"/>
              </w:rPr>
              <w:t>之相關規範。</w:t>
            </w:r>
          </w:p>
          <w:p w14:paraId="161D69ED" w14:textId="77777777" w:rsidR="00A25949" w:rsidRPr="00EC502D" w:rsidRDefault="00A25949" w:rsidP="00A25949">
            <w:pPr>
              <w:pStyle w:val="a9"/>
              <w:numPr>
                <w:ilvl w:val="0"/>
                <w:numId w:val="7"/>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公司之外幣資金除下列機構外，不得與其他機構辦理外幣拆款，且每次拆款期限，最長不得超過一年：</w:t>
            </w:r>
          </w:p>
          <w:p w14:paraId="01756F29" w14:textId="77777777" w:rsidR="00A25949" w:rsidRPr="00EC502D" w:rsidRDefault="00A25949" w:rsidP="00A25949">
            <w:pPr>
              <w:spacing w:line="400" w:lineRule="exact"/>
              <w:ind w:leftChars="-1" w:left="-2" w:rightChars="47" w:right="113" w:firstLineChars="335" w:firstLine="965"/>
              <w:rPr>
                <w:rFonts w:ascii="新細明體" w:hAnsi="新細明體"/>
                <w:spacing w:val="24"/>
              </w:rPr>
            </w:pPr>
            <w:r w:rsidRPr="00EC502D">
              <w:rPr>
                <w:rFonts w:ascii="新細明體" w:hAnsi="新細明體"/>
                <w:spacing w:val="24"/>
              </w:rPr>
              <w:t>1.</w:t>
            </w:r>
            <w:r w:rsidRPr="00EC502D">
              <w:rPr>
                <w:rFonts w:ascii="新細明體" w:hAnsi="新細明體" w:hint="eastAsia"/>
                <w:spacing w:val="24"/>
              </w:rPr>
              <w:t>外匯指定銀行；</w:t>
            </w:r>
          </w:p>
          <w:p w14:paraId="11362501" w14:textId="77777777" w:rsidR="00A25949" w:rsidRPr="00EC502D" w:rsidRDefault="00A25949" w:rsidP="00A25949">
            <w:pPr>
              <w:spacing w:line="400" w:lineRule="exact"/>
              <w:ind w:leftChars="-1" w:left="-2" w:rightChars="47" w:right="113" w:firstLineChars="335" w:firstLine="965"/>
              <w:rPr>
                <w:rFonts w:ascii="新細明體" w:hAnsi="新細明體"/>
                <w:spacing w:val="24"/>
              </w:rPr>
            </w:pPr>
            <w:r w:rsidRPr="00EC502D">
              <w:rPr>
                <w:rFonts w:ascii="新細明體" w:hAnsi="新細明體"/>
                <w:spacing w:val="24"/>
              </w:rPr>
              <w:t>2.</w:t>
            </w:r>
            <w:r w:rsidRPr="00EC502D">
              <w:rPr>
                <w:rFonts w:ascii="新細明體" w:hAnsi="新細明體" w:hint="eastAsia"/>
                <w:spacing w:val="24"/>
              </w:rPr>
              <w:t>境外金融機構。</w:t>
            </w:r>
          </w:p>
          <w:p w14:paraId="6536582D" w14:textId="77777777" w:rsidR="00A25949" w:rsidRPr="00EC502D" w:rsidRDefault="00772391" w:rsidP="00A25949">
            <w:pPr>
              <w:pStyle w:val="a9"/>
              <w:numPr>
                <w:ilvl w:val="0"/>
                <w:numId w:val="7"/>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外幣借款加計外幣拆入款之總餘額，不得超過公司經會計師查核簽證或</w:t>
            </w:r>
            <w:proofErr w:type="gramStart"/>
            <w:r w:rsidRPr="00EC502D">
              <w:rPr>
                <w:rFonts w:ascii="新細明體" w:hAnsi="新細明體" w:hint="eastAsia"/>
                <w:spacing w:val="24"/>
              </w:rPr>
              <w:t>核閱最近期</w:t>
            </w:r>
            <w:proofErr w:type="gramEnd"/>
            <w:r w:rsidRPr="00EC502D">
              <w:rPr>
                <w:rFonts w:ascii="新細明體" w:hAnsi="新細明體" w:hint="eastAsia"/>
                <w:spacing w:val="24"/>
              </w:rPr>
              <w:t>財務報表淨值之</w:t>
            </w:r>
            <w:proofErr w:type="gramStart"/>
            <w:r w:rsidRPr="00EC502D">
              <w:rPr>
                <w:rFonts w:ascii="新細明體" w:hAnsi="新細明體" w:hint="eastAsia"/>
                <w:spacing w:val="24"/>
              </w:rPr>
              <w:t>一</w:t>
            </w:r>
            <w:proofErr w:type="gramEnd"/>
            <w:r w:rsidRPr="00EC502D">
              <w:rPr>
                <w:rFonts w:ascii="新細明體" w:hAnsi="新細明體" w:hint="eastAsia"/>
                <w:spacing w:val="24"/>
              </w:rPr>
              <w:t>倍加計外幣有價證券包銷餘額。前揭外幣拆、借款總餘額應</w:t>
            </w:r>
            <w:proofErr w:type="gramStart"/>
            <w:r w:rsidRPr="00EC502D">
              <w:rPr>
                <w:rFonts w:ascii="新細明體" w:hAnsi="新細明體" w:hint="eastAsia"/>
                <w:spacing w:val="24"/>
              </w:rPr>
              <w:t>併</w:t>
            </w:r>
            <w:proofErr w:type="gramEnd"/>
            <w:r w:rsidRPr="00EC502D">
              <w:rPr>
                <w:rFonts w:ascii="新細明體" w:hAnsi="新細明體" w:hint="eastAsia"/>
                <w:spacing w:val="24"/>
              </w:rPr>
              <w:t>計國際證券業務分公司與外匯指定銀行、國際金融業務分行及境外金融機構辦理外幣拆借款總餘額，但不包括國際證券業務分公司與公司之往來金額。</w:t>
            </w:r>
          </w:p>
          <w:p w14:paraId="70E1A042" w14:textId="77777777" w:rsidR="00A25949" w:rsidRPr="00EC502D" w:rsidRDefault="00772391" w:rsidP="00A25949">
            <w:pPr>
              <w:pStyle w:val="a9"/>
              <w:numPr>
                <w:ilvl w:val="0"/>
                <w:numId w:val="7"/>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外幣</w:t>
            </w:r>
            <w:proofErr w:type="gramStart"/>
            <w:r w:rsidRPr="00EC502D">
              <w:rPr>
                <w:rFonts w:ascii="新細明體" w:hAnsi="新細明體" w:hint="eastAsia"/>
                <w:spacing w:val="24"/>
              </w:rPr>
              <w:t>借款及拆款</w:t>
            </w:r>
            <w:proofErr w:type="gramEnd"/>
            <w:r w:rsidRPr="00EC502D">
              <w:rPr>
                <w:rFonts w:ascii="新細明體" w:hAnsi="新細明體" w:hint="eastAsia"/>
                <w:spacing w:val="24"/>
              </w:rPr>
              <w:t>皆不得兌換為新臺幣，且還款來源除經中央銀行許可外，不得以新台幣</w:t>
            </w:r>
            <w:proofErr w:type="gramStart"/>
            <w:r w:rsidRPr="00EC502D">
              <w:rPr>
                <w:rFonts w:ascii="新細明體" w:hAnsi="新細明體" w:hint="eastAsia"/>
                <w:spacing w:val="24"/>
              </w:rPr>
              <w:t>結購</w:t>
            </w:r>
            <w:proofErr w:type="gramEnd"/>
            <w:r w:rsidRPr="00EC502D">
              <w:rPr>
                <w:rFonts w:ascii="新細明體" w:hAnsi="新細明體" w:hint="eastAsia"/>
                <w:spacing w:val="24"/>
              </w:rPr>
              <w:t>為之</w:t>
            </w:r>
            <w:r w:rsidR="00A25949" w:rsidRPr="00EC502D">
              <w:rPr>
                <w:rFonts w:ascii="新細明體" w:hAnsi="新細明體" w:hint="eastAsia"/>
                <w:spacing w:val="24"/>
              </w:rPr>
              <w:t>。</w:t>
            </w:r>
          </w:p>
          <w:p w14:paraId="1ACDE756" w14:textId="77777777" w:rsidR="00A25949" w:rsidRPr="00EC502D" w:rsidRDefault="00A25949" w:rsidP="00A25949">
            <w:pPr>
              <w:pStyle w:val="a9"/>
              <w:spacing w:line="400" w:lineRule="exact"/>
              <w:ind w:leftChars="0" w:left="965" w:rightChars="47" w:right="113"/>
              <w:jc w:val="both"/>
              <w:rPr>
                <w:rFonts w:ascii="新細明體"/>
                <w:spacing w:val="24"/>
              </w:rPr>
            </w:pPr>
          </w:p>
          <w:p w14:paraId="68307C52" w14:textId="77777777" w:rsidR="00A25949" w:rsidRPr="00EC502D" w:rsidRDefault="00A25949" w:rsidP="00A25949">
            <w:pPr>
              <w:pStyle w:val="a9"/>
              <w:numPr>
                <w:ilvl w:val="1"/>
                <w:numId w:val="2"/>
              </w:numPr>
              <w:spacing w:line="400" w:lineRule="exact"/>
              <w:ind w:leftChars="0" w:rightChars="47" w:right="113" w:hanging="1009"/>
              <w:jc w:val="both"/>
              <w:rPr>
                <w:rFonts w:ascii="新細明體"/>
                <w:spacing w:val="24"/>
              </w:rPr>
            </w:pPr>
            <w:r w:rsidRPr="00EC502D">
              <w:rPr>
                <w:rFonts w:ascii="新細明體" w:hAnsi="新細明體" w:hint="eastAsia"/>
                <w:spacing w:val="24"/>
              </w:rPr>
              <w:t>外幣拆入款作業</w:t>
            </w:r>
            <w:r w:rsidRPr="00EC502D">
              <w:rPr>
                <w:rFonts w:ascii="新細明體" w:hAnsi="新細明體"/>
                <w:spacing w:val="24"/>
              </w:rPr>
              <w:t>:</w:t>
            </w:r>
          </w:p>
          <w:p w14:paraId="271E4AD4" w14:textId="77777777" w:rsidR="00A25949" w:rsidRPr="00EC502D" w:rsidRDefault="00A25949" w:rsidP="00A25949">
            <w:pPr>
              <w:pStyle w:val="a9"/>
              <w:spacing w:line="400" w:lineRule="exact"/>
              <w:ind w:leftChars="148" w:left="919" w:rightChars="47" w:right="113" w:hangingChars="196" w:hanging="564"/>
              <w:rPr>
                <w:rFonts w:ascii="新細明體"/>
                <w:spacing w:val="24"/>
              </w:rPr>
            </w:pPr>
            <w:r w:rsidRPr="00EC502D">
              <w:rPr>
                <w:rFonts w:ascii="新細明體" w:hAnsi="新細明體"/>
                <w:spacing w:val="24"/>
              </w:rPr>
              <w:t>(</w:t>
            </w:r>
            <w:proofErr w:type="gramStart"/>
            <w:r w:rsidRPr="00EC502D">
              <w:rPr>
                <w:rFonts w:ascii="新細明體" w:hAnsi="新細明體" w:hint="eastAsia"/>
                <w:spacing w:val="24"/>
              </w:rPr>
              <w:t>一</w:t>
            </w:r>
            <w:proofErr w:type="gramEnd"/>
            <w:r w:rsidRPr="00EC502D">
              <w:rPr>
                <w:rFonts w:ascii="新細明體" w:hAnsi="新細明體"/>
                <w:spacing w:val="24"/>
              </w:rPr>
              <w:t>)</w:t>
            </w:r>
            <w:r w:rsidRPr="00EC502D">
              <w:rPr>
                <w:rFonts w:ascii="新細明體" w:hAnsi="新細明體" w:hint="eastAsia"/>
                <w:spacing w:val="24"/>
              </w:rPr>
              <w:t>公司之外幣拆入款納入公司之負債管理，應遵守證券商管理規則第</w:t>
            </w:r>
            <w:r w:rsidRPr="00EC502D">
              <w:rPr>
                <w:rFonts w:ascii="新細明體" w:hAnsi="新細明體"/>
                <w:spacing w:val="24"/>
              </w:rPr>
              <w:t>13</w:t>
            </w:r>
            <w:r w:rsidRPr="00EC502D">
              <w:rPr>
                <w:rFonts w:ascii="新細明體" w:hAnsi="新細明體" w:hint="eastAsia"/>
                <w:spacing w:val="24"/>
              </w:rPr>
              <w:t>條之規定，其內控制度請參</w:t>
            </w:r>
            <w:r w:rsidRPr="00EC502D">
              <w:rPr>
                <w:rFonts w:ascii="新細明體" w:hAnsi="新細明體"/>
                <w:spacing w:val="24"/>
              </w:rPr>
              <w:t>CR-13000</w:t>
            </w:r>
            <w:r w:rsidRPr="00EC502D">
              <w:rPr>
                <w:rFonts w:ascii="新細明體" w:hAnsi="新細明體" w:hint="eastAsia"/>
                <w:spacing w:val="24"/>
              </w:rPr>
              <w:t>「借款作業」之相關規範。</w:t>
            </w:r>
          </w:p>
          <w:p w14:paraId="50297637" w14:textId="77777777" w:rsidR="00A25949" w:rsidRPr="00EC502D" w:rsidRDefault="00A25949" w:rsidP="00A25949">
            <w:pPr>
              <w:pStyle w:val="a9"/>
              <w:spacing w:line="400" w:lineRule="exact"/>
              <w:ind w:leftChars="148" w:left="919" w:rightChars="47" w:right="113" w:hangingChars="196" w:hanging="564"/>
              <w:jc w:val="both"/>
              <w:rPr>
                <w:rFonts w:ascii="新細明體"/>
                <w:spacing w:val="24"/>
              </w:rPr>
            </w:pPr>
            <w:r w:rsidRPr="00EC502D">
              <w:rPr>
                <w:rFonts w:ascii="新細明體" w:hAnsi="新細明體"/>
                <w:spacing w:val="24"/>
              </w:rPr>
              <w:lastRenderedPageBreak/>
              <w:t>(</w:t>
            </w:r>
            <w:r w:rsidRPr="00EC502D">
              <w:rPr>
                <w:rFonts w:ascii="新細明體" w:hAnsi="新細明體" w:hint="eastAsia"/>
                <w:spacing w:val="24"/>
              </w:rPr>
              <w:t>二</w:t>
            </w:r>
            <w:r w:rsidRPr="00EC502D">
              <w:rPr>
                <w:rFonts w:ascii="新細明體" w:hAnsi="新細明體"/>
                <w:spacing w:val="24"/>
              </w:rPr>
              <w:t>)</w:t>
            </w:r>
            <w:r w:rsidRPr="00EC502D">
              <w:rPr>
                <w:rFonts w:ascii="新細明體" w:hAnsi="新細明體" w:hint="eastAsia"/>
                <w:spacing w:val="24"/>
              </w:rPr>
              <w:t>公司向外匯指定銀行或境外金融機構申請拆放額度時，應依其申請手續辦理。</w:t>
            </w:r>
          </w:p>
          <w:p w14:paraId="61A8F598" w14:textId="77777777" w:rsidR="00A25949" w:rsidRPr="00EC502D" w:rsidRDefault="00A25949" w:rsidP="00A25949">
            <w:pPr>
              <w:pStyle w:val="a9"/>
              <w:spacing w:line="400" w:lineRule="exact"/>
              <w:ind w:leftChars="148" w:left="919" w:rightChars="47" w:right="113" w:hangingChars="196" w:hanging="564"/>
              <w:jc w:val="both"/>
              <w:rPr>
                <w:rFonts w:ascii="新細明體" w:hAnsi="新細明體"/>
                <w:spacing w:val="24"/>
              </w:rPr>
            </w:pPr>
            <w:r w:rsidRPr="00EC502D">
              <w:rPr>
                <w:rFonts w:ascii="新細明體" w:hAnsi="新細明體"/>
                <w:spacing w:val="24"/>
              </w:rPr>
              <w:t>(</w:t>
            </w:r>
            <w:r w:rsidRPr="00EC502D">
              <w:rPr>
                <w:rFonts w:ascii="新細明體" w:hAnsi="新細明體" w:hint="eastAsia"/>
                <w:spacing w:val="24"/>
              </w:rPr>
              <w:t>三</w:t>
            </w:r>
            <w:r w:rsidRPr="00EC502D">
              <w:rPr>
                <w:rFonts w:ascii="新細明體" w:hAnsi="新細明體"/>
                <w:spacing w:val="24"/>
              </w:rPr>
              <w:t>)</w:t>
            </w:r>
            <w:r w:rsidRPr="00EC502D">
              <w:rPr>
                <w:rFonts w:ascii="新細明體" w:hAnsi="新細明體" w:hint="eastAsia"/>
                <w:spacing w:val="24"/>
              </w:rPr>
              <w:t>公司應依保守穩健原則建立資金調度策略，有效分散資金來源及期限，並與資金提供者保持適切聯繫，維持各項籌資管道之</w:t>
            </w:r>
            <w:proofErr w:type="gramStart"/>
            <w:r w:rsidRPr="00EC502D">
              <w:rPr>
                <w:rFonts w:ascii="新細明體" w:hAnsi="新細明體" w:hint="eastAsia"/>
                <w:spacing w:val="24"/>
              </w:rPr>
              <w:t>暢通，</w:t>
            </w:r>
            <w:proofErr w:type="gramEnd"/>
            <w:r w:rsidRPr="00EC502D">
              <w:rPr>
                <w:rFonts w:ascii="新細明體" w:hAnsi="新細明體" w:hint="eastAsia"/>
                <w:spacing w:val="24"/>
              </w:rPr>
              <w:t>以確保資金來源之穩定與可靠。</w:t>
            </w:r>
          </w:p>
          <w:p w14:paraId="29E2AB5A" w14:textId="77777777" w:rsidR="00A25949" w:rsidRPr="00EC502D" w:rsidRDefault="00A25949" w:rsidP="00A25949">
            <w:pPr>
              <w:pStyle w:val="a9"/>
              <w:spacing w:line="400" w:lineRule="exact"/>
              <w:ind w:leftChars="148" w:left="919" w:rightChars="47" w:right="113" w:hangingChars="196" w:hanging="564"/>
              <w:jc w:val="both"/>
              <w:rPr>
                <w:rFonts w:ascii="新細明體"/>
                <w:spacing w:val="24"/>
              </w:rPr>
            </w:pPr>
          </w:p>
          <w:p w14:paraId="77D45B15" w14:textId="77777777" w:rsidR="00A25949" w:rsidRPr="00EC502D" w:rsidRDefault="00A25949" w:rsidP="00A25949">
            <w:pPr>
              <w:pStyle w:val="a9"/>
              <w:numPr>
                <w:ilvl w:val="1"/>
                <w:numId w:val="2"/>
              </w:numPr>
              <w:spacing w:line="400" w:lineRule="exact"/>
              <w:ind w:leftChars="0" w:rightChars="47" w:right="113" w:hanging="1009"/>
              <w:jc w:val="both"/>
              <w:rPr>
                <w:rFonts w:ascii="新細明體"/>
                <w:spacing w:val="24"/>
              </w:rPr>
            </w:pPr>
            <w:r w:rsidRPr="00EC502D">
              <w:rPr>
                <w:rFonts w:ascii="新細明體" w:hAnsi="新細明體" w:hint="eastAsia"/>
                <w:spacing w:val="24"/>
              </w:rPr>
              <w:t>外幣拆出款作業規範</w:t>
            </w:r>
            <w:r w:rsidRPr="00EC502D">
              <w:rPr>
                <w:rFonts w:ascii="新細明體" w:hAnsi="新細明體"/>
                <w:spacing w:val="24"/>
              </w:rPr>
              <w:t>:</w:t>
            </w:r>
          </w:p>
          <w:p w14:paraId="28B72818" w14:textId="77777777" w:rsidR="00A25949" w:rsidRPr="00EC502D" w:rsidRDefault="00A25949" w:rsidP="00A25949">
            <w:pPr>
              <w:pStyle w:val="a9"/>
              <w:numPr>
                <w:ilvl w:val="0"/>
                <w:numId w:val="8"/>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公司擬從事外幣拆出款作業前，應先行訂定相關作業規範，提報董事會決議通過。</w:t>
            </w:r>
          </w:p>
          <w:p w14:paraId="1589F71D" w14:textId="77777777" w:rsidR="00A25949" w:rsidRPr="00EC502D" w:rsidRDefault="00A25949" w:rsidP="00A25949">
            <w:pPr>
              <w:pStyle w:val="a9"/>
              <w:numPr>
                <w:ilvl w:val="0"/>
                <w:numId w:val="8"/>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前揭作業規範應載明下列項目：</w:t>
            </w:r>
          </w:p>
          <w:p w14:paraId="68D9D791" w14:textId="77777777" w:rsidR="00A25949" w:rsidRPr="00EC502D" w:rsidRDefault="00A25949"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spacing w:val="24"/>
              </w:rPr>
              <w:t>得進行外幣拆出款之對象。</w:t>
            </w:r>
          </w:p>
          <w:p w14:paraId="082FD32F" w14:textId="77777777" w:rsidR="00A25949" w:rsidRPr="00EC502D" w:rsidRDefault="00A25949"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spacing w:val="24"/>
              </w:rPr>
              <w:t>外幣拆出款金額上限。</w:t>
            </w:r>
          </w:p>
          <w:p w14:paraId="2DC56F11" w14:textId="77777777" w:rsidR="00A25949" w:rsidRPr="00EC502D" w:rsidRDefault="00A25949"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spacing w:val="24"/>
              </w:rPr>
              <w:t>外幣拆出款金額</w:t>
            </w:r>
            <w:proofErr w:type="gramStart"/>
            <w:r w:rsidRPr="00EC502D">
              <w:rPr>
                <w:rFonts w:ascii="新細明體" w:hAnsi="新細明體" w:hint="eastAsia"/>
                <w:spacing w:val="24"/>
              </w:rPr>
              <w:t>之核決權限</w:t>
            </w:r>
            <w:proofErr w:type="gramEnd"/>
            <w:r w:rsidRPr="00EC502D">
              <w:rPr>
                <w:rFonts w:ascii="新細明體" w:hAnsi="新細明體" w:hint="eastAsia"/>
                <w:spacing w:val="24"/>
              </w:rPr>
              <w:t>。</w:t>
            </w:r>
          </w:p>
          <w:p w14:paraId="0A42B379" w14:textId="77777777" w:rsidR="00A25949" w:rsidRPr="00EC502D" w:rsidRDefault="00772391"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rPr>
              <w:t>外幣拆出款個別對象限額之審核程序、評估標準及例外處理程序，且至少每年需重新評估一次。個別對象之限額須</w:t>
            </w:r>
            <w:proofErr w:type="gramStart"/>
            <w:r w:rsidRPr="00EC502D">
              <w:rPr>
                <w:rFonts w:ascii="新細明體" w:hAnsi="新細明體" w:hint="eastAsia"/>
              </w:rPr>
              <w:t>依核決</w:t>
            </w:r>
            <w:proofErr w:type="gramEnd"/>
            <w:r w:rsidRPr="00EC502D">
              <w:rPr>
                <w:rFonts w:ascii="新細明體" w:hAnsi="新細明體" w:hint="eastAsia"/>
              </w:rPr>
              <w:t>權限表送交權責主管核准。</w:t>
            </w:r>
            <w:r w:rsidR="00A25949" w:rsidRPr="00EC502D">
              <w:rPr>
                <w:rFonts w:ascii="新細明體" w:hAnsi="新細明體" w:hint="eastAsia"/>
                <w:spacing w:val="24"/>
              </w:rPr>
              <w:t>。</w:t>
            </w:r>
          </w:p>
          <w:p w14:paraId="3BEBE9B2" w14:textId="77777777" w:rsidR="00A25949" w:rsidRPr="00EC502D" w:rsidRDefault="00A25949"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spacing w:val="24"/>
              </w:rPr>
              <w:t>外幣拆出款之風險部位應納入公司之整體風險管理。</w:t>
            </w:r>
          </w:p>
          <w:p w14:paraId="6471291A" w14:textId="77777777" w:rsidR="00A25949" w:rsidRPr="00EC502D" w:rsidRDefault="00772391"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rPr>
              <w:t>外幣拆出期限及計息評估方式</w:t>
            </w:r>
            <w:r w:rsidR="00A25949" w:rsidRPr="00EC502D">
              <w:rPr>
                <w:rFonts w:ascii="新細明體" w:hAnsi="新細明體" w:hint="eastAsia"/>
                <w:spacing w:val="24"/>
              </w:rPr>
              <w:t>。</w:t>
            </w:r>
          </w:p>
          <w:p w14:paraId="6442C9AC" w14:textId="77777777" w:rsidR="00A25949" w:rsidRPr="00EC502D" w:rsidRDefault="00A25949"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spacing w:val="24"/>
              </w:rPr>
              <w:t>外幣拆出款作業程序。</w:t>
            </w:r>
            <w:r w:rsidRPr="00EC502D">
              <w:rPr>
                <w:rFonts w:ascii="新細明體" w:hAnsi="新細明體"/>
                <w:spacing w:val="24"/>
              </w:rPr>
              <w:t xml:space="preserve"> </w:t>
            </w:r>
          </w:p>
          <w:p w14:paraId="713FB5A8" w14:textId="77777777" w:rsidR="00A25949" w:rsidRPr="00EC502D" w:rsidRDefault="00A25949"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spacing w:val="24"/>
              </w:rPr>
              <w:t>資訊申報程序。</w:t>
            </w:r>
          </w:p>
          <w:p w14:paraId="3428D6A2" w14:textId="77777777" w:rsidR="00A25949" w:rsidRPr="00EC502D" w:rsidRDefault="00A25949" w:rsidP="00A25949">
            <w:pPr>
              <w:pStyle w:val="a9"/>
              <w:numPr>
                <w:ilvl w:val="2"/>
                <w:numId w:val="2"/>
              </w:numPr>
              <w:tabs>
                <w:tab w:val="clear" w:pos="1588"/>
                <w:tab w:val="num" w:pos="1236"/>
              </w:tabs>
              <w:spacing w:line="400" w:lineRule="exact"/>
              <w:ind w:leftChars="0" w:left="1248" w:rightChars="47" w:right="113" w:hanging="283"/>
              <w:jc w:val="both"/>
              <w:rPr>
                <w:rFonts w:ascii="新細明體"/>
                <w:spacing w:val="24"/>
              </w:rPr>
            </w:pPr>
            <w:r w:rsidRPr="00EC502D">
              <w:rPr>
                <w:rFonts w:ascii="新細明體" w:hAnsi="新細明體" w:hint="eastAsia"/>
                <w:spacing w:val="24"/>
              </w:rPr>
              <w:t>外幣資產拆出後之後續控管措施、逾期債權處理程</w:t>
            </w:r>
            <w:r w:rsidRPr="00EC502D">
              <w:rPr>
                <w:rFonts w:ascii="新細明體" w:hAnsi="新細明體" w:hint="eastAsia"/>
                <w:spacing w:val="24"/>
              </w:rPr>
              <w:lastRenderedPageBreak/>
              <w:t>序。</w:t>
            </w:r>
          </w:p>
          <w:p w14:paraId="1DBECE35" w14:textId="77777777" w:rsidR="00A25949" w:rsidRPr="00EC502D" w:rsidRDefault="00A25949" w:rsidP="00A25949">
            <w:pPr>
              <w:pStyle w:val="a9"/>
              <w:numPr>
                <w:ilvl w:val="2"/>
                <w:numId w:val="2"/>
              </w:numPr>
              <w:tabs>
                <w:tab w:val="clear" w:pos="1588"/>
                <w:tab w:val="num" w:pos="1236"/>
              </w:tabs>
              <w:spacing w:line="400" w:lineRule="exact"/>
              <w:ind w:leftChars="0" w:left="1248" w:rightChars="47" w:right="113" w:hanging="437"/>
              <w:jc w:val="both"/>
              <w:rPr>
                <w:rFonts w:ascii="新細明體"/>
                <w:spacing w:val="24"/>
              </w:rPr>
            </w:pPr>
            <w:r w:rsidRPr="00EC502D">
              <w:rPr>
                <w:rFonts w:ascii="新細明體" w:hAnsi="新細明體" w:hint="eastAsia"/>
                <w:spacing w:val="24"/>
              </w:rPr>
              <w:t>其他應訂定事項。</w:t>
            </w:r>
          </w:p>
          <w:p w14:paraId="3BF99A6D" w14:textId="77777777" w:rsidR="00A25949" w:rsidRPr="00EC502D" w:rsidRDefault="00A25949" w:rsidP="00A25949">
            <w:pPr>
              <w:pStyle w:val="a9"/>
              <w:tabs>
                <w:tab w:val="num" w:pos="1236"/>
              </w:tabs>
              <w:spacing w:line="400" w:lineRule="exact"/>
              <w:ind w:leftChars="0" w:left="1248" w:rightChars="47" w:right="113"/>
              <w:jc w:val="both"/>
              <w:rPr>
                <w:rFonts w:ascii="新細明體"/>
                <w:spacing w:val="24"/>
              </w:rPr>
            </w:pPr>
          </w:p>
          <w:p w14:paraId="71A612E6" w14:textId="77777777" w:rsidR="00A25949" w:rsidRPr="00EC502D" w:rsidRDefault="00A25949" w:rsidP="00A25949">
            <w:pPr>
              <w:pStyle w:val="a9"/>
              <w:numPr>
                <w:ilvl w:val="1"/>
                <w:numId w:val="2"/>
              </w:numPr>
              <w:spacing w:line="400" w:lineRule="exact"/>
              <w:ind w:leftChars="0" w:rightChars="47" w:right="113" w:hanging="1009"/>
              <w:jc w:val="both"/>
              <w:rPr>
                <w:rFonts w:ascii="新細明體"/>
                <w:spacing w:val="24"/>
              </w:rPr>
            </w:pPr>
            <w:r w:rsidRPr="00EC502D">
              <w:rPr>
                <w:rFonts w:ascii="新細明體" w:hAnsi="新細明體" w:hint="eastAsia"/>
                <w:spacing w:val="24"/>
              </w:rPr>
              <w:t>外幣拆出款作業流程</w:t>
            </w:r>
            <w:r w:rsidRPr="00EC502D">
              <w:rPr>
                <w:rFonts w:ascii="新細明體" w:hAnsi="新細明體"/>
                <w:spacing w:val="24"/>
              </w:rPr>
              <w:t>:</w:t>
            </w:r>
          </w:p>
          <w:p w14:paraId="0B2FF074"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公司之作業應有前、中、後台之區隔規劃，分別負責交易條件之議定、風險之監控及維護、交易確認及交割。前台交易人員及後台交割人員不得相互兼任，同時前後台之呈報</w:t>
            </w:r>
            <w:r w:rsidR="00772391" w:rsidRPr="00EC502D">
              <w:rPr>
                <w:rFonts w:ascii="新細明體" w:hAnsi="新細明體" w:hint="eastAsia"/>
                <w:spacing w:val="24"/>
              </w:rPr>
              <w:t>流程</w:t>
            </w:r>
            <w:r w:rsidRPr="00EC502D">
              <w:rPr>
                <w:rFonts w:ascii="新細明體" w:hAnsi="新細明體" w:hint="eastAsia"/>
                <w:spacing w:val="24"/>
              </w:rPr>
              <w:t>及風險控管亦應嚴格區分，中台作業控管風險，亦應注意職掌之區分與呈報流程之劃分。</w:t>
            </w:r>
          </w:p>
          <w:p w14:paraId="49283F06" w14:textId="77777777" w:rsidR="00A25949" w:rsidRPr="00EC502D" w:rsidRDefault="00772391" w:rsidP="00772391">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公司得整合前台交易室功能或集中後台作業統籌控管</w:t>
            </w:r>
            <w:r w:rsidR="00A25949" w:rsidRPr="00EC502D">
              <w:rPr>
                <w:rFonts w:ascii="新細明體" w:hAnsi="新細明體" w:hint="eastAsia"/>
                <w:spacing w:val="24"/>
              </w:rPr>
              <w:t>。</w:t>
            </w:r>
          </w:p>
          <w:p w14:paraId="28069B74"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公司與外匯指定銀行或境外金融機構辦理外幣拆款時，得透過電話、電報、</w:t>
            </w:r>
            <w:r w:rsidRPr="00EC502D">
              <w:rPr>
                <w:rFonts w:ascii="新細明體" w:hAnsi="新細明體"/>
                <w:spacing w:val="24"/>
              </w:rPr>
              <w:t>Reuters dealing system</w:t>
            </w:r>
            <w:r w:rsidRPr="00EC502D">
              <w:rPr>
                <w:rFonts w:ascii="新細明體" w:hAnsi="新細明體" w:hint="eastAsia"/>
                <w:spacing w:val="24"/>
              </w:rPr>
              <w:t>或外匯經紀商撮合等方式為之。若係透過電話接洽，應同步錄音。</w:t>
            </w:r>
          </w:p>
          <w:p w14:paraId="2086758D"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公司每日應先評估外幣資金狀況及可容忍風險，並參酌市場報價決定當日之交易條件範圍</w:t>
            </w:r>
            <w:r w:rsidRPr="00EC502D">
              <w:rPr>
                <w:rFonts w:ascii="新細明體" w:hAnsi="新細明體"/>
                <w:spacing w:val="24"/>
              </w:rPr>
              <w:t>(</w:t>
            </w:r>
            <w:r w:rsidRPr="00EC502D">
              <w:rPr>
                <w:rFonts w:ascii="新細明體" w:hAnsi="新細明體" w:hint="eastAsia"/>
                <w:spacing w:val="24"/>
              </w:rPr>
              <w:t>包含可拆借之金額、期間及利率等</w:t>
            </w:r>
            <w:r w:rsidRPr="00EC502D">
              <w:rPr>
                <w:rFonts w:ascii="新細明體" w:hAnsi="新細明體"/>
                <w:spacing w:val="24"/>
              </w:rPr>
              <w:t>)</w:t>
            </w:r>
            <w:r w:rsidRPr="00EC502D">
              <w:rPr>
                <w:rFonts w:ascii="新細明體" w:hAnsi="新細明體" w:hint="eastAsia"/>
                <w:spacing w:val="24"/>
              </w:rPr>
              <w:t>。</w:t>
            </w:r>
          </w:p>
          <w:p w14:paraId="615875D7"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辦理外幣拆出款作業時，前台交易人員應先查詢交易對手之交易額度及其所在國家風險限額，並在剩餘額度內議定拆放金額、</w:t>
            </w:r>
            <w:proofErr w:type="gramStart"/>
            <w:r w:rsidRPr="00EC502D">
              <w:rPr>
                <w:rFonts w:ascii="新細明體" w:hAnsi="新細明體" w:hint="eastAsia"/>
                <w:spacing w:val="24"/>
              </w:rPr>
              <w:t>期間、</w:t>
            </w:r>
            <w:proofErr w:type="gramEnd"/>
            <w:r w:rsidRPr="00EC502D">
              <w:rPr>
                <w:rFonts w:ascii="新細明體" w:hAnsi="新細明體" w:hint="eastAsia"/>
                <w:spacing w:val="24"/>
              </w:rPr>
              <w:t>利率及交割方式，所議定之交易條件不能逾越前項之交易條件範圍，並</w:t>
            </w:r>
            <w:proofErr w:type="gramStart"/>
            <w:r w:rsidRPr="00EC502D">
              <w:rPr>
                <w:rFonts w:ascii="新細明體" w:hAnsi="新細明體" w:hint="eastAsia"/>
                <w:spacing w:val="24"/>
              </w:rPr>
              <w:t>依核決</w:t>
            </w:r>
            <w:proofErr w:type="gramEnd"/>
            <w:r w:rsidRPr="00EC502D">
              <w:rPr>
                <w:rFonts w:ascii="新細明體" w:hAnsi="新細明體" w:hint="eastAsia"/>
                <w:spacing w:val="24"/>
              </w:rPr>
              <w:t>權限送交</w:t>
            </w:r>
            <w:r w:rsidRPr="00EC502D">
              <w:rPr>
                <w:rFonts w:ascii="新細明體" w:hAnsi="新細明體" w:hint="eastAsia"/>
                <w:spacing w:val="24"/>
              </w:rPr>
              <w:lastRenderedPageBreak/>
              <w:t>權責主管核准。</w:t>
            </w:r>
          </w:p>
          <w:p w14:paraId="19ADAE39"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前述交易條件洽妥後，前台交易人員應依議定之交易條件，製作成交單據並檢附相關交易確認文件</w:t>
            </w:r>
            <w:r w:rsidRPr="00EC502D">
              <w:rPr>
                <w:rFonts w:ascii="新細明體" w:hAnsi="新細明體"/>
                <w:spacing w:val="24"/>
              </w:rPr>
              <w:t>(</w:t>
            </w:r>
            <w:r w:rsidRPr="00EC502D">
              <w:rPr>
                <w:rFonts w:ascii="新細明體" w:hAnsi="新細明體" w:hint="eastAsia"/>
                <w:spacing w:val="24"/>
              </w:rPr>
              <w:t>例如</w:t>
            </w:r>
            <w:r w:rsidRPr="00EC502D">
              <w:rPr>
                <w:rFonts w:ascii="新細明體" w:hAnsi="新細明體"/>
                <w:spacing w:val="24"/>
              </w:rPr>
              <w:t>Reuters dealing system</w:t>
            </w:r>
            <w:r w:rsidRPr="00EC502D">
              <w:rPr>
                <w:rFonts w:ascii="新細明體" w:hAnsi="新細明體" w:hint="eastAsia"/>
                <w:spacing w:val="24"/>
              </w:rPr>
              <w:t>交易憑證、交易對手之確認函或外匯經紀商之確認函</w:t>
            </w:r>
            <w:r w:rsidRPr="00EC502D">
              <w:rPr>
                <w:rFonts w:ascii="新細明體" w:hAnsi="新細明體"/>
                <w:spacing w:val="24"/>
              </w:rPr>
              <w:t>)</w:t>
            </w:r>
            <w:r w:rsidRPr="00EC502D">
              <w:rPr>
                <w:rFonts w:ascii="新細明體" w:hAnsi="新細明體" w:hint="eastAsia"/>
                <w:spacing w:val="24"/>
              </w:rPr>
              <w:t>，</w:t>
            </w:r>
            <w:proofErr w:type="gramStart"/>
            <w:r w:rsidRPr="00EC502D">
              <w:rPr>
                <w:rFonts w:ascii="新細明體" w:hAnsi="新細明體" w:hint="eastAsia"/>
                <w:spacing w:val="24"/>
              </w:rPr>
              <w:t>依核決</w:t>
            </w:r>
            <w:proofErr w:type="gramEnd"/>
            <w:r w:rsidRPr="00EC502D">
              <w:rPr>
                <w:rFonts w:ascii="新細明體" w:hAnsi="新細明體" w:hint="eastAsia"/>
                <w:spacing w:val="24"/>
              </w:rPr>
              <w:t>權限經權責人員覆核確認後，送交後台交割人員。</w:t>
            </w:r>
          </w:p>
          <w:p w14:paraId="37017083"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後台交割人員核對成交單據及</w:t>
            </w:r>
            <w:proofErr w:type="gramStart"/>
            <w:r w:rsidRPr="00EC502D">
              <w:rPr>
                <w:rFonts w:ascii="新細明體" w:hAnsi="新細明體" w:hint="eastAsia"/>
                <w:spacing w:val="24"/>
              </w:rPr>
              <w:t>前台檢附</w:t>
            </w:r>
            <w:proofErr w:type="gramEnd"/>
            <w:r w:rsidRPr="00EC502D">
              <w:rPr>
                <w:rFonts w:ascii="新細明體" w:hAnsi="新細明體" w:hint="eastAsia"/>
                <w:spacing w:val="24"/>
              </w:rPr>
              <w:t>之交易確認文件確認無誤後，始得製作確認單據及付款單據交付後台主管覆核確認。若核對內容</w:t>
            </w:r>
            <w:proofErr w:type="gramStart"/>
            <w:r w:rsidRPr="00EC502D">
              <w:rPr>
                <w:rFonts w:ascii="新細明體" w:hAnsi="新細明體" w:hint="eastAsia"/>
                <w:spacing w:val="24"/>
              </w:rPr>
              <w:t>有誤時</w:t>
            </w:r>
            <w:proofErr w:type="gramEnd"/>
            <w:r w:rsidRPr="00EC502D">
              <w:rPr>
                <w:rFonts w:ascii="新細明體" w:hAnsi="新細明體" w:hint="eastAsia"/>
                <w:spacing w:val="24"/>
              </w:rPr>
              <w:t>，須由前台交易人員再行確認，必要時須進行修改、</w:t>
            </w:r>
            <w:proofErr w:type="gramStart"/>
            <w:r w:rsidRPr="00EC502D">
              <w:rPr>
                <w:rFonts w:ascii="新細明體" w:hAnsi="新細明體" w:hint="eastAsia"/>
                <w:spacing w:val="24"/>
              </w:rPr>
              <w:t>刪</w:t>
            </w:r>
            <w:proofErr w:type="gramEnd"/>
            <w:r w:rsidRPr="00EC502D">
              <w:rPr>
                <w:rFonts w:ascii="新細明體" w:hAnsi="新細明體" w:hint="eastAsia"/>
                <w:spacing w:val="24"/>
              </w:rPr>
              <w:t>單。</w:t>
            </w:r>
          </w:p>
          <w:p w14:paraId="4D462715"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若有交易條件之修改或刪除時，前台交易人員需請後台交割人員退回相關文件，並告知後台交割人員交易修改的內容或</w:t>
            </w:r>
            <w:proofErr w:type="gramStart"/>
            <w:r w:rsidRPr="00EC502D">
              <w:rPr>
                <w:rFonts w:ascii="新細明體" w:hAnsi="新細明體" w:hint="eastAsia"/>
                <w:spacing w:val="24"/>
              </w:rPr>
              <w:t>刪</w:t>
            </w:r>
            <w:proofErr w:type="gramEnd"/>
            <w:r w:rsidRPr="00EC502D">
              <w:rPr>
                <w:rFonts w:ascii="新細明體" w:hAnsi="新細明體" w:hint="eastAsia"/>
                <w:spacing w:val="24"/>
              </w:rPr>
              <w:t>單原因；修改後交易，後台交割人員需再次檢核內容是否正確。</w:t>
            </w:r>
          </w:p>
          <w:p w14:paraId="17563423"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後台主管覆核確認相關文件無誤後，始得將確認單據發送予交易對手。</w:t>
            </w:r>
          </w:p>
          <w:p w14:paraId="611ADE95"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後台交割交易人員應核對公司所發送確認單據與交易對手發送之確認單據，就交易對手、拆出或拆入、幣別、金額、利率、利息、起息日、到期日、公司方及交易對手等條件做比對。如議妥交易後第二天仍未收到交易對手之確認單據，需</w:t>
            </w:r>
            <w:proofErr w:type="gramStart"/>
            <w:r w:rsidRPr="00EC502D">
              <w:rPr>
                <w:rFonts w:ascii="新細明體" w:hAnsi="新細明體" w:hint="eastAsia"/>
                <w:spacing w:val="24"/>
              </w:rPr>
              <w:t>進行跟催</w:t>
            </w:r>
            <w:proofErr w:type="gramEnd"/>
            <w:r w:rsidRPr="00EC502D">
              <w:rPr>
                <w:rFonts w:ascii="新細明體" w:hAnsi="新細明體" w:hint="eastAsia"/>
                <w:spacing w:val="24"/>
              </w:rPr>
              <w:t>。</w:t>
            </w:r>
          </w:p>
          <w:p w14:paraId="5ED9D8FD"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若前項之比對不成功且確定為公司之確認單據</w:t>
            </w:r>
            <w:proofErr w:type="gramStart"/>
            <w:r w:rsidRPr="00EC502D">
              <w:rPr>
                <w:rFonts w:ascii="新細明體" w:hAnsi="新細明體" w:hint="eastAsia"/>
                <w:spacing w:val="24"/>
              </w:rPr>
              <w:t>有誤時</w:t>
            </w:r>
            <w:proofErr w:type="gramEnd"/>
            <w:r w:rsidRPr="00EC502D">
              <w:rPr>
                <w:rFonts w:ascii="新細明體" w:hAnsi="新細明體" w:hint="eastAsia"/>
                <w:spacing w:val="24"/>
              </w:rPr>
              <w:t>，前台交易人員應進行修改更正，並重新產生確認單據與付款單據，經後台交割人員及主管覆核確認內容無誤後再予發送。若確定係交易對手之確認單據</w:t>
            </w:r>
            <w:proofErr w:type="gramStart"/>
            <w:r w:rsidRPr="00EC502D">
              <w:rPr>
                <w:rFonts w:ascii="新細明體" w:hAnsi="新細明體" w:hint="eastAsia"/>
                <w:spacing w:val="24"/>
              </w:rPr>
              <w:t>有誤時</w:t>
            </w:r>
            <w:proofErr w:type="gramEnd"/>
            <w:r w:rsidRPr="00EC502D">
              <w:rPr>
                <w:rFonts w:ascii="新細明體" w:hAnsi="新細明體" w:hint="eastAsia"/>
                <w:spacing w:val="24"/>
              </w:rPr>
              <w:t>，須請交易對手修改更正並重發確認單據。</w:t>
            </w:r>
          </w:p>
          <w:p w14:paraId="66663A19"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後台交割人員須每日產製確認單據比對不成功之交易清單報表，請前台交易人員將比對不成功原因註明於報表上，並作後續追蹤處理。</w:t>
            </w:r>
          </w:p>
          <w:p w14:paraId="7ACFC944"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後台交割人員須每日編製交易對象別資金拆借日報表，欄位應包含拆借金額、利率、</w:t>
            </w:r>
            <w:proofErr w:type="gramStart"/>
            <w:r w:rsidRPr="00EC502D">
              <w:rPr>
                <w:rFonts w:ascii="新細明體" w:hAnsi="新細明體" w:hint="eastAsia"/>
                <w:spacing w:val="24"/>
              </w:rPr>
              <w:t>期間、</w:t>
            </w:r>
            <w:proofErr w:type="gramEnd"/>
            <w:r w:rsidRPr="00EC502D">
              <w:rPr>
                <w:rFonts w:ascii="新細明體" w:hAnsi="新細明體" w:hint="eastAsia"/>
                <w:spacing w:val="24"/>
              </w:rPr>
              <w:t>已交割金額、未交割金額及累計拆借金額等，該報表須每日送交前台交易人員確認，以確保交易之完整性。</w:t>
            </w:r>
          </w:p>
          <w:p w14:paraId="10691D08"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前述交易對象別資金拆借日報表需逐日會知中台人員，以利風險控管。</w:t>
            </w:r>
          </w:p>
          <w:p w14:paraId="2B8B81F7" w14:textId="77777777" w:rsidR="00A25949" w:rsidRPr="00EC502D" w:rsidRDefault="00A25949" w:rsidP="00A25949">
            <w:pPr>
              <w:pStyle w:val="a9"/>
              <w:numPr>
                <w:ilvl w:val="1"/>
                <w:numId w:val="9"/>
              </w:numPr>
              <w:spacing w:line="400" w:lineRule="exact"/>
              <w:ind w:leftChars="0" w:left="965" w:rightChars="47" w:right="113" w:hanging="567"/>
              <w:jc w:val="both"/>
              <w:rPr>
                <w:rFonts w:ascii="新細明體"/>
                <w:spacing w:val="24"/>
              </w:rPr>
            </w:pPr>
            <w:r w:rsidRPr="00EC502D">
              <w:rPr>
                <w:rFonts w:ascii="新細明體" w:hAnsi="新細明體" w:hint="eastAsia"/>
                <w:spacing w:val="24"/>
              </w:rPr>
              <w:t>交易相關之書面及錄音資料，應按時序記載並建檔保存，其保存期限不得少於一年。</w:t>
            </w:r>
          </w:p>
          <w:p w14:paraId="2205B434" w14:textId="77777777" w:rsidR="00A25949" w:rsidRPr="00EC502D" w:rsidRDefault="00A25949" w:rsidP="00A25949">
            <w:pPr>
              <w:pStyle w:val="a9"/>
              <w:numPr>
                <w:ilvl w:val="1"/>
                <w:numId w:val="2"/>
              </w:numPr>
              <w:spacing w:line="400" w:lineRule="exact"/>
              <w:ind w:leftChars="0" w:rightChars="47" w:right="113" w:hanging="1009"/>
              <w:jc w:val="both"/>
              <w:rPr>
                <w:rFonts w:ascii="新細明體"/>
                <w:spacing w:val="24"/>
              </w:rPr>
            </w:pPr>
            <w:r w:rsidRPr="00EC502D">
              <w:rPr>
                <w:rFonts w:ascii="新細明體" w:hAnsi="新細明體" w:hint="eastAsia"/>
                <w:spacing w:val="24"/>
              </w:rPr>
              <w:t>資訊申報</w:t>
            </w:r>
            <w:r w:rsidRPr="00EC502D">
              <w:rPr>
                <w:rFonts w:ascii="新細明體" w:hAnsi="新細明體"/>
                <w:spacing w:val="24"/>
              </w:rPr>
              <w:t>:</w:t>
            </w:r>
          </w:p>
          <w:p w14:paraId="4FDEEFB4" w14:textId="77777777" w:rsidR="00004818" w:rsidRPr="00EC502D" w:rsidRDefault="00772391" w:rsidP="00772391">
            <w:pPr>
              <w:spacing w:line="400" w:lineRule="exact"/>
              <w:ind w:leftChars="311" w:left="746" w:firstLineChars="196" w:firstLine="564"/>
              <w:rPr>
                <w:spacing w:val="24"/>
              </w:rPr>
            </w:pPr>
            <w:r w:rsidRPr="00EC502D">
              <w:rPr>
                <w:rFonts w:ascii="新細明體" w:hAnsi="新細明體" w:hint="eastAsia"/>
                <w:spacing w:val="24"/>
              </w:rPr>
              <w:t>公司須於每月營業終了後五</w:t>
            </w:r>
            <w:proofErr w:type="gramStart"/>
            <w:r w:rsidRPr="00EC502D">
              <w:rPr>
                <w:rFonts w:ascii="新細明體" w:hAnsi="新細明體" w:hint="eastAsia"/>
                <w:spacing w:val="24"/>
              </w:rPr>
              <w:t>個</w:t>
            </w:r>
            <w:proofErr w:type="gramEnd"/>
            <w:r w:rsidRPr="00EC502D">
              <w:rPr>
                <w:rFonts w:ascii="新細明體" w:hAnsi="新細明體" w:hint="eastAsia"/>
                <w:spacing w:val="24"/>
              </w:rPr>
              <w:t>營業日內，將「外幣拆借款餘額統計表」申報櫃檯買賣中心彙整後轉報中央銀行外匯局</w:t>
            </w:r>
            <w:r w:rsidR="00A25949" w:rsidRPr="00EC502D">
              <w:rPr>
                <w:rFonts w:ascii="新細明體" w:hAnsi="新細明體" w:hint="eastAsia"/>
                <w:spacing w:val="24"/>
              </w:rPr>
              <w:t>。</w:t>
            </w:r>
          </w:p>
        </w:tc>
        <w:tc>
          <w:tcPr>
            <w:tcW w:w="3119" w:type="dxa"/>
          </w:tcPr>
          <w:p w14:paraId="369EAACD" w14:textId="77777777" w:rsidR="00004818" w:rsidRPr="00EC502D" w:rsidRDefault="00004818" w:rsidP="00BB34E2">
            <w:pPr>
              <w:numPr>
                <w:ilvl w:val="0"/>
                <w:numId w:val="3"/>
              </w:numPr>
              <w:spacing w:line="400" w:lineRule="exact"/>
              <w:ind w:rightChars="47" w:right="113"/>
              <w:jc w:val="both"/>
              <w:rPr>
                <w:spacing w:val="24"/>
              </w:rPr>
            </w:pPr>
            <w:r w:rsidRPr="00EC502D">
              <w:rPr>
                <w:rFonts w:hint="eastAsia"/>
                <w:spacing w:val="24"/>
              </w:rPr>
              <w:lastRenderedPageBreak/>
              <w:t>法令規章：</w:t>
            </w:r>
          </w:p>
          <w:p w14:paraId="000B4F39" w14:textId="77777777" w:rsidR="00004818" w:rsidRPr="00EC502D" w:rsidRDefault="00931AE0" w:rsidP="00BB34E2">
            <w:pPr>
              <w:numPr>
                <w:ilvl w:val="1"/>
                <w:numId w:val="3"/>
              </w:numPr>
              <w:spacing w:line="400" w:lineRule="exact"/>
              <w:ind w:rightChars="47" w:right="113"/>
              <w:rPr>
                <w:rFonts w:ascii="新細明體" w:hAnsi="新細明體"/>
                <w:spacing w:val="24"/>
              </w:rPr>
            </w:pPr>
            <w:r w:rsidRPr="00EC502D">
              <w:rPr>
                <w:rFonts w:ascii="新細明體" w:hAnsi="新細明體" w:hint="eastAsia"/>
                <w:spacing w:val="24"/>
              </w:rPr>
              <w:t>中</w:t>
            </w:r>
            <w:r w:rsidR="00046B10" w:rsidRPr="00EC502D">
              <w:rPr>
                <w:rFonts w:ascii="新細明體" w:hAnsi="新細明體" w:hint="eastAsia"/>
                <w:spacing w:val="24"/>
              </w:rPr>
              <w:t>央</w:t>
            </w:r>
            <w:r w:rsidRPr="00EC502D">
              <w:rPr>
                <w:rFonts w:ascii="新細明體" w:hAnsi="新細明體" w:hint="eastAsia"/>
                <w:spacing w:val="24"/>
              </w:rPr>
              <w:t>銀行102年</w:t>
            </w:r>
            <w:r w:rsidR="00772391" w:rsidRPr="00EC502D">
              <w:rPr>
                <w:rFonts w:ascii="新細明體" w:hAnsi="新細明體"/>
              </w:rPr>
              <w:t>11</w:t>
            </w:r>
            <w:r w:rsidRPr="00EC502D">
              <w:rPr>
                <w:rFonts w:ascii="新細明體" w:hAnsi="新細明體" w:hint="eastAsia"/>
                <w:spacing w:val="24"/>
              </w:rPr>
              <w:t>月</w:t>
            </w:r>
            <w:r w:rsidR="00772391" w:rsidRPr="00EC502D">
              <w:rPr>
                <w:rFonts w:ascii="新細明體" w:hAnsi="新細明體"/>
              </w:rPr>
              <w:t>18</w:t>
            </w:r>
            <w:r w:rsidRPr="00EC502D">
              <w:rPr>
                <w:rFonts w:ascii="新細明體" w:hAnsi="新細明體" w:hint="eastAsia"/>
                <w:spacing w:val="24"/>
              </w:rPr>
              <w:t>日台央外</w:t>
            </w:r>
            <w:proofErr w:type="gramStart"/>
            <w:r w:rsidRPr="00EC502D">
              <w:rPr>
                <w:rFonts w:ascii="新細明體" w:hAnsi="新細明體" w:hint="eastAsia"/>
                <w:spacing w:val="24"/>
              </w:rPr>
              <w:t>柒</w:t>
            </w:r>
            <w:proofErr w:type="gramEnd"/>
            <w:r w:rsidRPr="00EC502D">
              <w:rPr>
                <w:rFonts w:ascii="新細明體" w:hAnsi="新細明體" w:hint="eastAsia"/>
                <w:spacing w:val="24"/>
              </w:rPr>
              <w:t>字第</w:t>
            </w:r>
            <w:r w:rsidR="00772391" w:rsidRPr="00EC502D">
              <w:rPr>
                <w:rFonts w:ascii="新細明體" w:hAnsi="新細明體"/>
              </w:rPr>
              <w:t>1020046986</w:t>
            </w:r>
            <w:r w:rsidRPr="00EC502D">
              <w:rPr>
                <w:rFonts w:ascii="新細明體" w:hAnsi="新細明體" w:hint="eastAsia"/>
                <w:spacing w:val="24"/>
              </w:rPr>
              <w:t>號函</w:t>
            </w:r>
          </w:p>
          <w:p w14:paraId="4CEADB87" w14:textId="77777777" w:rsidR="00931AE0" w:rsidRPr="00EC502D" w:rsidRDefault="00455266" w:rsidP="00BB34E2">
            <w:pPr>
              <w:numPr>
                <w:ilvl w:val="1"/>
                <w:numId w:val="3"/>
              </w:numPr>
              <w:spacing w:line="400" w:lineRule="exact"/>
              <w:ind w:rightChars="47" w:right="113"/>
              <w:jc w:val="both"/>
              <w:rPr>
                <w:rFonts w:ascii="新細明體" w:hAnsi="新細明體"/>
                <w:spacing w:val="24"/>
              </w:rPr>
            </w:pPr>
            <w:r w:rsidRPr="00EC502D">
              <w:rPr>
                <w:rFonts w:ascii="新細明體" w:hAnsi="新細明體" w:hint="eastAsia"/>
                <w:spacing w:val="24"/>
              </w:rPr>
              <w:t>證券商外幣風險上限管理要點</w:t>
            </w:r>
          </w:p>
          <w:p w14:paraId="68F4AF1F" w14:textId="77777777" w:rsidR="00004818" w:rsidRPr="00EC502D" w:rsidRDefault="00871EDD" w:rsidP="00BB34E2">
            <w:pPr>
              <w:numPr>
                <w:ilvl w:val="1"/>
                <w:numId w:val="3"/>
              </w:numPr>
              <w:spacing w:line="400" w:lineRule="exact"/>
              <w:ind w:rightChars="47" w:right="113"/>
              <w:jc w:val="both"/>
              <w:rPr>
                <w:rFonts w:ascii="新細明體" w:hAnsi="新細明體"/>
                <w:spacing w:val="24"/>
              </w:rPr>
            </w:pPr>
            <w:r w:rsidRPr="00EC502D">
              <w:rPr>
                <w:rFonts w:ascii="新細明體" w:hAnsi="新細明體" w:hint="eastAsia"/>
                <w:spacing w:val="24"/>
              </w:rPr>
              <w:t>證券商管理規則</w:t>
            </w:r>
          </w:p>
          <w:p w14:paraId="0DEF2104" w14:textId="77777777" w:rsidR="00004818" w:rsidRPr="00EC502D" w:rsidRDefault="00004818" w:rsidP="00BB34E2">
            <w:pPr>
              <w:spacing w:line="400" w:lineRule="exact"/>
              <w:ind w:rightChars="47" w:right="113"/>
              <w:jc w:val="both"/>
              <w:rPr>
                <w:spacing w:val="24"/>
              </w:rPr>
            </w:pPr>
          </w:p>
          <w:p w14:paraId="29D24762" w14:textId="77777777" w:rsidR="00004818" w:rsidRPr="00EC502D" w:rsidRDefault="00004818" w:rsidP="00BB34E2">
            <w:pPr>
              <w:numPr>
                <w:ilvl w:val="0"/>
                <w:numId w:val="3"/>
              </w:numPr>
              <w:spacing w:line="400" w:lineRule="exact"/>
              <w:ind w:rightChars="47" w:right="113"/>
              <w:jc w:val="both"/>
              <w:rPr>
                <w:spacing w:val="24"/>
              </w:rPr>
            </w:pPr>
            <w:r w:rsidRPr="00EC502D">
              <w:rPr>
                <w:rFonts w:hint="eastAsia"/>
                <w:spacing w:val="24"/>
              </w:rPr>
              <w:t>使用表單：</w:t>
            </w:r>
          </w:p>
          <w:p w14:paraId="03094589" w14:textId="77777777" w:rsidR="00004818" w:rsidRPr="00EC502D" w:rsidRDefault="00772391" w:rsidP="00BB34E2">
            <w:pPr>
              <w:numPr>
                <w:ilvl w:val="1"/>
                <w:numId w:val="3"/>
              </w:numPr>
              <w:spacing w:line="400" w:lineRule="exact"/>
              <w:ind w:rightChars="47" w:right="113"/>
              <w:jc w:val="both"/>
              <w:rPr>
                <w:rFonts w:ascii="新細明體" w:hAnsi="新細明體"/>
                <w:spacing w:val="24"/>
              </w:rPr>
            </w:pPr>
            <w:r w:rsidRPr="00EC502D">
              <w:rPr>
                <w:rFonts w:ascii="新細明體" w:hAnsi="新細明體" w:hint="eastAsia"/>
                <w:spacing w:val="24"/>
              </w:rPr>
              <w:t>外幣拆借款餘額統計表</w:t>
            </w:r>
          </w:p>
        </w:tc>
      </w:tr>
    </w:tbl>
    <w:p w14:paraId="1811F65C" w14:textId="77777777" w:rsidR="00004818" w:rsidRPr="00EC502D" w:rsidRDefault="00004818"/>
    <w:sectPr w:rsidR="00004818" w:rsidRPr="00EC502D">
      <w:pgSz w:w="16840" w:h="11907" w:orient="landscape" w:code="9"/>
      <w:pgMar w:top="1418" w:right="1418" w:bottom="1418"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5D442" w14:textId="77777777" w:rsidR="00EF4595" w:rsidRDefault="00EF4595">
      <w:pPr>
        <w:spacing w:line="240" w:lineRule="auto"/>
      </w:pPr>
      <w:r>
        <w:separator/>
      </w:r>
    </w:p>
  </w:endnote>
  <w:endnote w:type="continuationSeparator" w:id="0">
    <w:p w14:paraId="0C7124AB" w14:textId="77777777" w:rsidR="00EF4595" w:rsidRDefault="00EF4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4E877" w14:textId="77777777" w:rsidR="00EF4595" w:rsidRDefault="00EF4595">
      <w:pPr>
        <w:spacing w:line="240" w:lineRule="auto"/>
      </w:pPr>
      <w:r>
        <w:separator/>
      </w:r>
    </w:p>
  </w:footnote>
  <w:footnote w:type="continuationSeparator" w:id="0">
    <w:p w14:paraId="13C317AC" w14:textId="77777777" w:rsidR="00EF4595" w:rsidRDefault="00EF459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196"/>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1A270CAF"/>
    <w:multiLevelType w:val="multilevel"/>
    <w:tmpl w:val="774C3820"/>
    <w:lvl w:ilvl="0">
      <w:start w:val="1"/>
      <w:numFmt w:val="taiwaneseCountingThousand"/>
      <w:suff w:val="space"/>
      <w:lvlText w:val="%1、"/>
      <w:lvlJc w:val="left"/>
      <w:pPr>
        <w:ind w:left="567" w:hanging="567"/>
      </w:pPr>
      <w:rPr>
        <w:rFonts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1DFC01FC"/>
    <w:multiLevelType w:val="multilevel"/>
    <w:tmpl w:val="8D4037B4"/>
    <w:lvl w:ilvl="0">
      <w:start w:val="1"/>
      <w:numFmt w:val="aiueo"/>
      <w:lvlText w:val="%1、"/>
      <w:legacy w:legacy="1" w:legacySpace="0" w:legacyIndent="567"/>
      <w:lvlJc w:val="left"/>
      <w:pPr>
        <w:ind w:left="567" w:hanging="567"/>
      </w:pPr>
    </w:lvl>
    <w:lvl w:ilvl="1">
      <w:start w:val="1"/>
      <w:numFmt w:val="aiueo"/>
      <w:lvlText w:val="(%2)"/>
      <w:legacy w:legacy="1" w:legacySpace="0" w:legacyIndent="510"/>
      <w:lvlJc w:val="left"/>
      <w:pPr>
        <w:ind w:left="1077" w:hanging="510"/>
      </w:pPr>
    </w:lvl>
    <w:lvl w:ilvl="2">
      <w:start w:val="1"/>
      <w:numFmt w:val="decimal"/>
      <w:lvlText w:val="%3."/>
      <w:legacy w:legacy="1" w:legacySpace="0" w:legacyIndent="567"/>
      <w:lvlJc w:val="left"/>
      <w:pPr>
        <w:ind w:left="1644" w:hanging="567"/>
      </w:pPr>
    </w:lvl>
    <w:lvl w:ilvl="3">
      <w:start w:val="1"/>
      <w:numFmt w:val="decimal"/>
      <w:lvlText w:val="(%4)"/>
      <w:legacy w:legacy="1" w:legacySpace="0" w:legacyIndent="510"/>
      <w:lvlJc w:val="left"/>
      <w:pPr>
        <w:ind w:left="2154" w:hanging="510"/>
      </w:pPr>
    </w:lvl>
    <w:lvl w:ilvl="4">
      <w:start w:val="1"/>
      <w:numFmt w:val="decimal"/>
      <w:lvlText w:val="(%5)"/>
      <w:legacy w:legacy="1" w:legacySpace="0" w:legacyIndent="425"/>
      <w:lvlJc w:val="left"/>
      <w:pPr>
        <w:ind w:left="2579" w:hanging="425"/>
      </w:pPr>
    </w:lvl>
    <w:lvl w:ilvl="5">
      <w:start w:val="1"/>
      <w:numFmt w:val="lowerLetter"/>
      <w:lvlText w:val="%6."/>
      <w:legacy w:legacy="1" w:legacySpace="0" w:legacyIndent="425"/>
      <w:lvlJc w:val="left"/>
      <w:pPr>
        <w:ind w:left="3004" w:hanging="425"/>
      </w:pPr>
    </w:lvl>
    <w:lvl w:ilvl="6">
      <w:start w:val="1"/>
      <w:numFmt w:val="lowerLetter"/>
      <w:lvlText w:val="%7)"/>
      <w:legacy w:legacy="1" w:legacySpace="0" w:legacyIndent="425"/>
      <w:lvlJc w:val="left"/>
      <w:pPr>
        <w:ind w:left="3429" w:hanging="425"/>
      </w:pPr>
    </w:lvl>
    <w:lvl w:ilvl="7">
      <w:start w:val="1"/>
      <w:numFmt w:val="lowerRoman"/>
      <w:lvlText w:val="(%8)"/>
      <w:legacy w:legacy="1" w:legacySpace="0" w:legacyIndent="425"/>
      <w:lvlJc w:val="left"/>
      <w:pPr>
        <w:ind w:left="3854" w:hanging="425"/>
      </w:pPr>
    </w:lvl>
    <w:lvl w:ilvl="8">
      <w:start w:val="1"/>
      <w:numFmt w:val="lowerRoman"/>
      <w:lvlText w:val="%9"/>
      <w:legacy w:legacy="1" w:legacySpace="0" w:legacyIndent="425"/>
      <w:lvlJc w:val="left"/>
      <w:pPr>
        <w:ind w:left="4279" w:hanging="425"/>
      </w:pPr>
    </w:lvl>
  </w:abstractNum>
  <w:abstractNum w:abstractNumId="3" w15:restartNumberingAfterBreak="0">
    <w:nsid w:val="227C1750"/>
    <w:multiLevelType w:val="multilevel"/>
    <w:tmpl w:val="2E3AB764"/>
    <w:lvl w:ilvl="0">
      <w:start w:val="1"/>
      <w:numFmt w:val="taiwaneseCountingThousand"/>
      <w:suff w:val="space"/>
      <w:lvlText w:val="%1、"/>
      <w:lvlJc w:val="left"/>
      <w:pPr>
        <w:ind w:left="567" w:hanging="567"/>
      </w:pPr>
      <w:rPr>
        <w:rFonts w:hint="eastAsia"/>
      </w:rPr>
    </w:lvl>
    <w:lvl w:ilvl="1">
      <w:start w:val="1"/>
      <w:numFmt w:val="taiwaneseCountingThousand"/>
      <w:suff w:val="space"/>
      <w:lvlText w:val="(%2)"/>
      <w:lvlJc w:val="left"/>
      <w:pPr>
        <w:ind w:left="1123" w:hanging="556"/>
      </w:pPr>
      <w:rPr>
        <w:rFonts w:hint="eastAsia"/>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32B330A2"/>
    <w:multiLevelType w:val="multilevel"/>
    <w:tmpl w:val="774C3820"/>
    <w:lvl w:ilvl="0">
      <w:start w:val="1"/>
      <w:numFmt w:val="taiwaneseCountingThousand"/>
      <w:suff w:val="space"/>
      <w:lvlText w:val="%1、"/>
      <w:lvlJc w:val="left"/>
      <w:pPr>
        <w:ind w:left="567" w:hanging="567"/>
      </w:pPr>
      <w:rPr>
        <w:rFonts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3F0E3F62"/>
    <w:multiLevelType w:val="hybridMultilevel"/>
    <w:tmpl w:val="71B4A804"/>
    <w:lvl w:ilvl="0" w:tplc="3E0820EE">
      <w:start w:val="1"/>
      <w:numFmt w:val="decimal"/>
      <w:lvlText w:val="%1."/>
      <w:lvlJc w:val="left"/>
      <w:pPr>
        <w:ind w:left="1948" w:hanging="360"/>
      </w:pPr>
      <w:rPr>
        <w:rFonts w:hint="default"/>
      </w:rPr>
    </w:lvl>
    <w:lvl w:ilvl="1" w:tplc="04090019" w:tentative="1">
      <w:start w:val="1"/>
      <w:numFmt w:val="ideographTraditional"/>
      <w:lvlText w:val="%2、"/>
      <w:lvlJc w:val="left"/>
      <w:pPr>
        <w:ind w:left="2548" w:hanging="480"/>
      </w:pPr>
    </w:lvl>
    <w:lvl w:ilvl="2" w:tplc="0409001B" w:tentative="1">
      <w:start w:val="1"/>
      <w:numFmt w:val="lowerRoman"/>
      <w:lvlText w:val="%3."/>
      <w:lvlJc w:val="right"/>
      <w:pPr>
        <w:ind w:left="3028" w:hanging="480"/>
      </w:pPr>
    </w:lvl>
    <w:lvl w:ilvl="3" w:tplc="0409000F" w:tentative="1">
      <w:start w:val="1"/>
      <w:numFmt w:val="decimal"/>
      <w:lvlText w:val="%4."/>
      <w:lvlJc w:val="left"/>
      <w:pPr>
        <w:ind w:left="3508" w:hanging="480"/>
      </w:pPr>
    </w:lvl>
    <w:lvl w:ilvl="4" w:tplc="04090019" w:tentative="1">
      <w:start w:val="1"/>
      <w:numFmt w:val="ideographTraditional"/>
      <w:lvlText w:val="%5、"/>
      <w:lvlJc w:val="left"/>
      <w:pPr>
        <w:ind w:left="3988" w:hanging="480"/>
      </w:pPr>
    </w:lvl>
    <w:lvl w:ilvl="5" w:tplc="0409001B" w:tentative="1">
      <w:start w:val="1"/>
      <w:numFmt w:val="lowerRoman"/>
      <w:lvlText w:val="%6."/>
      <w:lvlJc w:val="right"/>
      <w:pPr>
        <w:ind w:left="4468" w:hanging="480"/>
      </w:pPr>
    </w:lvl>
    <w:lvl w:ilvl="6" w:tplc="0409000F" w:tentative="1">
      <w:start w:val="1"/>
      <w:numFmt w:val="decimal"/>
      <w:lvlText w:val="%7."/>
      <w:lvlJc w:val="left"/>
      <w:pPr>
        <w:ind w:left="4948" w:hanging="480"/>
      </w:pPr>
    </w:lvl>
    <w:lvl w:ilvl="7" w:tplc="04090019" w:tentative="1">
      <w:start w:val="1"/>
      <w:numFmt w:val="ideographTraditional"/>
      <w:lvlText w:val="%8、"/>
      <w:lvlJc w:val="left"/>
      <w:pPr>
        <w:ind w:left="5428" w:hanging="480"/>
      </w:pPr>
    </w:lvl>
    <w:lvl w:ilvl="8" w:tplc="0409001B" w:tentative="1">
      <w:start w:val="1"/>
      <w:numFmt w:val="lowerRoman"/>
      <w:lvlText w:val="%9."/>
      <w:lvlJc w:val="right"/>
      <w:pPr>
        <w:ind w:left="5908" w:hanging="480"/>
      </w:pPr>
    </w:lvl>
  </w:abstractNum>
  <w:abstractNum w:abstractNumId="6" w15:restartNumberingAfterBreak="0">
    <w:nsid w:val="4BCD4C06"/>
    <w:multiLevelType w:val="hybridMultilevel"/>
    <w:tmpl w:val="7A6E2E30"/>
    <w:lvl w:ilvl="0" w:tplc="A1ACE3CC">
      <w:start w:val="1"/>
      <w:numFmt w:val="taiwaneseCountingThousand"/>
      <w:lvlText w:val="(%1)"/>
      <w:lvlJc w:val="left"/>
      <w:pPr>
        <w:ind w:left="540" w:hanging="5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0603237"/>
    <w:multiLevelType w:val="hybridMultilevel"/>
    <w:tmpl w:val="68449AC0"/>
    <w:lvl w:ilvl="0" w:tplc="0409000F">
      <w:start w:val="1"/>
      <w:numFmt w:val="decimal"/>
      <w:lvlText w:val="%1."/>
      <w:lvlJc w:val="left"/>
      <w:pPr>
        <w:ind w:left="1586" w:hanging="480"/>
      </w:pPr>
    </w:lvl>
    <w:lvl w:ilvl="1" w:tplc="04090019" w:tentative="1">
      <w:start w:val="1"/>
      <w:numFmt w:val="ideographTraditional"/>
      <w:lvlText w:val="%2、"/>
      <w:lvlJc w:val="left"/>
      <w:pPr>
        <w:ind w:left="2066" w:hanging="480"/>
      </w:pPr>
    </w:lvl>
    <w:lvl w:ilvl="2" w:tplc="0409001B" w:tentative="1">
      <w:start w:val="1"/>
      <w:numFmt w:val="lowerRoman"/>
      <w:lvlText w:val="%3."/>
      <w:lvlJc w:val="right"/>
      <w:pPr>
        <w:ind w:left="2546" w:hanging="480"/>
      </w:pPr>
    </w:lvl>
    <w:lvl w:ilvl="3" w:tplc="0409000F" w:tentative="1">
      <w:start w:val="1"/>
      <w:numFmt w:val="decimal"/>
      <w:lvlText w:val="%4."/>
      <w:lvlJc w:val="left"/>
      <w:pPr>
        <w:ind w:left="3026" w:hanging="480"/>
      </w:pPr>
    </w:lvl>
    <w:lvl w:ilvl="4" w:tplc="04090019" w:tentative="1">
      <w:start w:val="1"/>
      <w:numFmt w:val="ideographTraditional"/>
      <w:lvlText w:val="%5、"/>
      <w:lvlJc w:val="left"/>
      <w:pPr>
        <w:ind w:left="3506" w:hanging="480"/>
      </w:pPr>
    </w:lvl>
    <w:lvl w:ilvl="5" w:tplc="0409001B" w:tentative="1">
      <w:start w:val="1"/>
      <w:numFmt w:val="lowerRoman"/>
      <w:lvlText w:val="%6."/>
      <w:lvlJc w:val="right"/>
      <w:pPr>
        <w:ind w:left="3986" w:hanging="480"/>
      </w:pPr>
    </w:lvl>
    <w:lvl w:ilvl="6" w:tplc="0409000F" w:tentative="1">
      <w:start w:val="1"/>
      <w:numFmt w:val="decimal"/>
      <w:lvlText w:val="%7."/>
      <w:lvlJc w:val="left"/>
      <w:pPr>
        <w:ind w:left="4466" w:hanging="480"/>
      </w:pPr>
    </w:lvl>
    <w:lvl w:ilvl="7" w:tplc="04090019" w:tentative="1">
      <w:start w:val="1"/>
      <w:numFmt w:val="ideographTraditional"/>
      <w:lvlText w:val="%8、"/>
      <w:lvlJc w:val="left"/>
      <w:pPr>
        <w:ind w:left="4946" w:hanging="480"/>
      </w:pPr>
    </w:lvl>
    <w:lvl w:ilvl="8" w:tplc="0409001B" w:tentative="1">
      <w:start w:val="1"/>
      <w:numFmt w:val="lowerRoman"/>
      <w:lvlText w:val="%9."/>
      <w:lvlJc w:val="right"/>
      <w:pPr>
        <w:ind w:left="5426" w:hanging="480"/>
      </w:pPr>
    </w:lvl>
  </w:abstractNum>
  <w:abstractNum w:abstractNumId="8" w15:restartNumberingAfterBreak="0">
    <w:nsid w:val="50836F16"/>
    <w:multiLevelType w:val="hybridMultilevel"/>
    <w:tmpl w:val="AC942B32"/>
    <w:lvl w:ilvl="0" w:tplc="DE0E5D9C">
      <w:start w:val="1"/>
      <w:numFmt w:val="taiwaneseCountingThousand"/>
      <w:lvlText w:val="%1、"/>
      <w:lvlJc w:val="left"/>
      <w:pPr>
        <w:ind w:left="824" w:hanging="720"/>
      </w:pPr>
      <w:rPr>
        <w:rFonts w:cs="Times New Roman" w:hint="default"/>
      </w:rPr>
    </w:lvl>
    <w:lvl w:ilvl="1" w:tplc="04090019" w:tentative="1">
      <w:start w:val="1"/>
      <w:numFmt w:val="ideographTraditional"/>
      <w:lvlText w:val="%2、"/>
      <w:lvlJc w:val="left"/>
      <w:pPr>
        <w:ind w:left="1064" w:hanging="480"/>
      </w:pPr>
      <w:rPr>
        <w:rFonts w:cs="Times New Roman"/>
      </w:rPr>
    </w:lvl>
    <w:lvl w:ilvl="2" w:tplc="0409001B" w:tentative="1">
      <w:start w:val="1"/>
      <w:numFmt w:val="lowerRoman"/>
      <w:lvlText w:val="%3."/>
      <w:lvlJc w:val="right"/>
      <w:pPr>
        <w:ind w:left="1544" w:hanging="480"/>
      </w:pPr>
      <w:rPr>
        <w:rFonts w:cs="Times New Roman"/>
      </w:rPr>
    </w:lvl>
    <w:lvl w:ilvl="3" w:tplc="0409000F" w:tentative="1">
      <w:start w:val="1"/>
      <w:numFmt w:val="decimal"/>
      <w:lvlText w:val="%4."/>
      <w:lvlJc w:val="left"/>
      <w:pPr>
        <w:ind w:left="2024" w:hanging="480"/>
      </w:pPr>
      <w:rPr>
        <w:rFonts w:cs="Times New Roman"/>
      </w:rPr>
    </w:lvl>
    <w:lvl w:ilvl="4" w:tplc="04090019" w:tentative="1">
      <w:start w:val="1"/>
      <w:numFmt w:val="ideographTraditional"/>
      <w:lvlText w:val="%5、"/>
      <w:lvlJc w:val="left"/>
      <w:pPr>
        <w:ind w:left="2504" w:hanging="480"/>
      </w:pPr>
      <w:rPr>
        <w:rFonts w:cs="Times New Roman"/>
      </w:rPr>
    </w:lvl>
    <w:lvl w:ilvl="5" w:tplc="0409001B" w:tentative="1">
      <w:start w:val="1"/>
      <w:numFmt w:val="lowerRoman"/>
      <w:lvlText w:val="%6."/>
      <w:lvlJc w:val="right"/>
      <w:pPr>
        <w:ind w:left="2984" w:hanging="480"/>
      </w:pPr>
      <w:rPr>
        <w:rFonts w:cs="Times New Roman"/>
      </w:rPr>
    </w:lvl>
    <w:lvl w:ilvl="6" w:tplc="0409000F" w:tentative="1">
      <w:start w:val="1"/>
      <w:numFmt w:val="decimal"/>
      <w:lvlText w:val="%7."/>
      <w:lvlJc w:val="left"/>
      <w:pPr>
        <w:ind w:left="3464" w:hanging="480"/>
      </w:pPr>
      <w:rPr>
        <w:rFonts w:cs="Times New Roman"/>
      </w:rPr>
    </w:lvl>
    <w:lvl w:ilvl="7" w:tplc="04090019" w:tentative="1">
      <w:start w:val="1"/>
      <w:numFmt w:val="ideographTraditional"/>
      <w:lvlText w:val="%8、"/>
      <w:lvlJc w:val="left"/>
      <w:pPr>
        <w:ind w:left="3944" w:hanging="480"/>
      </w:pPr>
      <w:rPr>
        <w:rFonts w:cs="Times New Roman"/>
      </w:rPr>
    </w:lvl>
    <w:lvl w:ilvl="8" w:tplc="0409001B" w:tentative="1">
      <w:start w:val="1"/>
      <w:numFmt w:val="lowerRoman"/>
      <w:lvlText w:val="%9."/>
      <w:lvlJc w:val="right"/>
      <w:pPr>
        <w:ind w:left="4424" w:hanging="480"/>
      </w:pPr>
      <w:rPr>
        <w:rFonts w:cs="Times New Roman"/>
      </w:rPr>
    </w:lvl>
  </w:abstractNum>
  <w:abstractNum w:abstractNumId="9" w15:restartNumberingAfterBreak="0">
    <w:nsid w:val="5B021BEB"/>
    <w:multiLevelType w:val="hybridMultilevel"/>
    <w:tmpl w:val="EAE87DF8"/>
    <w:lvl w:ilvl="0" w:tplc="6360BB82">
      <w:start w:val="1"/>
      <w:numFmt w:val="taiwaneseCountingThousand"/>
      <w:lvlText w:val="(%1)"/>
      <w:lvlJc w:val="left"/>
      <w:pPr>
        <w:ind w:left="1181" w:hanging="360"/>
      </w:pPr>
      <w:rPr>
        <w:rFonts w:hint="default"/>
      </w:rPr>
    </w:lvl>
    <w:lvl w:ilvl="1" w:tplc="04090019" w:tentative="1">
      <w:start w:val="1"/>
      <w:numFmt w:val="ideographTraditional"/>
      <w:lvlText w:val="%2、"/>
      <w:lvlJc w:val="left"/>
      <w:pPr>
        <w:ind w:left="1781" w:hanging="480"/>
      </w:pPr>
    </w:lvl>
    <w:lvl w:ilvl="2" w:tplc="0409001B" w:tentative="1">
      <w:start w:val="1"/>
      <w:numFmt w:val="lowerRoman"/>
      <w:lvlText w:val="%3."/>
      <w:lvlJc w:val="right"/>
      <w:pPr>
        <w:ind w:left="2261" w:hanging="480"/>
      </w:pPr>
    </w:lvl>
    <w:lvl w:ilvl="3" w:tplc="0409000F" w:tentative="1">
      <w:start w:val="1"/>
      <w:numFmt w:val="decimal"/>
      <w:lvlText w:val="%4."/>
      <w:lvlJc w:val="left"/>
      <w:pPr>
        <w:ind w:left="2741" w:hanging="480"/>
      </w:pPr>
    </w:lvl>
    <w:lvl w:ilvl="4" w:tplc="04090019" w:tentative="1">
      <w:start w:val="1"/>
      <w:numFmt w:val="ideographTraditional"/>
      <w:lvlText w:val="%5、"/>
      <w:lvlJc w:val="left"/>
      <w:pPr>
        <w:ind w:left="3221" w:hanging="480"/>
      </w:pPr>
    </w:lvl>
    <w:lvl w:ilvl="5" w:tplc="0409001B" w:tentative="1">
      <w:start w:val="1"/>
      <w:numFmt w:val="lowerRoman"/>
      <w:lvlText w:val="%6."/>
      <w:lvlJc w:val="right"/>
      <w:pPr>
        <w:ind w:left="3701" w:hanging="480"/>
      </w:pPr>
    </w:lvl>
    <w:lvl w:ilvl="6" w:tplc="0409000F" w:tentative="1">
      <w:start w:val="1"/>
      <w:numFmt w:val="decimal"/>
      <w:lvlText w:val="%7."/>
      <w:lvlJc w:val="left"/>
      <w:pPr>
        <w:ind w:left="4181" w:hanging="480"/>
      </w:pPr>
    </w:lvl>
    <w:lvl w:ilvl="7" w:tplc="04090019" w:tentative="1">
      <w:start w:val="1"/>
      <w:numFmt w:val="ideographTraditional"/>
      <w:lvlText w:val="%8、"/>
      <w:lvlJc w:val="left"/>
      <w:pPr>
        <w:ind w:left="4661" w:hanging="480"/>
      </w:pPr>
    </w:lvl>
    <w:lvl w:ilvl="8" w:tplc="0409001B" w:tentative="1">
      <w:start w:val="1"/>
      <w:numFmt w:val="lowerRoman"/>
      <w:lvlText w:val="%9."/>
      <w:lvlJc w:val="right"/>
      <w:pPr>
        <w:ind w:left="5141" w:hanging="480"/>
      </w:pPr>
    </w:lvl>
  </w:abstractNum>
  <w:abstractNum w:abstractNumId="10" w15:restartNumberingAfterBreak="0">
    <w:nsid w:val="6A01705D"/>
    <w:multiLevelType w:val="multilevel"/>
    <w:tmpl w:val="64882E9C"/>
    <w:lvl w:ilvl="0">
      <w:start w:val="1"/>
      <w:numFmt w:val="taiwaneseCountingThousand"/>
      <w:suff w:val="nothing"/>
      <w:lvlText w:val="%1、"/>
      <w:lvlJc w:val="left"/>
      <w:pPr>
        <w:ind w:left="425" w:hanging="425"/>
      </w:pPr>
      <w:rPr>
        <w:rFonts w:hint="eastAsia"/>
      </w:rPr>
    </w:lvl>
    <w:lvl w:ilvl="1">
      <w:start w:val="1"/>
      <w:numFmt w:val="taiwaneseCountingThousand"/>
      <w:suff w:val="nothing"/>
      <w:lvlText w:val="(%2)"/>
      <w:lvlJc w:val="left"/>
      <w:pPr>
        <w:ind w:left="737" w:hanging="453"/>
      </w:pPr>
      <w:rPr>
        <w:rFonts w:hint="eastAsia"/>
      </w:rPr>
    </w:lvl>
    <w:lvl w:ilvl="2">
      <w:start w:val="1"/>
      <w:numFmt w:val="taiwaneseCountingThousand"/>
      <w:pStyle w:val="3"/>
      <w:suff w:val="nothing"/>
      <w:lvlText w:val="第%3項"/>
      <w:lvlJc w:val="left"/>
      <w:pPr>
        <w:ind w:left="1418" w:hanging="567"/>
      </w:pPr>
      <w:rPr>
        <w:rFonts w:hint="eastAsia"/>
      </w:rPr>
    </w:lvl>
    <w:lvl w:ilvl="3">
      <w:start w:val="1"/>
      <w:numFmt w:val="none"/>
      <w:pStyle w:val="4"/>
      <w:suff w:val="nothing"/>
      <w:lvlText w:val=""/>
      <w:lvlJc w:val="left"/>
      <w:pPr>
        <w:ind w:left="1984" w:hanging="708"/>
      </w:pPr>
      <w:rPr>
        <w:rFonts w:hint="eastAsia"/>
      </w:rPr>
    </w:lvl>
    <w:lvl w:ilvl="4">
      <w:start w:val="1"/>
      <w:numFmt w:val="none"/>
      <w:pStyle w:val="5"/>
      <w:suff w:val="nothing"/>
      <w:lvlText w:val=""/>
      <w:lvlJc w:val="left"/>
      <w:pPr>
        <w:ind w:left="2551" w:hanging="850"/>
      </w:pPr>
      <w:rPr>
        <w:rFonts w:hint="eastAsia"/>
      </w:rPr>
    </w:lvl>
    <w:lvl w:ilvl="5">
      <w:start w:val="1"/>
      <w:numFmt w:val="none"/>
      <w:pStyle w:val="6"/>
      <w:suff w:val="nothing"/>
      <w:lvlText w:val=""/>
      <w:lvlJc w:val="left"/>
      <w:pPr>
        <w:ind w:left="3260" w:hanging="1134"/>
      </w:pPr>
      <w:rPr>
        <w:rFonts w:hint="eastAsia"/>
      </w:rPr>
    </w:lvl>
    <w:lvl w:ilvl="6">
      <w:start w:val="1"/>
      <w:numFmt w:val="none"/>
      <w:pStyle w:val="7"/>
      <w:suff w:val="nothing"/>
      <w:lvlText w:val=""/>
      <w:lvlJc w:val="left"/>
      <w:pPr>
        <w:ind w:left="3827" w:hanging="1276"/>
      </w:pPr>
      <w:rPr>
        <w:rFonts w:hint="eastAsia"/>
      </w:rPr>
    </w:lvl>
    <w:lvl w:ilvl="7">
      <w:start w:val="1"/>
      <w:numFmt w:val="none"/>
      <w:pStyle w:val="8"/>
      <w:suff w:val="nothing"/>
      <w:lvlText w:val=""/>
      <w:lvlJc w:val="left"/>
      <w:pPr>
        <w:ind w:left="4394" w:hanging="1418"/>
      </w:pPr>
      <w:rPr>
        <w:rFonts w:hint="eastAsia"/>
      </w:rPr>
    </w:lvl>
    <w:lvl w:ilvl="8">
      <w:start w:val="1"/>
      <w:numFmt w:val="none"/>
      <w:pStyle w:val="9"/>
      <w:suff w:val="nothing"/>
      <w:lvlText w:val=""/>
      <w:lvlJc w:val="left"/>
      <w:pPr>
        <w:ind w:left="5102" w:hanging="1700"/>
      </w:pPr>
      <w:rPr>
        <w:rFonts w:hint="eastAsia"/>
      </w:rPr>
    </w:lvl>
  </w:abstractNum>
  <w:num w:numId="1">
    <w:abstractNumId w:val="2"/>
  </w:num>
  <w:num w:numId="2">
    <w:abstractNumId w:val="4"/>
  </w:num>
  <w:num w:numId="3">
    <w:abstractNumId w:val="10"/>
  </w:num>
  <w:num w:numId="4">
    <w:abstractNumId w:val="7"/>
  </w:num>
  <w:num w:numId="5">
    <w:abstractNumId w:val="3"/>
  </w:num>
  <w:num w:numId="6">
    <w:abstractNumId w:val="5"/>
  </w:num>
  <w:num w:numId="7">
    <w:abstractNumId w:val="9"/>
  </w:num>
  <w:num w:numId="8">
    <w:abstractNumId w:val="6"/>
  </w:num>
  <w:num w:numId="9">
    <w:abstractNumId w:val="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743"/>
    <w:rsid w:val="00004818"/>
    <w:rsid w:val="00046B10"/>
    <w:rsid w:val="0007789C"/>
    <w:rsid w:val="000910B4"/>
    <w:rsid w:val="000C3743"/>
    <w:rsid w:val="00146A1B"/>
    <w:rsid w:val="001A3F13"/>
    <w:rsid w:val="001B7B2C"/>
    <w:rsid w:val="00201C0A"/>
    <w:rsid w:val="00265F94"/>
    <w:rsid w:val="00275919"/>
    <w:rsid w:val="002B60AC"/>
    <w:rsid w:val="002F54F0"/>
    <w:rsid w:val="00312A7A"/>
    <w:rsid w:val="003749E8"/>
    <w:rsid w:val="0038208D"/>
    <w:rsid w:val="003B42A5"/>
    <w:rsid w:val="003D0104"/>
    <w:rsid w:val="00400E98"/>
    <w:rsid w:val="0040434E"/>
    <w:rsid w:val="00410B37"/>
    <w:rsid w:val="00455266"/>
    <w:rsid w:val="0047148F"/>
    <w:rsid w:val="005506F4"/>
    <w:rsid w:val="005714AC"/>
    <w:rsid w:val="005A50B0"/>
    <w:rsid w:val="005D68EB"/>
    <w:rsid w:val="0066199B"/>
    <w:rsid w:val="00682317"/>
    <w:rsid w:val="006865E0"/>
    <w:rsid w:val="006C0042"/>
    <w:rsid w:val="006D28C2"/>
    <w:rsid w:val="006F6C07"/>
    <w:rsid w:val="007572E2"/>
    <w:rsid w:val="00772391"/>
    <w:rsid w:val="00787E6D"/>
    <w:rsid w:val="007D635A"/>
    <w:rsid w:val="007F0A5F"/>
    <w:rsid w:val="00830A1C"/>
    <w:rsid w:val="0085037A"/>
    <w:rsid w:val="00871EDD"/>
    <w:rsid w:val="00931AE0"/>
    <w:rsid w:val="00937E0C"/>
    <w:rsid w:val="0096077E"/>
    <w:rsid w:val="00977E7E"/>
    <w:rsid w:val="0098414C"/>
    <w:rsid w:val="009914EC"/>
    <w:rsid w:val="009A316B"/>
    <w:rsid w:val="009C2299"/>
    <w:rsid w:val="009E3370"/>
    <w:rsid w:val="009E5231"/>
    <w:rsid w:val="009F56AF"/>
    <w:rsid w:val="00A04E45"/>
    <w:rsid w:val="00A24731"/>
    <w:rsid w:val="00A25949"/>
    <w:rsid w:val="00A4335A"/>
    <w:rsid w:val="00A77A95"/>
    <w:rsid w:val="00AB414C"/>
    <w:rsid w:val="00AF09B8"/>
    <w:rsid w:val="00B17C71"/>
    <w:rsid w:val="00B17F8A"/>
    <w:rsid w:val="00B3240F"/>
    <w:rsid w:val="00B46DBF"/>
    <w:rsid w:val="00B533FC"/>
    <w:rsid w:val="00BB34E2"/>
    <w:rsid w:val="00C11C0A"/>
    <w:rsid w:val="00C3724E"/>
    <w:rsid w:val="00C42A39"/>
    <w:rsid w:val="00C531E8"/>
    <w:rsid w:val="00C61DB5"/>
    <w:rsid w:val="00CB65D8"/>
    <w:rsid w:val="00CE54C3"/>
    <w:rsid w:val="00CF27BE"/>
    <w:rsid w:val="00D312ED"/>
    <w:rsid w:val="00D44F08"/>
    <w:rsid w:val="00D5320D"/>
    <w:rsid w:val="00D5324C"/>
    <w:rsid w:val="00D72702"/>
    <w:rsid w:val="00DF7EDE"/>
    <w:rsid w:val="00E02E0A"/>
    <w:rsid w:val="00E25937"/>
    <w:rsid w:val="00E8095A"/>
    <w:rsid w:val="00E915A5"/>
    <w:rsid w:val="00EC502D"/>
    <w:rsid w:val="00EF4595"/>
    <w:rsid w:val="00EF5DD6"/>
    <w:rsid w:val="00F06963"/>
    <w:rsid w:val="00F07CF0"/>
    <w:rsid w:val="00F17C2C"/>
    <w:rsid w:val="00F276A8"/>
    <w:rsid w:val="00F456F7"/>
    <w:rsid w:val="00F533CF"/>
    <w:rsid w:val="00F834A1"/>
    <w:rsid w:val="00FA11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675349"/>
  <w15:docId w15:val="{4DF26604-FE44-4598-8DD4-1B42C7C4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textAlignment w:val="baseline"/>
    </w:pPr>
    <w:rPr>
      <w:sz w:val="24"/>
    </w:rPr>
  </w:style>
  <w:style w:type="paragraph" w:styleId="3">
    <w:name w:val="heading 3"/>
    <w:basedOn w:val="a"/>
    <w:next w:val="a0"/>
    <w:qFormat/>
    <w:pPr>
      <w:keepNext/>
      <w:numPr>
        <w:ilvl w:val="2"/>
        <w:numId w:val="3"/>
      </w:numPr>
      <w:spacing w:line="720" w:lineRule="atLeast"/>
      <w:outlineLvl w:val="2"/>
    </w:pPr>
    <w:rPr>
      <w:rFonts w:ascii="Arial" w:hAnsi="Arial"/>
      <w:b/>
      <w:sz w:val="36"/>
    </w:rPr>
  </w:style>
  <w:style w:type="paragraph" w:styleId="4">
    <w:name w:val="heading 4"/>
    <w:basedOn w:val="a"/>
    <w:next w:val="a0"/>
    <w:qFormat/>
    <w:pPr>
      <w:keepNext/>
      <w:numPr>
        <w:ilvl w:val="3"/>
        <w:numId w:val="3"/>
      </w:numPr>
      <w:spacing w:line="720" w:lineRule="atLeast"/>
      <w:outlineLvl w:val="3"/>
    </w:pPr>
    <w:rPr>
      <w:rFonts w:ascii="Arial" w:hAnsi="Arial"/>
      <w:sz w:val="36"/>
    </w:rPr>
  </w:style>
  <w:style w:type="paragraph" w:styleId="5">
    <w:name w:val="heading 5"/>
    <w:basedOn w:val="a"/>
    <w:next w:val="a0"/>
    <w:qFormat/>
    <w:pPr>
      <w:keepNext/>
      <w:numPr>
        <w:ilvl w:val="4"/>
        <w:numId w:val="3"/>
      </w:numPr>
      <w:spacing w:line="720" w:lineRule="atLeast"/>
      <w:outlineLvl w:val="4"/>
    </w:pPr>
    <w:rPr>
      <w:rFonts w:ascii="Arial" w:hAnsi="Arial"/>
      <w:b/>
      <w:sz w:val="36"/>
    </w:rPr>
  </w:style>
  <w:style w:type="paragraph" w:styleId="6">
    <w:name w:val="heading 6"/>
    <w:basedOn w:val="a"/>
    <w:next w:val="a0"/>
    <w:qFormat/>
    <w:pPr>
      <w:keepNext/>
      <w:numPr>
        <w:ilvl w:val="5"/>
        <w:numId w:val="3"/>
      </w:numPr>
      <w:spacing w:line="720" w:lineRule="atLeast"/>
      <w:outlineLvl w:val="5"/>
    </w:pPr>
    <w:rPr>
      <w:rFonts w:ascii="Arial" w:hAnsi="Arial"/>
      <w:sz w:val="36"/>
    </w:rPr>
  </w:style>
  <w:style w:type="paragraph" w:styleId="7">
    <w:name w:val="heading 7"/>
    <w:basedOn w:val="a"/>
    <w:next w:val="a0"/>
    <w:qFormat/>
    <w:pPr>
      <w:keepNext/>
      <w:numPr>
        <w:ilvl w:val="6"/>
        <w:numId w:val="3"/>
      </w:numPr>
      <w:spacing w:line="720" w:lineRule="atLeast"/>
      <w:outlineLvl w:val="6"/>
    </w:pPr>
    <w:rPr>
      <w:rFonts w:ascii="Arial" w:hAnsi="Arial"/>
      <w:b/>
      <w:sz w:val="36"/>
    </w:rPr>
  </w:style>
  <w:style w:type="paragraph" w:styleId="8">
    <w:name w:val="heading 8"/>
    <w:basedOn w:val="a"/>
    <w:next w:val="a0"/>
    <w:qFormat/>
    <w:pPr>
      <w:keepNext/>
      <w:numPr>
        <w:ilvl w:val="7"/>
        <w:numId w:val="3"/>
      </w:numPr>
      <w:spacing w:line="720" w:lineRule="atLeast"/>
      <w:outlineLvl w:val="7"/>
    </w:pPr>
    <w:rPr>
      <w:rFonts w:ascii="Arial" w:hAnsi="Arial"/>
      <w:sz w:val="36"/>
    </w:rPr>
  </w:style>
  <w:style w:type="paragraph" w:styleId="9">
    <w:name w:val="heading 9"/>
    <w:basedOn w:val="a"/>
    <w:next w:val="a0"/>
    <w:qFormat/>
    <w:pPr>
      <w:keepNext/>
      <w:numPr>
        <w:ilvl w:val="8"/>
        <w:numId w:val="3"/>
      </w:numPr>
      <w:spacing w:line="720" w:lineRule="atLeast"/>
      <w:outlineLvl w:val="8"/>
    </w:pPr>
    <w:rPr>
      <w:rFonts w:ascii="Arial" w:hAnsi="Arial"/>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semiHidden/>
    <w:pPr>
      <w:tabs>
        <w:tab w:val="center" w:pos="4153"/>
        <w:tab w:val="right" w:pos="8306"/>
      </w:tabs>
    </w:pPr>
    <w:rPr>
      <w:sz w:val="20"/>
    </w:rPr>
  </w:style>
  <w:style w:type="paragraph" w:styleId="a5">
    <w:name w:val="footer"/>
    <w:basedOn w:val="a"/>
    <w:semiHidden/>
    <w:pPr>
      <w:tabs>
        <w:tab w:val="center" w:pos="4153"/>
        <w:tab w:val="right" w:pos="8306"/>
      </w:tabs>
    </w:pPr>
    <w:rPr>
      <w:sz w:val="20"/>
    </w:rPr>
  </w:style>
  <w:style w:type="character" w:styleId="a6">
    <w:name w:val="page number"/>
    <w:basedOn w:val="a1"/>
    <w:semiHidden/>
  </w:style>
  <w:style w:type="paragraph" w:styleId="a0">
    <w:name w:val="Normal Indent"/>
    <w:basedOn w:val="a"/>
    <w:semiHidden/>
    <w:pPr>
      <w:ind w:left="480"/>
    </w:pPr>
  </w:style>
  <w:style w:type="paragraph" w:styleId="a7">
    <w:name w:val="Balloon Text"/>
    <w:basedOn w:val="a"/>
    <w:link w:val="a8"/>
    <w:uiPriority w:val="99"/>
    <w:semiHidden/>
    <w:unhideWhenUsed/>
    <w:rsid w:val="003749E8"/>
    <w:pPr>
      <w:spacing w:line="240" w:lineRule="auto"/>
    </w:pPr>
    <w:rPr>
      <w:rFonts w:ascii="Cambria" w:hAnsi="Cambria"/>
      <w:sz w:val="18"/>
      <w:szCs w:val="18"/>
    </w:rPr>
  </w:style>
  <w:style w:type="character" w:customStyle="1" w:styleId="a8">
    <w:name w:val="註解方塊文字 字元"/>
    <w:link w:val="a7"/>
    <w:uiPriority w:val="99"/>
    <w:semiHidden/>
    <w:rsid w:val="003749E8"/>
    <w:rPr>
      <w:rFonts w:ascii="Cambria" w:eastAsia="新細明體" w:hAnsi="Cambria" w:cs="Times New Roman"/>
      <w:sz w:val="18"/>
      <w:szCs w:val="18"/>
    </w:rPr>
  </w:style>
  <w:style w:type="paragraph" w:styleId="a9">
    <w:name w:val="List Paragraph"/>
    <w:basedOn w:val="a"/>
    <w:uiPriority w:val="34"/>
    <w:qFormat/>
    <w:rsid w:val="00871ED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CAE1E-47F6-4DC5-844A-29B17E832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5</Pages>
  <Words>358</Words>
  <Characters>2043</Characters>
  <Application>Microsoft Office Word</Application>
  <DocSecurity>0</DocSecurity>
  <Lines>17</Lines>
  <Paragraphs>4</Paragraphs>
  <ScaleCrop>false</ScaleCrop>
  <Company>台灣證券交易所</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三、借款作業：CR-13000</dc:title>
  <dc:creator>95</dc:creator>
  <cp:lastModifiedBy>劉佳宜</cp:lastModifiedBy>
  <cp:revision>21</cp:revision>
  <cp:lastPrinted>2013-05-29T08:37:00Z</cp:lastPrinted>
  <dcterms:created xsi:type="dcterms:W3CDTF">2013-05-24T10:21:00Z</dcterms:created>
  <dcterms:modified xsi:type="dcterms:W3CDTF">2022-06-28T08:09:00Z</dcterms:modified>
</cp:coreProperties>
</file>