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C4109" w14:textId="3346DD60" w:rsidR="00314FBB" w:rsidRPr="000451E8" w:rsidRDefault="00902A34" w:rsidP="001836C8">
      <w:pPr>
        <w:adjustRightInd w:val="0"/>
        <w:snapToGrid w:val="0"/>
        <w:spacing w:line="500" w:lineRule="exact"/>
        <w:ind w:left="624" w:hangingChars="195" w:hanging="624"/>
        <w:jc w:val="center"/>
        <w:rPr>
          <w:rFonts w:ascii="微軟正黑體" w:eastAsia="微軟正黑體" w:hAnsi="微軟正黑體"/>
          <w:color w:val="000000" w:themeColor="text1"/>
          <w:sz w:val="32"/>
          <w:szCs w:val="32"/>
        </w:rPr>
      </w:pPr>
      <w:r w:rsidRPr="000451E8">
        <w:rPr>
          <w:rFonts w:ascii="微軟正黑體" w:eastAsia="微軟正黑體" w:hAnsi="微軟正黑體" w:hint="eastAsia"/>
          <w:color w:val="000000" w:themeColor="text1"/>
          <w:sz w:val="32"/>
          <w:szCs w:val="32"/>
        </w:rPr>
        <w:t>投資人違約管理</w:t>
      </w:r>
      <w:r w:rsidR="006C6E62" w:rsidRPr="000451E8">
        <w:rPr>
          <w:rFonts w:ascii="微軟正黑體" w:eastAsia="微軟正黑體" w:hAnsi="微軟正黑體" w:hint="eastAsia"/>
          <w:color w:val="000000" w:themeColor="text1"/>
          <w:sz w:val="32"/>
          <w:szCs w:val="32"/>
        </w:rPr>
        <w:t>預收新制</w:t>
      </w:r>
      <w:r w:rsidR="00314FBB" w:rsidRPr="000451E8">
        <w:rPr>
          <w:rFonts w:ascii="微軟正黑體" w:eastAsia="微軟正黑體" w:hAnsi="微軟正黑體" w:hint="eastAsia"/>
          <w:color w:val="000000" w:themeColor="text1"/>
          <w:sz w:val="32"/>
          <w:szCs w:val="32"/>
        </w:rPr>
        <w:t>問答集</w:t>
      </w:r>
      <w:r w:rsidR="00712F5E">
        <w:rPr>
          <w:rFonts w:ascii="微軟正黑體" w:eastAsia="微軟正黑體" w:hAnsi="微軟正黑體" w:hint="eastAsia"/>
          <w:color w:val="000000" w:themeColor="text1"/>
          <w:sz w:val="32"/>
          <w:szCs w:val="32"/>
        </w:rPr>
        <w:t>(116年4月1日起適用)</w:t>
      </w:r>
    </w:p>
    <w:p w14:paraId="7387CC22" w14:textId="17BD03BF" w:rsidR="00314FBB" w:rsidRPr="000451E8" w:rsidRDefault="00314FBB" w:rsidP="001836C8">
      <w:pPr>
        <w:adjustRightInd w:val="0"/>
        <w:snapToGrid w:val="0"/>
        <w:spacing w:line="500" w:lineRule="exact"/>
        <w:jc w:val="right"/>
        <w:rPr>
          <w:rFonts w:ascii="微軟正黑體" w:eastAsia="微軟正黑體" w:hAnsi="微軟正黑體"/>
          <w:color w:val="000000" w:themeColor="text1"/>
          <w:sz w:val="16"/>
          <w:szCs w:val="16"/>
        </w:rPr>
      </w:pPr>
    </w:p>
    <w:p w14:paraId="462D6829" w14:textId="2990FD64" w:rsidR="00F6634F" w:rsidRPr="004C57DF" w:rsidRDefault="00965A64" w:rsidP="000451E8">
      <w:pPr>
        <w:numPr>
          <w:ilvl w:val="0"/>
          <w:numId w:val="1"/>
        </w:numPr>
        <w:adjustRightInd w:val="0"/>
        <w:snapToGrid w:val="0"/>
        <w:spacing w:line="400" w:lineRule="exact"/>
        <w:jc w:val="both"/>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預收新制是否適用於</w:t>
      </w:r>
      <w:r w:rsidR="00453141" w:rsidRPr="000451E8">
        <w:rPr>
          <w:rFonts w:ascii="微軟正黑體" w:eastAsia="微軟正黑體" w:hAnsi="微軟正黑體" w:hint="eastAsia"/>
          <w:color w:val="000000" w:themeColor="text1"/>
          <w:sz w:val="28"/>
          <w:szCs w:val="28"/>
        </w:rPr>
        <w:t>集中</w:t>
      </w:r>
      <w:r w:rsidR="00E3504B" w:rsidRPr="000451E8">
        <w:rPr>
          <w:rFonts w:ascii="微軟正黑體" w:eastAsia="微軟正黑體" w:hAnsi="微軟正黑體" w:hint="eastAsia"/>
          <w:color w:val="000000" w:themeColor="text1"/>
          <w:sz w:val="28"/>
          <w:szCs w:val="28"/>
        </w:rPr>
        <w:t>證券</w:t>
      </w:r>
      <w:r w:rsidR="00453141" w:rsidRPr="000451E8">
        <w:rPr>
          <w:rFonts w:ascii="微軟正黑體" w:eastAsia="微軟正黑體" w:hAnsi="微軟正黑體" w:hint="eastAsia"/>
          <w:color w:val="000000" w:themeColor="text1"/>
          <w:sz w:val="28"/>
          <w:szCs w:val="28"/>
        </w:rPr>
        <w:t>市場</w:t>
      </w:r>
      <w:r>
        <w:rPr>
          <w:rFonts w:ascii="微軟正黑體" w:eastAsia="微軟正黑體" w:hAnsi="微軟正黑體" w:hint="eastAsia"/>
          <w:color w:val="000000" w:themeColor="text1"/>
          <w:sz w:val="28"/>
          <w:szCs w:val="28"/>
        </w:rPr>
        <w:t>與</w:t>
      </w:r>
      <w:r w:rsidR="00453141" w:rsidRPr="004C57DF">
        <w:rPr>
          <w:rFonts w:ascii="微軟正黑體" w:eastAsia="微軟正黑體" w:hAnsi="微軟正黑體" w:hint="eastAsia"/>
          <w:color w:val="000000" w:themeColor="text1"/>
          <w:sz w:val="28"/>
          <w:szCs w:val="28"/>
        </w:rPr>
        <w:t>櫃</w:t>
      </w:r>
      <w:r w:rsidR="00127B23" w:rsidRPr="004C57DF">
        <w:rPr>
          <w:rFonts w:ascii="微軟正黑體" w:eastAsia="微軟正黑體" w:hAnsi="微軟正黑體" w:hint="eastAsia"/>
          <w:color w:val="000000" w:themeColor="text1"/>
          <w:sz w:val="28"/>
          <w:szCs w:val="28"/>
        </w:rPr>
        <w:t>檯買賣</w:t>
      </w:r>
      <w:r w:rsidR="00E3504B" w:rsidRPr="004C57DF">
        <w:rPr>
          <w:rFonts w:ascii="微軟正黑體" w:eastAsia="微軟正黑體" w:hAnsi="微軟正黑體" w:hint="eastAsia"/>
          <w:color w:val="000000" w:themeColor="text1"/>
          <w:sz w:val="28"/>
          <w:szCs w:val="28"/>
        </w:rPr>
        <w:t>證券</w:t>
      </w:r>
      <w:r w:rsidR="00453141" w:rsidRPr="004C57DF">
        <w:rPr>
          <w:rFonts w:ascii="微軟正黑體" w:eastAsia="微軟正黑體" w:hAnsi="微軟正黑體" w:hint="eastAsia"/>
          <w:color w:val="000000" w:themeColor="text1"/>
          <w:sz w:val="28"/>
          <w:szCs w:val="28"/>
        </w:rPr>
        <w:t>市場</w:t>
      </w:r>
      <w:r w:rsidR="00F6634F" w:rsidRPr="004C57DF">
        <w:rPr>
          <w:rFonts w:ascii="微軟正黑體" w:eastAsia="微軟正黑體" w:hAnsi="微軟正黑體" w:hint="eastAsia"/>
          <w:color w:val="000000" w:themeColor="text1"/>
          <w:sz w:val="28"/>
          <w:szCs w:val="28"/>
        </w:rPr>
        <w:t>？</w:t>
      </w:r>
    </w:p>
    <w:p w14:paraId="5E3FB87D" w14:textId="3F5F8C2E" w:rsidR="0055503D" w:rsidRPr="004C57DF" w:rsidRDefault="0055503D" w:rsidP="000451E8">
      <w:pPr>
        <w:adjustRightInd w:val="0"/>
        <w:snapToGrid w:val="0"/>
        <w:spacing w:line="400" w:lineRule="exact"/>
        <w:ind w:leftChars="300" w:left="1280" w:hangingChars="200" w:hanging="560"/>
        <w:jc w:val="both"/>
        <w:rPr>
          <w:rFonts w:ascii="微軟正黑體" w:eastAsia="微軟正黑體" w:hAnsi="微軟正黑體"/>
          <w:color w:val="000000" w:themeColor="text1"/>
          <w:sz w:val="28"/>
          <w:szCs w:val="28"/>
        </w:rPr>
      </w:pPr>
      <w:r w:rsidRPr="004C57DF">
        <w:rPr>
          <w:rFonts w:ascii="微軟正黑體" w:eastAsia="微軟正黑體" w:hAnsi="微軟正黑體" w:hint="eastAsia"/>
          <w:color w:val="000000" w:themeColor="text1"/>
          <w:sz w:val="28"/>
          <w:szCs w:val="28"/>
        </w:rPr>
        <w:t>答：</w:t>
      </w:r>
      <w:r w:rsidR="00C03D5D" w:rsidRPr="004C57DF">
        <w:rPr>
          <w:rFonts w:ascii="微軟正黑體" w:eastAsia="微軟正黑體" w:hAnsi="微軟正黑體" w:hint="eastAsia"/>
          <w:color w:val="000000" w:themeColor="text1"/>
          <w:sz w:val="28"/>
          <w:szCs w:val="28"/>
        </w:rPr>
        <w:t>是</w:t>
      </w:r>
      <w:r w:rsidR="005A566A" w:rsidRPr="004C57DF">
        <w:rPr>
          <w:rFonts w:ascii="微軟正黑體" w:eastAsia="微軟正黑體" w:hAnsi="微軟正黑體" w:hint="eastAsia"/>
          <w:color w:val="000000" w:themeColor="text1"/>
          <w:sz w:val="28"/>
          <w:szCs w:val="28"/>
        </w:rPr>
        <w:t>。</w:t>
      </w:r>
    </w:p>
    <w:p w14:paraId="65DBC203" w14:textId="41FD98B0" w:rsidR="00453141" w:rsidRPr="004C57DF" w:rsidRDefault="00453141" w:rsidP="000451E8">
      <w:pPr>
        <w:numPr>
          <w:ilvl w:val="0"/>
          <w:numId w:val="1"/>
        </w:numPr>
        <w:adjustRightInd w:val="0"/>
        <w:snapToGrid w:val="0"/>
        <w:spacing w:beforeLines="50" w:before="180" w:line="400" w:lineRule="exact"/>
        <w:jc w:val="both"/>
        <w:rPr>
          <w:rFonts w:ascii="微軟正黑體" w:eastAsia="微軟正黑體" w:hAnsi="微軟正黑體"/>
          <w:color w:val="000000" w:themeColor="text1"/>
          <w:sz w:val="28"/>
          <w:szCs w:val="28"/>
        </w:rPr>
      </w:pPr>
      <w:r w:rsidRPr="004C57DF">
        <w:rPr>
          <w:rFonts w:ascii="微軟正黑體" w:eastAsia="微軟正黑體" w:hAnsi="微軟正黑體" w:hint="eastAsia"/>
          <w:color w:val="000000" w:themeColor="text1"/>
          <w:sz w:val="28"/>
          <w:szCs w:val="28"/>
        </w:rPr>
        <w:t>預收款券範圍除上市(櫃</w:t>
      </w:r>
      <w:r w:rsidRPr="004C57DF">
        <w:rPr>
          <w:rFonts w:ascii="微軟正黑體" w:eastAsia="微軟正黑體" w:hAnsi="微軟正黑體"/>
          <w:color w:val="000000" w:themeColor="text1"/>
          <w:sz w:val="28"/>
          <w:szCs w:val="28"/>
        </w:rPr>
        <w:t>)</w:t>
      </w:r>
      <w:r w:rsidRPr="004C57DF">
        <w:rPr>
          <w:rFonts w:ascii="微軟正黑體" w:eastAsia="微軟正黑體" w:hAnsi="微軟正黑體" w:hint="eastAsia"/>
          <w:color w:val="000000" w:themeColor="text1"/>
          <w:sz w:val="28"/>
          <w:szCs w:val="28"/>
        </w:rPr>
        <w:t>有價證券外，是否包含興櫃股票及零股交易（包含盤中及盤後）？</w:t>
      </w:r>
    </w:p>
    <w:p w14:paraId="1F6D6318" w14:textId="37C5C456" w:rsidR="00453141" w:rsidRPr="004C57DF" w:rsidRDefault="00453141" w:rsidP="000451E8">
      <w:pPr>
        <w:adjustRightInd w:val="0"/>
        <w:snapToGrid w:val="0"/>
        <w:spacing w:line="400" w:lineRule="exact"/>
        <w:ind w:left="720"/>
        <w:jc w:val="both"/>
        <w:rPr>
          <w:rFonts w:ascii="微軟正黑體" w:eastAsia="微軟正黑體" w:hAnsi="微軟正黑體"/>
          <w:color w:val="000000" w:themeColor="text1"/>
          <w:sz w:val="28"/>
          <w:szCs w:val="28"/>
        </w:rPr>
      </w:pPr>
      <w:r w:rsidRPr="004C57DF">
        <w:rPr>
          <w:rFonts w:ascii="微軟正黑體" w:eastAsia="微軟正黑體" w:hAnsi="微軟正黑體" w:hint="eastAsia"/>
          <w:color w:val="000000" w:themeColor="text1"/>
          <w:sz w:val="28"/>
          <w:szCs w:val="28"/>
        </w:rPr>
        <w:t>答：是。</w:t>
      </w:r>
    </w:p>
    <w:p w14:paraId="72D7DA01" w14:textId="77777777" w:rsidR="005933B1" w:rsidRPr="004C57DF" w:rsidRDefault="005933B1" w:rsidP="005933B1">
      <w:pPr>
        <w:numPr>
          <w:ilvl w:val="0"/>
          <w:numId w:val="1"/>
        </w:numPr>
        <w:adjustRightInd w:val="0"/>
        <w:snapToGrid w:val="0"/>
        <w:spacing w:beforeLines="50" w:before="180" w:line="400" w:lineRule="exact"/>
        <w:jc w:val="both"/>
        <w:rPr>
          <w:rFonts w:ascii="微軟正黑體" w:eastAsia="微軟正黑體" w:hAnsi="微軟正黑體"/>
          <w:color w:val="000000" w:themeColor="text1"/>
          <w:sz w:val="28"/>
          <w:szCs w:val="28"/>
        </w:rPr>
      </w:pPr>
      <w:r w:rsidRPr="004C57DF">
        <w:rPr>
          <w:rFonts w:ascii="微軟正黑體" w:eastAsia="微軟正黑體" w:hAnsi="微軟正黑體" w:hint="eastAsia"/>
          <w:color w:val="000000" w:themeColor="text1"/>
          <w:sz w:val="28"/>
          <w:szCs w:val="28"/>
        </w:rPr>
        <w:t>投資人於甲證券商違約結案後，於乙證券商之委託買賣是否適用預收新制？</w:t>
      </w:r>
    </w:p>
    <w:p w14:paraId="5DD34934" w14:textId="29B4D104" w:rsidR="005933B1" w:rsidRPr="004C57DF" w:rsidRDefault="005933B1" w:rsidP="005933B1">
      <w:pPr>
        <w:adjustRightInd w:val="0"/>
        <w:snapToGrid w:val="0"/>
        <w:spacing w:line="400" w:lineRule="exact"/>
        <w:ind w:leftChars="300" w:left="1280" w:hangingChars="200" w:hanging="560"/>
        <w:jc w:val="both"/>
        <w:rPr>
          <w:rFonts w:ascii="微軟正黑體" w:eastAsia="微軟正黑體" w:hAnsi="微軟正黑體"/>
          <w:color w:val="000000" w:themeColor="text1"/>
          <w:sz w:val="28"/>
          <w:szCs w:val="28"/>
        </w:rPr>
      </w:pPr>
      <w:r w:rsidRPr="004C57DF">
        <w:rPr>
          <w:rFonts w:ascii="微軟正黑體" w:eastAsia="微軟正黑體" w:hAnsi="微軟正黑體" w:hint="eastAsia"/>
          <w:color w:val="000000" w:themeColor="text1"/>
          <w:sz w:val="28"/>
          <w:szCs w:val="28"/>
        </w:rPr>
        <w:t>答：是。投資人於乙證券商</w:t>
      </w:r>
      <w:r w:rsidR="00A8621E" w:rsidRPr="004C57DF">
        <w:rPr>
          <w:rFonts w:ascii="微軟正黑體" w:eastAsia="微軟正黑體" w:hAnsi="微軟正黑體" w:hint="eastAsia"/>
          <w:color w:val="000000" w:themeColor="text1"/>
          <w:sz w:val="28"/>
          <w:szCs w:val="28"/>
        </w:rPr>
        <w:t>之受託買賣應適用新制辦理預收款券。</w:t>
      </w:r>
    </w:p>
    <w:p w14:paraId="57071DE9" w14:textId="77777777" w:rsidR="005933B1" w:rsidRPr="004C57DF" w:rsidRDefault="005933B1" w:rsidP="005933B1">
      <w:pPr>
        <w:numPr>
          <w:ilvl w:val="0"/>
          <w:numId w:val="1"/>
        </w:numPr>
        <w:adjustRightInd w:val="0"/>
        <w:snapToGrid w:val="0"/>
        <w:spacing w:beforeLines="50" w:before="180" w:line="400" w:lineRule="exact"/>
        <w:jc w:val="both"/>
        <w:rPr>
          <w:rFonts w:ascii="微軟正黑體" w:eastAsia="微軟正黑體" w:hAnsi="微軟正黑體"/>
          <w:color w:val="000000" w:themeColor="text1"/>
          <w:sz w:val="28"/>
          <w:szCs w:val="28"/>
        </w:rPr>
      </w:pPr>
      <w:r w:rsidRPr="004C57DF">
        <w:rPr>
          <w:rFonts w:ascii="微軟正黑體" w:eastAsia="微軟正黑體" w:hAnsi="微軟正黑體" w:hint="eastAsia"/>
          <w:color w:val="000000" w:themeColor="text1"/>
          <w:sz w:val="28"/>
          <w:szCs w:val="28"/>
        </w:rPr>
        <w:t>預收款券範圍是否包含信用交易融資自備款或融券保證金？</w:t>
      </w:r>
    </w:p>
    <w:p w14:paraId="47134564" w14:textId="77777777" w:rsidR="005933B1" w:rsidRPr="000451E8" w:rsidRDefault="005933B1" w:rsidP="005933B1">
      <w:pPr>
        <w:adjustRightInd w:val="0"/>
        <w:snapToGrid w:val="0"/>
        <w:spacing w:line="400" w:lineRule="exact"/>
        <w:ind w:leftChars="300" w:left="1280" w:hangingChars="200" w:hanging="560"/>
        <w:jc w:val="both"/>
        <w:rPr>
          <w:rFonts w:ascii="微軟正黑體" w:eastAsia="微軟正黑體" w:hAnsi="微軟正黑體"/>
          <w:color w:val="000000" w:themeColor="text1"/>
          <w:sz w:val="28"/>
          <w:szCs w:val="28"/>
        </w:rPr>
      </w:pPr>
      <w:r w:rsidRPr="000451E8">
        <w:rPr>
          <w:rFonts w:ascii="微軟正黑體" w:eastAsia="微軟正黑體" w:hAnsi="微軟正黑體" w:hint="eastAsia"/>
          <w:color w:val="000000" w:themeColor="text1"/>
          <w:sz w:val="28"/>
          <w:szCs w:val="28"/>
        </w:rPr>
        <w:t>答：是。證券商受理融資融券委託買賣應預收融資自備款或融券保證金，且</w:t>
      </w:r>
      <w:r w:rsidRPr="004C57DF">
        <w:rPr>
          <w:rFonts w:ascii="微軟正黑體" w:eastAsia="微軟正黑體" w:hAnsi="微軟正黑體" w:hint="eastAsia"/>
          <w:color w:val="000000" w:themeColor="text1"/>
          <w:sz w:val="28"/>
          <w:szCs w:val="28"/>
        </w:rPr>
        <w:t>資券互抵不得更改交易類別為現股當沖。</w:t>
      </w:r>
    </w:p>
    <w:p w14:paraId="00F03A26" w14:textId="77777777" w:rsidR="005933B1" w:rsidRPr="000451E8" w:rsidRDefault="005933B1" w:rsidP="005933B1">
      <w:pPr>
        <w:numPr>
          <w:ilvl w:val="0"/>
          <w:numId w:val="1"/>
        </w:numPr>
        <w:adjustRightInd w:val="0"/>
        <w:snapToGrid w:val="0"/>
        <w:spacing w:beforeLines="50" w:before="180" w:line="400" w:lineRule="exact"/>
        <w:jc w:val="both"/>
        <w:rPr>
          <w:rFonts w:ascii="微軟正黑體" w:eastAsia="微軟正黑體" w:hAnsi="微軟正黑體"/>
          <w:color w:val="000000" w:themeColor="text1"/>
          <w:sz w:val="28"/>
          <w:szCs w:val="28"/>
        </w:rPr>
      </w:pPr>
      <w:r w:rsidRPr="000451E8">
        <w:rPr>
          <w:rFonts w:ascii="微軟正黑體" w:eastAsia="微軟正黑體" w:hAnsi="微軟正黑體" w:hint="eastAsia"/>
          <w:color w:val="000000" w:themeColor="text1"/>
          <w:sz w:val="28"/>
          <w:szCs w:val="28"/>
        </w:rPr>
        <w:t>預收款券之作業方式為何？</w:t>
      </w:r>
    </w:p>
    <w:p w14:paraId="1AF382AC" w14:textId="77777777" w:rsidR="005933B1" w:rsidRPr="000451E8" w:rsidRDefault="005933B1" w:rsidP="005933B1">
      <w:pPr>
        <w:adjustRightInd w:val="0"/>
        <w:snapToGrid w:val="0"/>
        <w:spacing w:line="400" w:lineRule="exact"/>
        <w:ind w:leftChars="300" w:left="1280" w:hangingChars="200" w:hanging="560"/>
        <w:jc w:val="both"/>
        <w:rPr>
          <w:rFonts w:ascii="微軟正黑體" w:eastAsia="微軟正黑體" w:hAnsi="微軟正黑體"/>
          <w:color w:val="000000" w:themeColor="text1"/>
          <w:sz w:val="28"/>
          <w:szCs w:val="28"/>
        </w:rPr>
      </w:pPr>
      <w:r w:rsidRPr="000451E8">
        <w:rPr>
          <w:rFonts w:ascii="微軟正黑體" w:eastAsia="微軟正黑體" w:hAnsi="微軟正黑體" w:hint="eastAsia"/>
          <w:color w:val="000000" w:themeColor="text1"/>
          <w:sz w:val="28"/>
          <w:szCs w:val="28"/>
        </w:rPr>
        <w:t>答：</w:t>
      </w:r>
      <w:r w:rsidRPr="000451E8">
        <w:rPr>
          <w:rFonts w:ascii="微軟正黑體" w:eastAsia="微軟正黑體" w:hAnsi="微軟正黑體" w:cs="標楷體" w:hint="eastAsia"/>
          <w:color w:val="000000" w:themeColor="text1"/>
          <w:kern w:val="0"/>
          <w:sz w:val="28"/>
          <w:szCs w:val="28"/>
          <w:lang w:val="zh-TW"/>
        </w:rPr>
        <w:t>準用本公司證券經紀商受託買賣預收款券作業應行注意事項，且</w:t>
      </w:r>
      <w:r w:rsidRPr="000451E8">
        <w:rPr>
          <w:rFonts w:ascii="微軟正黑體" w:eastAsia="微軟正黑體" w:hAnsi="微軟正黑體"/>
          <w:color w:val="000000" w:themeColor="text1"/>
          <w:sz w:val="28"/>
          <w:szCs w:val="28"/>
        </w:rPr>
        <w:t>預收之款券應透過交割專戶及證券集中保管事業辦理劃撥入帳及證券圈存</w:t>
      </w:r>
      <w:r w:rsidRPr="000451E8">
        <w:rPr>
          <w:rFonts w:ascii="微軟正黑體" w:eastAsia="微軟正黑體" w:hAnsi="微軟正黑體" w:hint="eastAsia"/>
          <w:color w:val="000000" w:themeColor="text1"/>
          <w:sz w:val="28"/>
          <w:szCs w:val="28"/>
        </w:rPr>
        <w:t>。</w:t>
      </w:r>
    </w:p>
    <w:p w14:paraId="51A25FFB" w14:textId="77777777" w:rsidR="005933B1" w:rsidRPr="000451E8" w:rsidRDefault="005933B1" w:rsidP="005933B1">
      <w:pPr>
        <w:numPr>
          <w:ilvl w:val="0"/>
          <w:numId w:val="1"/>
        </w:numPr>
        <w:adjustRightInd w:val="0"/>
        <w:snapToGrid w:val="0"/>
        <w:spacing w:beforeLines="50" w:before="180" w:line="400" w:lineRule="exact"/>
        <w:jc w:val="both"/>
        <w:rPr>
          <w:rFonts w:ascii="微軟正黑體" w:eastAsia="微軟正黑體" w:hAnsi="微軟正黑體"/>
          <w:color w:val="000000" w:themeColor="text1"/>
          <w:sz w:val="28"/>
          <w:szCs w:val="28"/>
        </w:rPr>
      </w:pPr>
      <w:r w:rsidRPr="000451E8">
        <w:rPr>
          <w:rFonts w:ascii="微軟正黑體" w:eastAsia="微軟正黑體" w:hAnsi="微軟正黑體" w:hint="eastAsia"/>
          <w:color w:val="000000" w:themeColor="text1"/>
          <w:sz w:val="28"/>
          <w:szCs w:val="28"/>
        </w:rPr>
        <w:t>投資人向證券商辦理違約結案後，委由代理人下單是否適用</w:t>
      </w:r>
      <w:r>
        <w:rPr>
          <w:rFonts w:ascii="微軟正黑體" w:eastAsia="微軟正黑體" w:hAnsi="微軟正黑體" w:hint="eastAsia"/>
          <w:color w:val="000000" w:themeColor="text1"/>
          <w:sz w:val="28"/>
          <w:szCs w:val="28"/>
        </w:rPr>
        <w:t>預收新制</w:t>
      </w:r>
      <w:r w:rsidRPr="000451E8">
        <w:rPr>
          <w:rFonts w:ascii="微軟正黑體" w:eastAsia="微軟正黑體" w:hAnsi="微軟正黑體" w:hint="eastAsia"/>
          <w:color w:val="000000" w:themeColor="text1"/>
          <w:sz w:val="28"/>
          <w:szCs w:val="28"/>
        </w:rPr>
        <w:t>?</w:t>
      </w:r>
    </w:p>
    <w:p w14:paraId="5D48F1A1" w14:textId="77777777" w:rsidR="005933B1" w:rsidRDefault="005933B1" w:rsidP="005933B1">
      <w:pPr>
        <w:adjustRightInd w:val="0"/>
        <w:snapToGrid w:val="0"/>
        <w:spacing w:line="400" w:lineRule="exact"/>
        <w:ind w:leftChars="300" w:left="1280" w:hangingChars="200" w:hanging="560"/>
        <w:jc w:val="both"/>
        <w:rPr>
          <w:rFonts w:ascii="微軟正黑體" w:eastAsia="微軟正黑體" w:hAnsi="微軟正黑體"/>
          <w:color w:val="000000" w:themeColor="text1"/>
          <w:sz w:val="28"/>
          <w:szCs w:val="28"/>
        </w:rPr>
      </w:pPr>
      <w:r w:rsidRPr="000451E8">
        <w:rPr>
          <w:rFonts w:ascii="微軟正黑體" w:eastAsia="微軟正黑體" w:hAnsi="微軟正黑體" w:hint="eastAsia"/>
          <w:color w:val="000000" w:themeColor="text1"/>
          <w:sz w:val="28"/>
          <w:szCs w:val="28"/>
        </w:rPr>
        <w:t>答：是。本措施係對違約投資人</w:t>
      </w:r>
      <w:r w:rsidRPr="000451E8">
        <w:rPr>
          <w:rFonts w:ascii="微軟正黑體" w:eastAsia="微軟正黑體" w:hAnsi="微軟正黑體"/>
          <w:color w:val="000000" w:themeColor="text1"/>
          <w:sz w:val="28"/>
          <w:szCs w:val="28"/>
        </w:rPr>
        <w:t>ID</w:t>
      </w:r>
      <w:r w:rsidRPr="000451E8">
        <w:rPr>
          <w:rFonts w:ascii="微軟正黑體" w:eastAsia="微軟正黑體" w:hAnsi="微軟正黑體" w:hint="eastAsia"/>
          <w:color w:val="000000" w:themeColor="text1"/>
          <w:sz w:val="28"/>
          <w:szCs w:val="28"/>
        </w:rPr>
        <w:t>及交易帳號進行管控，故投資人違約結案後委由代理人下單，仍須預收。</w:t>
      </w:r>
    </w:p>
    <w:p w14:paraId="13C91842" w14:textId="390D4879" w:rsidR="005A4A56" w:rsidRPr="000451E8" w:rsidRDefault="00227B1B" w:rsidP="000451E8">
      <w:pPr>
        <w:numPr>
          <w:ilvl w:val="0"/>
          <w:numId w:val="1"/>
        </w:numPr>
        <w:adjustRightInd w:val="0"/>
        <w:snapToGrid w:val="0"/>
        <w:spacing w:beforeLines="50" w:before="180" w:line="400" w:lineRule="exact"/>
        <w:jc w:val="both"/>
        <w:rPr>
          <w:rFonts w:ascii="微軟正黑體" w:eastAsia="微軟正黑體" w:hAnsi="微軟正黑體"/>
          <w:color w:val="000000" w:themeColor="text1"/>
          <w:sz w:val="28"/>
          <w:szCs w:val="28"/>
        </w:rPr>
      </w:pPr>
      <w:r w:rsidRPr="000451E8">
        <w:rPr>
          <w:rFonts w:ascii="微軟正黑體" w:eastAsia="微軟正黑體" w:hAnsi="微軟正黑體" w:hint="eastAsia"/>
          <w:color w:val="000000" w:themeColor="text1"/>
          <w:sz w:val="28"/>
          <w:szCs w:val="28"/>
        </w:rPr>
        <w:t>如何計算</w:t>
      </w:r>
      <w:r w:rsidR="005A4A56" w:rsidRPr="000451E8">
        <w:rPr>
          <w:rFonts w:ascii="微軟正黑體" w:eastAsia="微軟正黑體" w:hAnsi="微軟正黑體" w:hint="eastAsia"/>
          <w:color w:val="000000" w:themeColor="text1"/>
          <w:sz w:val="28"/>
          <w:szCs w:val="28"/>
        </w:rPr>
        <w:t>投資人違約次數?</w:t>
      </w:r>
    </w:p>
    <w:p w14:paraId="2CE4DBB0" w14:textId="71C6F964" w:rsidR="00A8621E" w:rsidRPr="00F939C5" w:rsidRDefault="005A4A56" w:rsidP="00A8621E">
      <w:pPr>
        <w:adjustRightInd w:val="0"/>
        <w:snapToGrid w:val="0"/>
        <w:spacing w:line="400" w:lineRule="exact"/>
        <w:ind w:leftChars="300" w:left="1280" w:hangingChars="200" w:hanging="560"/>
        <w:jc w:val="both"/>
        <w:rPr>
          <w:rFonts w:ascii="微軟正黑體" w:eastAsia="微軟正黑體" w:hAnsi="微軟正黑體"/>
          <w:color w:val="000000" w:themeColor="text1"/>
          <w:sz w:val="28"/>
          <w:szCs w:val="28"/>
        </w:rPr>
      </w:pPr>
      <w:r w:rsidRPr="000451E8">
        <w:rPr>
          <w:rFonts w:ascii="微軟正黑體" w:eastAsia="微軟正黑體" w:hAnsi="微軟正黑體" w:hint="eastAsia"/>
          <w:color w:val="000000" w:themeColor="text1"/>
          <w:sz w:val="28"/>
          <w:szCs w:val="28"/>
        </w:rPr>
        <w:t>答：</w:t>
      </w:r>
      <w:r w:rsidRPr="00A8621E">
        <w:rPr>
          <w:rFonts w:ascii="微軟正黑體" w:eastAsia="微軟正黑體" w:hAnsi="微軟正黑體" w:hint="eastAsia"/>
          <w:color w:val="000000" w:themeColor="text1"/>
          <w:sz w:val="28"/>
          <w:szCs w:val="28"/>
        </w:rPr>
        <w:t>投資人在同一證券商或不同證券商違約，若屬同一交割期之違約</w:t>
      </w:r>
      <w:r w:rsidR="00FC16D6">
        <w:rPr>
          <w:rFonts w:ascii="微軟正黑體" w:eastAsia="微軟正黑體" w:hAnsi="微軟正黑體" w:hint="eastAsia"/>
          <w:color w:val="000000" w:themeColor="text1"/>
          <w:sz w:val="28"/>
          <w:szCs w:val="28"/>
        </w:rPr>
        <w:t>(</w:t>
      </w:r>
      <w:r w:rsidRPr="00A8621E">
        <w:rPr>
          <w:rFonts w:ascii="微軟正黑體" w:eastAsia="微軟正黑體" w:hAnsi="微軟正黑體" w:hint="eastAsia"/>
          <w:color w:val="000000" w:themeColor="text1"/>
          <w:sz w:val="28"/>
          <w:szCs w:val="28"/>
        </w:rPr>
        <w:t>違約</w:t>
      </w:r>
      <w:r w:rsidRPr="00F939C5">
        <w:rPr>
          <w:rFonts w:ascii="微軟正黑體" w:eastAsia="微軟正黑體" w:hAnsi="微軟正黑體" w:hint="eastAsia"/>
          <w:color w:val="000000" w:themeColor="text1"/>
          <w:sz w:val="28"/>
          <w:szCs w:val="28"/>
        </w:rPr>
        <w:t>申報日</w:t>
      </w:r>
      <w:r w:rsidR="00FC16D6" w:rsidRPr="00F939C5">
        <w:rPr>
          <w:rFonts w:ascii="微軟正黑體" w:eastAsia="微軟正黑體" w:hAnsi="微軟正黑體" w:hint="eastAsia"/>
          <w:color w:val="000000" w:themeColor="text1"/>
          <w:sz w:val="28"/>
          <w:szCs w:val="28"/>
        </w:rPr>
        <w:t>：</w:t>
      </w:r>
      <w:r w:rsidR="004C57DF" w:rsidRPr="00F939C5">
        <w:rPr>
          <w:rFonts w:ascii="微軟正黑體" w:eastAsia="微軟正黑體" w:hAnsi="微軟正黑體" w:hint="eastAsia"/>
          <w:color w:val="000000" w:themeColor="text1"/>
          <w:sz w:val="28"/>
          <w:szCs w:val="28"/>
        </w:rPr>
        <w:t>F</w:t>
      </w:r>
      <w:r w:rsidR="00FC16D6" w:rsidRPr="00F939C5">
        <w:rPr>
          <w:rFonts w:ascii="微軟正黑體" w:eastAsia="微軟正黑體" w:hAnsi="微軟正黑體" w:hint="eastAsia"/>
          <w:color w:val="000000" w:themeColor="text1"/>
          <w:sz w:val="28"/>
          <w:szCs w:val="28"/>
        </w:rPr>
        <w:t>日、F+1日、</w:t>
      </w:r>
      <w:r w:rsidR="004C57DF" w:rsidRPr="00F939C5">
        <w:rPr>
          <w:rFonts w:ascii="微軟正黑體" w:eastAsia="微軟正黑體" w:hAnsi="微軟正黑體" w:hint="eastAsia"/>
          <w:color w:val="000000" w:themeColor="text1"/>
          <w:sz w:val="28"/>
          <w:szCs w:val="28"/>
        </w:rPr>
        <w:t>F</w:t>
      </w:r>
      <w:r w:rsidR="00A8621E" w:rsidRPr="00F939C5">
        <w:rPr>
          <w:rFonts w:ascii="微軟正黑體" w:eastAsia="微軟正黑體" w:hAnsi="微軟正黑體"/>
          <w:color w:val="000000" w:themeColor="text1"/>
          <w:sz w:val="28"/>
          <w:szCs w:val="28"/>
        </w:rPr>
        <w:t>+</w:t>
      </w:r>
      <w:r w:rsidR="00A8621E" w:rsidRPr="00F939C5">
        <w:rPr>
          <w:rFonts w:ascii="微軟正黑體" w:eastAsia="微軟正黑體" w:hAnsi="微軟正黑體" w:hint="eastAsia"/>
          <w:color w:val="000000" w:themeColor="text1"/>
          <w:sz w:val="28"/>
          <w:szCs w:val="28"/>
        </w:rPr>
        <w:t>2日</w:t>
      </w:r>
      <w:r w:rsidR="00842A68" w:rsidRPr="00F939C5">
        <w:rPr>
          <w:rFonts w:ascii="微軟正黑體" w:eastAsia="微軟正黑體" w:hAnsi="微軟正黑體" w:hint="eastAsia"/>
          <w:color w:val="000000" w:themeColor="text1"/>
          <w:sz w:val="28"/>
          <w:szCs w:val="28"/>
        </w:rPr>
        <w:t>）</w:t>
      </w:r>
      <w:r w:rsidR="00A05FA3" w:rsidRPr="00F939C5">
        <w:rPr>
          <w:rFonts w:ascii="微軟正黑體" w:eastAsia="微軟正黑體" w:hAnsi="微軟正黑體" w:hint="eastAsia"/>
          <w:color w:val="000000" w:themeColor="text1"/>
          <w:sz w:val="28"/>
          <w:szCs w:val="28"/>
        </w:rPr>
        <w:t>視</w:t>
      </w:r>
      <w:r w:rsidR="00227B1B" w:rsidRPr="00F939C5">
        <w:rPr>
          <w:rFonts w:ascii="微軟正黑體" w:eastAsia="微軟正黑體" w:hAnsi="微軟正黑體" w:hint="eastAsia"/>
          <w:color w:val="000000" w:themeColor="text1"/>
          <w:sz w:val="28"/>
          <w:szCs w:val="28"/>
        </w:rPr>
        <w:t>為</w:t>
      </w:r>
      <w:r w:rsidR="00A05FA3" w:rsidRPr="00F939C5">
        <w:rPr>
          <w:rFonts w:ascii="微軟正黑體" w:eastAsia="微軟正黑體" w:hAnsi="微軟正黑體" w:hint="eastAsia"/>
          <w:color w:val="000000" w:themeColor="text1"/>
          <w:sz w:val="28"/>
          <w:szCs w:val="28"/>
        </w:rPr>
        <w:t>同一次違約</w:t>
      </w:r>
      <w:r w:rsidR="00073E00" w:rsidRPr="00F939C5">
        <w:rPr>
          <w:rFonts w:ascii="微軟正黑體" w:eastAsia="微軟正黑體" w:hAnsi="微軟正黑體" w:hint="eastAsia"/>
          <w:color w:val="000000" w:themeColor="text1"/>
          <w:sz w:val="28"/>
          <w:szCs w:val="28"/>
        </w:rPr>
        <w:t>，無須重複計算</w:t>
      </w:r>
      <w:r w:rsidRPr="00F939C5">
        <w:rPr>
          <w:rFonts w:ascii="微軟正黑體" w:eastAsia="微軟正黑體" w:hAnsi="微軟正黑體" w:hint="eastAsia"/>
          <w:color w:val="000000" w:themeColor="text1"/>
          <w:sz w:val="28"/>
          <w:szCs w:val="28"/>
        </w:rPr>
        <w:t>。</w:t>
      </w:r>
      <w:r w:rsidR="00073E00" w:rsidRPr="00F939C5">
        <w:rPr>
          <w:rFonts w:ascii="微軟正黑體" w:eastAsia="微軟正黑體" w:hAnsi="微軟正黑體" w:hint="eastAsia"/>
          <w:color w:val="000000" w:themeColor="text1"/>
          <w:sz w:val="28"/>
          <w:szCs w:val="28"/>
        </w:rPr>
        <w:t>新制</w:t>
      </w:r>
      <w:r w:rsidR="00A8621E" w:rsidRPr="00F939C5">
        <w:rPr>
          <w:rFonts w:ascii="微軟正黑體" w:eastAsia="微軟正黑體" w:hAnsi="微軟正黑體" w:hint="eastAsia"/>
          <w:color w:val="000000" w:themeColor="text1"/>
          <w:sz w:val="28"/>
          <w:szCs w:val="28"/>
        </w:rPr>
        <w:t>違約次數係自116/4/1起開始計算</w:t>
      </w:r>
      <w:r w:rsidR="00BF6300" w:rsidRPr="00F939C5">
        <w:rPr>
          <w:rFonts w:ascii="微軟正黑體" w:eastAsia="微軟正黑體" w:hAnsi="微軟正黑體" w:hint="eastAsia"/>
          <w:color w:val="000000" w:themeColor="text1"/>
          <w:sz w:val="28"/>
          <w:szCs w:val="28"/>
        </w:rPr>
        <w:t>，僅適用普通違約。</w:t>
      </w:r>
    </w:p>
    <w:p w14:paraId="5A8D5391" w14:textId="0609F705" w:rsidR="00EE612F" w:rsidRPr="00901A13" w:rsidRDefault="00EE612F" w:rsidP="00915B39">
      <w:pPr>
        <w:numPr>
          <w:ilvl w:val="0"/>
          <w:numId w:val="1"/>
        </w:numPr>
        <w:adjustRightInd w:val="0"/>
        <w:snapToGrid w:val="0"/>
        <w:spacing w:beforeLines="50" w:before="180" w:line="400" w:lineRule="exact"/>
        <w:jc w:val="both"/>
        <w:rPr>
          <w:rFonts w:ascii="微軟正黑體" w:eastAsia="微軟正黑體" w:hAnsi="微軟正黑體"/>
          <w:color w:val="000000" w:themeColor="text1"/>
          <w:sz w:val="28"/>
          <w:szCs w:val="28"/>
        </w:rPr>
      </w:pPr>
      <w:r w:rsidRPr="004C57DF">
        <w:rPr>
          <w:rFonts w:ascii="微軟正黑體" w:eastAsia="微軟正黑體" w:hAnsi="微軟正黑體" w:hint="eastAsia"/>
          <w:color w:val="000000" w:themeColor="text1"/>
          <w:sz w:val="28"/>
          <w:szCs w:val="28"/>
        </w:rPr>
        <w:t>證</w:t>
      </w:r>
      <w:r w:rsidRPr="00901A13">
        <w:rPr>
          <w:rFonts w:ascii="微軟正黑體" w:eastAsia="微軟正黑體" w:hAnsi="微軟正黑體" w:hint="eastAsia"/>
          <w:color w:val="000000" w:themeColor="text1"/>
          <w:sz w:val="28"/>
          <w:szCs w:val="28"/>
        </w:rPr>
        <w:t>券商</w:t>
      </w:r>
      <w:r w:rsidR="007332EF" w:rsidRPr="00901A13">
        <w:rPr>
          <w:rFonts w:ascii="微軟正黑體" w:eastAsia="微軟正黑體" w:hAnsi="微軟正黑體" w:hint="eastAsia"/>
          <w:color w:val="000000" w:themeColor="text1"/>
          <w:sz w:val="28"/>
          <w:szCs w:val="28"/>
        </w:rPr>
        <w:t>於</w:t>
      </w:r>
      <w:r w:rsidRPr="00901A13">
        <w:rPr>
          <w:rFonts w:ascii="微軟正黑體" w:eastAsia="微軟正黑體" w:hAnsi="微軟正黑體" w:hint="eastAsia"/>
          <w:color w:val="000000" w:themeColor="text1"/>
          <w:sz w:val="28"/>
          <w:szCs w:val="28"/>
        </w:rPr>
        <w:t>116</w:t>
      </w:r>
      <w:r w:rsidR="00915B39" w:rsidRPr="00901A13">
        <w:rPr>
          <w:rFonts w:ascii="微軟正黑體" w:eastAsia="微軟正黑體" w:hAnsi="微軟正黑體" w:hint="eastAsia"/>
          <w:color w:val="000000" w:themeColor="text1"/>
          <w:sz w:val="28"/>
          <w:szCs w:val="28"/>
        </w:rPr>
        <w:t>/3/1</w:t>
      </w:r>
      <w:r w:rsidRPr="00901A13">
        <w:rPr>
          <w:rFonts w:ascii="微軟正黑體" w:eastAsia="微軟正黑體" w:hAnsi="微軟正黑體" w:hint="eastAsia"/>
          <w:color w:val="000000" w:themeColor="text1"/>
          <w:sz w:val="28"/>
          <w:szCs w:val="28"/>
        </w:rPr>
        <w:t>申報投資人第2次違約並於當日申報結案，</w:t>
      </w:r>
      <w:r w:rsidR="00BC1132" w:rsidRPr="00901A13">
        <w:rPr>
          <w:rFonts w:ascii="微軟正黑體" w:eastAsia="微軟正黑體" w:hAnsi="微軟正黑體" w:hint="eastAsia"/>
          <w:color w:val="000000" w:themeColor="text1"/>
          <w:sz w:val="28"/>
          <w:szCs w:val="28"/>
        </w:rPr>
        <w:t>對</w:t>
      </w:r>
      <w:r w:rsidRPr="00901A13">
        <w:rPr>
          <w:rFonts w:ascii="微軟正黑體" w:eastAsia="微軟正黑體" w:hAnsi="微軟正黑體" w:hint="eastAsia"/>
          <w:color w:val="000000" w:themeColor="text1"/>
          <w:sz w:val="28"/>
          <w:szCs w:val="28"/>
        </w:rPr>
        <w:t>該投資人</w:t>
      </w:r>
      <w:r w:rsidR="007332EF" w:rsidRPr="00901A13">
        <w:rPr>
          <w:rFonts w:ascii="微軟正黑體" w:eastAsia="微軟正黑體" w:hAnsi="微軟正黑體" w:hint="eastAsia"/>
          <w:color w:val="000000" w:themeColor="text1"/>
          <w:sz w:val="28"/>
          <w:szCs w:val="28"/>
        </w:rPr>
        <w:t>之</w:t>
      </w:r>
      <w:r w:rsidRPr="00901A13">
        <w:rPr>
          <w:rFonts w:ascii="微軟正黑體" w:eastAsia="微軟正黑體" w:hAnsi="微軟正黑體" w:hint="eastAsia"/>
          <w:color w:val="000000" w:themeColor="text1"/>
          <w:sz w:val="28"/>
          <w:szCs w:val="28"/>
        </w:rPr>
        <w:t>交易應如何</w:t>
      </w:r>
      <w:r w:rsidR="007332EF" w:rsidRPr="00901A13">
        <w:rPr>
          <w:rFonts w:ascii="微軟正黑體" w:eastAsia="微軟正黑體" w:hAnsi="微軟正黑體" w:hint="eastAsia"/>
          <w:color w:val="000000" w:themeColor="text1"/>
          <w:sz w:val="28"/>
          <w:szCs w:val="28"/>
        </w:rPr>
        <w:t>辦理</w:t>
      </w:r>
      <w:r w:rsidRPr="00901A13">
        <w:rPr>
          <w:rFonts w:ascii="微軟正黑體" w:eastAsia="微軟正黑體" w:hAnsi="微軟正黑體" w:hint="eastAsia"/>
          <w:color w:val="000000" w:themeColor="text1"/>
          <w:sz w:val="28"/>
          <w:szCs w:val="28"/>
        </w:rPr>
        <w:t>預收?</w:t>
      </w:r>
      <w:r w:rsidRPr="00901A13">
        <w:rPr>
          <w:rFonts w:ascii="微軟正黑體" w:eastAsia="微軟正黑體" w:hAnsi="微軟正黑體"/>
          <w:color w:val="000000" w:themeColor="text1"/>
          <w:sz w:val="28"/>
          <w:szCs w:val="28"/>
        </w:rPr>
        <w:t xml:space="preserve"> </w:t>
      </w:r>
    </w:p>
    <w:p w14:paraId="64D4229E" w14:textId="7563DDDB" w:rsidR="007332EF" w:rsidRPr="00901A13" w:rsidRDefault="00EE612F" w:rsidP="00BF6300">
      <w:pPr>
        <w:adjustRightInd w:val="0"/>
        <w:snapToGrid w:val="0"/>
        <w:spacing w:line="400" w:lineRule="exact"/>
        <w:ind w:leftChars="300" w:left="1280" w:hangingChars="200" w:hanging="560"/>
        <w:jc w:val="both"/>
        <w:rPr>
          <w:rFonts w:ascii="微軟正黑體" w:eastAsia="微軟正黑體" w:hAnsi="微軟正黑體"/>
          <w:color w:val="000000" w:themeColor="text1"/>
          <w:sz w:val="28"/>
          <w:szCs w:val="28"/>
        </w:rPr>
      </w:pPr>
      <w:r w:rsidRPr="00901A13">
        <w:rPr>
          <w:rFonts w:ascii="微軟正黑體" w:eastAsia="微軟正黑體" w:hAnsi="微軟正黑體" w:hint="eastAsia"/>
          <w:color w:val="000000" w:themeColor="text1"/>
          <w:sz w:val="28"/>
          <w:szCs w:val="28"/>
        </w:rPr>
        <w:t>答：</w:t>
      </w:r>
      <w:r w:rsidR="00BF6300" w:rsidRPr="00901A13">
        <w:rPr>
          <w:rFonts w:ascii="微軟正黑體" w:eastAsia="微軟正黑體" w:hAnsi="微軟正黑體" w:hint="eastAsia"/>
          <w:color w:val="000000" w:themeColor="text1"/>
          <w:sz w:val="28"/>
          <w:szCs w:val="28"/>
        </w:rPr>
        <w:t>舊制</w:t>
      </w:r>
      <w:r w:rsidR="007332EF" w:rsidRPr="00901A13">
        <w:rPr>
          <w:rFonts w:ascii="微軟正黑體" w:eastAsia="微軟正黑體" w:hAnsi="微軟正黑體" w:hint="eastAsia"/>
          <w:color w:val="000000" w:themeColor="text1"/>
          <w:sz w:val="28"/>
          <w:szCs w:val="28"/>
        </w:rPr>
        <w:t>違約管理措施</w:t>
      </w:r>
      <w:r w:rsidR="00BF6300" w:rsidRPr="00901A13">
        <w:rPr>
          <w:rFonts w:ascii="微軟正黑體" w:eastAsia="微軟正黑體" w:hAnsi="微軟正黑體" w:hint="eastAsia"/>
          <w:color w:val="000000" w:themeColor="text1"/>
          <w:sz w:val="28"/>
          <w:szCs w:val="28"/>
        </w:rPr>
        <w:t>僅適用至116/3/31</w:t>
      </w:r>
      <w:r w:rsidR="007332EF" w:rsidRPr="00901A13">
        <w:rPr>
          <w:rFonts w:ascii="微軟正黑體" w:eastAsia="微軟正黑體" w:hAnsi="微軟正黑體" w:hint="eastAsia"/>
          <w:color w:val="000000" w:themeColor="text1"/>
          <w:sz w:val="28"/>
          <w:szCs w:val="28"/>
        </w:rPr>
        <w:t>，</w:t>
      </w:r>
      <w:r w:rsidR="00066557" w:rsidRPr="00901A13">
        <w:rPr>
          <w:rFonts w:ascii="微軟正黑體" w:eastAsia="微軟正黑體" w:hAnsi="微軟正黑體" w:hint="eastAsia"/>
          <w:color w:val="000000" w:themeColor="text1"/>
          <w:sz w:val="28"/>
          <w:szCs w:val="28"/>
        </w:rPr>
        <w:t>投資人於116/3/31前因舊制而進行預收但尚未期滿者，自</w:t>
      </w:r>
      <w:r w:rsidR="007332EF" w:rsidRPr="00901A13">
        <w:rPr>
          <w:rFonts w:ascii="微軟正黑體" w:eastAsia="微軟正黑體" w:hAnsi="微軟正黑體" w:hint="eastAsia"/>
          <w:color w:val="000000" w:themeColor="text1"/>
          <w:sz w:val="28"/>
          <w:szCs w:val="28"/>
        </w:rPr>
        <w:t>116/4/1起</w:t>
      </w:r>
      <w:r w:rsidR="00066557" w:rsidRPr="00901A13">
        <w:rPr>
          <w:rFonts w:ascii="微軟正黑體" w:eastAsia="微軟正黑體" w:hAnsi="微軟正黑體" w:hint="eastAsia"/>
          <w:color w:val="000000" w:themeColor="text1"/>
          <w:sz w:val="28"/>
          <w:szCs w:val="28"/>
        </w:rPr>
        <w:t>因</w:t>
      </w:r>
      <w:r w:rsidR="007332EF" w:rsidRPr="00901A13">
        <w:rPr>
          <w:rFonts w:ascii="微軟正黑體" w:eastAsia="微軟正黑體" w:hAnsi="微軟正黑體" w:hint="eastAsia"/>
          <w:color w:val="000000" w:themeColor="text1"/>
          <w:sz w:val="28"/>
          <w:szCs w:val="28"/>
        </w:rPr>
        <w:t>實施</w:t>
      </w:r>
      <w:r w:rsidR="00066557" w:rsidRPr="00901A13">
        <w:rPr>
          <w:rFonts w:ascii="微軟正黑體" w:eastAsia="微軟正黑體" w:hAnsi="微軟正黑體" w:hint="eastAsia"/>
          <w:color w:val="000000" w:themeColor="text1"/>
          <w:sz w:val="28"/>
          <w:szCs w:val="28"/>
        </w:rPr>
        <w:t>新制，而</w:t>
      </w:r>
      <w:r w:rsidR="007332EF" w:rsidRPr="00901A13">
        <w:rPr>
          <w:rFonts w:ascii="微軟正黑體" w:eastAsia="微軟正黑體" w:hAnsi="微軟正黑體" w:hint="eastAsia"/>
          <w:color w:val="000000" w:themeColor="text1"/>
          <w:sz w:val="28"/>
          <w:szCs w:val="28"/>
        </w:rPr>
        <w:t>不再預收。</w:t>
      </w:r>
    </w:p>
    <w:p w14:paraId="0BC19300" w14:textId="77777777" w:rsidR="00876948" w:rsidRDefault="00876948" w:rsidP="005A57FD">
      <w:pPr>
        <w:adjustRightInd w:val="0"/>
        <w:snapToGrid w:val="0"/>
        <w:spacing w:line="400" w:lineRule="exact"/>
        <w:ind w:leftChars="550" w:left="1320"/>
        <w:jc w:val="both"/>
        <w:rPr>
          <w:rFonts w:ascii="微軟正黑體" w:eastAsia="微軟正黑體" w:hAnsi="微軟正黑體"/>
          <w:color w:val="000000" w:themeColor="text1"/>
          <w:sz w:val="28"/>
          <w:szCs w:val="28"/>
        </w:rPr>
      </w:pPr>
    </w:p>
    <w:p w14:paraId="24417B71" w14:textId="77777777" w:rsidR="00876948" w:rsidRPr="00BC1132" w:rsidRDefault="00876948" w:rsidP="005A57FD">
      <w:pPr>
        <w:adjustRightInd w:val="0"/>
        <w:snapToGrid w:val="0"/>
        <w:spacing w:line="400" w:lineRule="exact"/>
        <w:ind w:leftChars="550" w:left="1320"/>
        <w:jc w:val="both"/>
        <w:rPr>
          <w:rFonts w:ascii="微軟正黑體" w:eastAsia="微軟正黑體" w:hAnsi="微軟正黑體"/>
          <w:color w:val="000000" w:themeColor="text1"/>
          <w:sz w:val="28"/>
          <w:szCs w:val="28"/>
        </w:rPr>
      </w:pPr>
    </w:p>
    <w:p w14:paraId="1DA61D02" w14:textId="7D2688CF" w:rsidR="00C4368E" w:rsidRDefault="00D57E07" w:rsidP="000B4158">
      <w:pPr>
        <w:numPr>
          <w:ilvl w:val="0"/>
          <w:numId w:val="1"/>
        </w:numPr>
        <w:adjustRightInd w:val="0"/>
        <w:snapToGrid w:val="0"/>
        <w:spacing w:beforeLines="50" w:before="180" w:line="400" w:lineRule="exact"/>
        <w:jc w:val="both"/>
        <w:rPr>
          <w:rFonts w:ascii="微軟正黑體" w:eastAsia="微軟正黑體" w:hAnsi="微軟正黑體"/>
          <w:color w:val="000000" w:themeColor="text1"/>
          <w:sz w:val="28"/>
          <w:szCs w:val="28"/>
        </w:rPr>
      </w:pPr>
      <w:r>
        <w:rPr>
          <w:rFonts w:ascii="微軟正黑體" w:eastAsia="微軟正黑體" w:hAnsi="微軟正黑體"/>
          <w:noProof/>
          <w:color w:val="000000" w:themeColor="text1"/>
          <w:sz w:val="28"/>
          <w:szCs w:val="28"/>
        </w:rPr>
        <w:lastRenderedPageBreak/>
        <w:drawing>
          <wp:anchor distT="0" distB="0" distL="114300" distR="114300" simplePos="0" relativeHeight="251659264" behindDoc="1" locked="0" layoutInCell="1" allowOverlap="1" wp14:anchorId="57E27A00" wp14:editId="2D7D4F41">
            <wp:simplePos x="0" y="0"/>
            <wp:positionH relativeFrom="column">
              <wp:posOffset>103317</wp:posOffset>
            </wp:positionH>
            <wp:positionV relativeFrom="paragraph">
              <wp:posOffset>3937000</wp:posOffset>
            </wp:positionV>
            <wp:extent cx="6098400" cy="3430800"/>
            <wp:effectExtent l="0" t="0" r="0" b="0"/>
            <wp:wrapTight wrapText="bothSides">
              <wp:wrapPolygon edited="0">
                <wp:start x="0" y="0"/>
                <wp:lineTo x="0" y="21472"/>
                <wp:lineTo x="21526" y="21472"/>
                <wp:lineTo x="21526" y="0"/>
                <wp:lineTo x="0" y="0"/>
              </wp:wrapPolygon>
            </wp:wrapTight>
            <wp:docPr id="54628116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8400" cy="34308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11975A39" wp14:editId="7071EC47">
            <wp:simplePos x="0" y="0"/>
            <wp:positionH relativeFrom="column">
              <wp:posOffset>12700</wp:posOffset>
            </wp:positionH>
            <wp:positionV relativeFrom="paragraph">
              <wp:posOffset>406400</wp:posOffset>
            </wp:positionV>
            <wp:extent cx="6188400" cy="3481200"/>
            <wp:effectExtent l="0" t="0" r="3175" b="5080"/>
            <wp:wrapTight wrapText="bothSides">
              <wp:wrapPolygon edited="0">
                <wp:start x="0" y="0"/>
                <wp:lineTo x="0" y="21513"/>
                <wp:lineTo x="21545" y="21513"/>
                <wp:lineTo x="21545" y="0"/>
                <wp:lineTo x="0" y="0"/>
              </wp:wrapPolygon>
            </wp:wrapTight>
            <wp:docPr id="527859765" name="圖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59765"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188400" cy="3481200"/>
                    </a:xfrm>
                    <a:prstGeom prst="rect">
                      <a:avLst/>
                    </a:prstGeom>
                  </pic:spPr>
                </pic:pic>
              </a:graphicData>
            </a:graphic>
            <wp14:sizeRelH relativeFrom="margin">
              <wp14:pctWidth>0</wp14:pctWidth>
            </wp14:sizeRelH>
            <wp14:sizeRelV relativeFrom="margin">
              <wp14:pctHeight>0</wp14:pctHeight>
            </wp14:sizeRelV>
          </wp:anchor>
        </w:drawing>
      </w:r>
      <w:r w:rsidR="000B4158" w:rsidRPr="000B4158">
        <w:rPr>
          <w:rFonts w:ascii="微軟正黑體" w:eastAsia="微軟正黑體" w:hAnsi="微軟正黑體" w:hint="eastAsia"/>
          <w:color w:val="000000" w:themeColor="text1"/>
          <w:sz w:val="28"/>
          <w:szCs w:val="28"/>
        </w:rPr>
        <w:t>預收態樣</w:t>
      </w:r>
      <w:r w:rsidR="006C791F">
        <w:rPr>
          <w:rFonts w:ascii="微軟正黑體" w:eastAsia="微軟正黑體" w:hAnsi="微軟正黑體" w:hint="eastAsia"/>
          <w:color w:val="000000" w:themeColor="text1"/>
          <w:sz w:val="28"/>
          <w:szCs w:val="28"/>
        </w:rPr>
        <w:t>請參</w:t>
      </w:r>
      <w:r w:rsidR="000B4158" w:rsidRPr="000B4158">
        <w:rPr>
          <w:rFonts w:ascii="微軟正黑體" w:eastAsia="微軟正黑體" w:hAnsi="微軟正黑體" w:hint="eastAsia"/>
          <w:color w:val="000000" w:themeColor="text1"/>
          <w:sz w:val="28"/>
          <w:szCs w:val="28"/>
        </w:rPr>
        <w:t>下列圖示</w:t>
      </w:r>
      <w:r w:rsidR="008004D8">
        <w:rPr>
          <w:rFonts w:ascii="微軟正黑體" w:eastAsia="微軟正黑體" w:hAnsi="微軟正黑體" w:hint="eastAsia"/>
          <w:color w:val="000000" w:themeColor="text1"/>
          <w:sz w:val="28"/>
          <w:szCs w:val="28"/>
        </w:rPr>
        <w:t>：</w:t>
      </w:r>
    </w:p>
    <w:p w14:paraId="1F8B289A" w14:textId="25A37088" w:rsidR="00712D98" w:rsidRDefault="00712D98" w:rsidP="003141F7">
      <w:pPr>
        <w:pStyle w:val="a3"/>
        <w:adjustRightInd w:val="0"/>
        <w:snapToGrid w:val="0"/>
        <w:spacing w:beforeLines="50" w:before="180" w:line="400" w:lineRule="exact"/>
        <w:ind w:leftChars="0" w:left="720"/>
        <w:jc w:val="both"/>
        <w:rPr>
          <w:rFonts w:ascii="微軟正黑體" w:eastAsia="微軟正黑體" w:hAnsi="微軟正黑體"/>
          <w:color w:val="000000" w:themeColor="text1"/>
          <w:sz w:val="28"/>
          <w:szCs w:val="28"/>
        </w:rPr>
      </w:pPr>
    </w:p>
    <w:p w14:paraId="01A42025" w14:textId="77777777" w:rsidR="00D57E07" w:rsidRDefault="00D57E07" w:rsidP="003141F7">
      <w:pPr>
        <w:pStyle w:val="a3"/>
        <w:adjustRightInd w:val="0"/>
        <w:snapToGrid w:val="0"/>
        <w:spacing w:beforeLines="50" w:before="180" w:line="400" w:lineRule="exact"/>
        <w:ind w:leftChars="0" w:left="720"/>
        <w:jc w:val="both"/>
        <w:rPr>
          <w:rFonts w:ascii="微軟正黑體" w:eastAsia="微軟正黑體" w:hAnsi="微軟正黑體"/>
          <w:color w:val="000000" w:themeColor="text1"/>
          <w:sz w:val="28"/>
          <w:szCs w:val="28"/>
        </w:rPr>
      </w:pPr>
    </w:p>
    <w:p w14:paraId="5179A1B6" w14:textId="77777777" w:rsidR="00D57E07" w:rsidRDefault="00D57E07" w:rsidP="003141F7">
      <w:pPr>
        <w:pStyle w:val="a3"/>
        <w:adjustRightInd w:val="0"/>
        <w:snapToGrid w:val="0"/>
        <w:spacing w:beforeLines="50" w:before="180" w:line="400" w:lineRule="exact"/>
        <w:ind w:leftChars="0" w:left="720"/>
        <w:jc w:val="both"/>
        <w:rPr>
          <w:rFonts w:ascii="微軟正黑體" w:eastAsia="微軟正黑體" w:hAnsi="微軟正黑體"/>
          <w:color w:val="000000" w:themeColor="text1"/>
          <w:sz w:val="28"/>
          <w:szCs w:val="28"/>
        </w:rPr>
      </w:pPr>
    </w:p>
    <w:p w14:paraId="507917A6" w14:textId="2EFC7CF5" w:rsidR="00D57E07" w:rsidRDefault="008004D8" w:rsidP="003141F7">
      <w:pPr>
        <w:pStyle w:val="a3"/>
        <w:adjustRightInd w:val="0"/>
        <w:snapToGrid w:val="0"/>
        <w:spacing w:beforeLines="50" w:before="180" w:line="400" w:lineRule="exact"/>
        <w:ind w:leftChars="0" w:left="720"/>
        <w:jc w:val="both"/>
        <w:rPr>
          <w:rFonts w:ascii="微軟正黑體" w:eastAsia="微軟正黑體" w:hAnsi="微軟正黑體"/>
          <w:color w:val="000000" w:themeColor="text1"/>
          <w:sz w:val="28"/>
          <w:szCs w:val="28"/>
        </w:rPr>
      </w:pPr>
      <w:r>
        <w:rPr>
          <w:rFonts w:ascii="微軟正黑體" w:eastAsia="微軟正黑體" w:hAnsi="微軟正黑體"/>
          <w:noProof/>
          <w:color w:val="000000" w:themeColor="text1"/>
          <w:sz w:val="28"/>
          <w:szCs w:val="28"/>
        </w:rPr>
        <w:lastRenderedPageBreak/>
        <w:drawing>
          <wp:anchor distT="0" distB="0" distL="114300" distR="114300" simplePos="0" relativeHeight="251660288" behindDoc="1" locked="0" layoutInCell="1" allowOverlap="1" wp14:anchorId="746BBE9B" wp14:editId="3A56C2D6">
            <wp:simplePos x="0" y="0"/>
            <wp:positionH relativeFrom="column">
              <wp:posOffset>177800</wp:posOffset>
            </wp:positionH>
            <wp:positionV relativeFrom="paragraph">
              <wp:posOffset>0</wp:posOffset>
            </wp:positionV>
            <wp:extent cx="6098400" cy="3430800"/>
            <wp:effectExtent l="0" t="0" r="0" b="0"/>
            <wp:wrapTight wrapText="bothSides">
              <wp:wrapPolygon edited="0">
                <wp:start x="0" y="0"/>
                <wp:lineTo x="0" y="21472"/>
                <wp:lineTo x="21526" y="21472"/>
                <wp:lineTo x="21526" y="0"/>
                <wp:lineTo x="0" y="0"/>
              </wp:wrapPolygon>
            </wp:wrapTight>
            <wp:docPr id="13225815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8400" cy="3430800"/>
                    </a:xfrm>
                    <a:prstGeom prst="rect">
                      <a:avLst/>
                    </a:prstGeom>
                    <a:noFill/>
                  </pic:spPr>
                </pic:pic>
              </a:graphicData>
            </a:graphic>
            <wp14:sizeRelH relativeFrom="margin">
              <wp14:pctWidth>0</wp14:pctWidth>
            </wp14:sizeRelH>
            <wp14:sizeRelV relativeFrom="margin">
              <wp14:pctHeight>0</wp14:pctHeight>
            </wp14:sizeRelV>
          </wp:anchor>
        </w:drawing>
      </w:r>
      <w:r w:rsidR="00D57E07">
        <w:rPr>
          <w:rFonts w:ascii="微軟正黑體" w:eastAsia="微軟正黑體" w:hAnsi="微軟正黑體"/>
          <w:noProof/>
          <w:color w:val="000000" w:themeColor="text1"/>
          <w:sz w:val="28"/>
          <w:szCs w:val="28"/>
        </w:rPr>
        <w:drawing>
          <wp:anchor distT="0" distB="0" distL="114300" distR="114300" simplePos="0" relativeHeight="251661312" behindDoc="1" locked="0" layoutInCell="1" allowOverlap="1" wp14:anchorId="3BE8D096" wp14:editId="3F083E9C">
            <wp:simplePos x="0" y="0"/>
            <wp:positionH relativeFrom="column">
              <wp:posOffset>107950</wp:posOffset>
            </wp:positionH>
            <wp:positionV relativeFrom="paragraph">
              <wp:posOffset>3194050</wp:posOffset>
            </wp:positionV>
            <wp:extent cx="6098400" cy="3430800"/>
            <wp:effectExtent l="0" t="0" r="0" b="0"/>
            <wp:wrapTight wrapText="bothSides">
              <wp:wrapPolygon edited="0">
                <wp:start x="0" y="0"/>
                <wp:lineTo x="0" y="21472"/>
                <wp:lineTo x="21526" y="21472"/>
                <wp:lineTo x="21526" y="0"/>
                <wp:lineTo x="0" y="0"/>
              </wp:wrapPolygon>
            </wp:wrapTight>
            <wp:docPr id="1194383262"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8400" cy="3430800"/>
                    </a:xfrm>
                    <a:prstGeom prst="rect">
                      <a:avLst/>
                    </a:prstGeom>
                    <a:noFill/>
                  </pic:spPr>
                </pic:pic>
              </a:graphicData>
            </a:graphic>
            <wp14:sizeRelH relativeFrom="margin">
              <wp14:pctWidth>0</wp14:pctWidth>
            </wp14:sizeRelH>
            <wp14:sizeRelV relativeFrom="margin">
              <wp14:pctHeight>0</wp14:pctHeight>
            </wp14:sizeRelV>
          </wp:anchor>
        </w:drawing>
      </w:r>
      <w:r w:rsidR="00D57E07">
        <w:rPr>
          <w:rFonts w:ascii="微軟正黑體" w:eastAsia="微軟正黑體" w:hAnsi="微軟正黑體"/>
          <w:noProof/>
          <w:color w:val="000000" w:themeColor="text1"/>
          <w:sz w:val="28"/>
          <w:szCs w:val="28"/>
        </w:rPr>
        <w:drawing>
          <wp:inline distT="0" distB="0" distL="0" distR="0" wp14:anchorId="52147FB9" wp14:editId="20AA443B">
            <wp:extent cx="6096635" cy="3429000"/>
            <wp:effectExtent l="0" t="0" r="0" b="0"/>
            <wp:docPr id="320933387"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sectPr w:rsidR="00D57E07" w:rsidSect="00FF4CA6">
      <w:footerReference w:type="default" r:id="rId1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F79F8" w14:textId="77777777" w:rsidR="002E0B59" w:rsidRDefault="002E0B59" w:rsidP="00C0676B">
      <w:r>
        <w:separator/>
      </w:r>
    </w:p>
  </w:endnote>
  <w:endnote w:type="continuationSeparator" w:id="0">
    <w:p w14:paraId="3F096889" w14:textId="77777777" w:rsidR="002E0B59" w:rsidRDefault="002E0B59" w:rsidP="00C06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695514"/>
      <w:docPartObj>
        <w:docPartGallery w:val="Page Numbers (Bottom of Page)"/>
        <w:docPartUnique/>
      </w:docPartObj>
    </w:sdtPr>
    <w:sdtContent>
      <w:p w14:paraId="11CA329E" w14:textId="6F754938" w:rsidR="00E10B6C" w:rsidRDefault="00E10B6C">
        <w:pPr>
          <w:pStyle w:val="a6"/>
          <w:jc w:val="center"/>
        </w:pPr>
        <w:r>
          <w:fldChar w:fldCharType="begin"/>
        </w:r>
        <w:r>
          <w:instrText>PAGE   \* MERGEFORMAT</w:instrText>
        </w:r>
        <w:r>
          <w:fldChar w:fldCharType="separate"/>
        </w:r>
        <w:r w:rsidR="00A05FA3" w:rsidRPr="00A05FA3">
          <w:rPr>
            <w:noProof/>
            <w:lang w:val="zh-TW"/>
          </w:rPr>
          <w:t>2</w:t>
        </w:r>
        <w:r>
          <w:fldChar w:fldCharType="end"/>
        </w:r>
      </w:p>
    </w:sdtContent>
  </w:sdt>
  <w:p w14:paraId="65C87E02" w14:textId="77777777" w:rsidR="000107C7" w:rsidRDefault="000107C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C7163" w14:textId="77777777" w:rsidR="002E0B59" w:rsidRDefault="002E0B59" w:rsidP="00C0676B">
      <w:r>
        <w:separator/>
      </w:r>
    </w:p>
  </w:footnote>
  <w:footnote w:type="continuationSeparator" w:id="0">
    <w:p w14:paraId="0A65ACD4" w14:textId="77777777" w:rsidR="002E0B59" w:rsidRDefault="002E0B59" w:rsidP="00C06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A5063"/>
    <w:multiLevelType w:val="hybridMultilevel"/>
    <w:tmpl w:val="B246DB0E"/>
    <w:lvl w:ilvl="0" w:tplc="22709B7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22E67C60"/>
    <w:multiLevelType w:val="hybridMultilevel"/>
    <w:tmpl w:val="F75AF64E"/>
    <w:lvl w:ilvl="0" w:tplc="3F32CA16">
      <w:start w:val="1"/>
      <w:numFmt w:val="taiwaneseCountingThousand"/>
      <w:lvlText w:val="%1、"/>
      <w:lvlJc w:val="left"/>
      <w:pPr>
        <w:ind w:left="720" w:hanging="720"/>
      </w:pPr>
      <w:rPr>
        <w:rFonts w:ascii="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D7E783F"/>
    <w:multiLevelType w:val="hybridMultilevel"/>
    <w:tmpl w:val="1250EC00"/>
    <w:lvl w:ilvl="0" w:tplc="69B24B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0460434"/>
    <w:multiLevelType w:val="hybridMultilevel"/>
    <w:tmpl w:val="6CF8E208"/>
    <w:lvl w:ilvl="0" w:tplc="3F32CA16">
      <w:start w:val="1"/>
      <w:numFmt w:val="taiwaneseCountingThousand"/>
      <w:lvlText w:val="%1、"/>
      <w:lvlJc w:val="left"/>
      <w:pPr>
        <w:ind w:left="720" w:hanging="720"/>
      </w:pPr>
      <w:rPr>
        <w:rFonts w:ascii="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6817E88"/>
    <w:multiLevelType w:val="hybridMultilevel"/>
    <w:tmpl w:val="0BC28A5E"/>
    <w:lvl w:ilvl="0" w:tplc="58A07EC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B406F29"/>
    <w:multiLevelType w:val="hybridMultilevel"/>
    <w:tmpl w:val="D77A0E40"/>
    <w:lvl w:ilvl="0" w:tplc="3F32CA16">
      <w:start w:val="1"/>
      <w:numFmt w:val="taiwaneseCountingThousand"/>
      <w:lvlText w:val="%1、"/>
      <w:lvlJc w:val="left"/>
      <w:pPr>
        <w:ind w:left="720" w:hanging="720"/>
      </w:pPr>
      <w:rPr>
        <w:rFonts w:ascii="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4270914"/>
    <w:multiLevelType w:val="hybridMultilevel"/>
    <w:tmpl w:val="212C1192"/>
    <w:lvl w:ilvl="0" w:tplc="3F32CA16">
      <w:start w:val="1"/>
      <w:numFmt w:val="taiwaneseCountingThousand"/>
      <w:lvlText w:val="%1、"/>
      <w:lvlJc w:val="left"/>
      <w:pPr>
        <w:ind w:left="720" w:hanging="720"/>
      </w:pPr>
      <w:rPr>
        <w:rFonts w:ascii="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78B1B9C"/>
    <w:multiLevelType w:val="hybridMultilevel"/>
    <w:tmpl w:val="5E2E806C"/>
    <w:lvl w:ilvl="0" w:tplc="3F32CA16">
      <w:start w:val="1"/>
      <w:numFmt w:val="taiwaneseCountingThousand"/>
      <w:lvlText w:val="%1、"/>
      <w:lvlJc w:val="left"/>
      <w:pPr>
        <w:ind w:left="720" w:hanging="720"/>
      </w:pPr>
      <w:rPr>
        <w:rFonts w:ascii="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A883935"/>
    <w:multiLevelType w:val="hybridMultilevel"/>
    <w:tmpl w:val="B56A1BF2"/>
    <w:lvl w:ilvl="0" w:tplc="E43A3A16">
      <w:start w:val="1"/>
      <w:numFmt w:val="taiwaneseCountingThousand"/>
      <w:lvlText w:val="%1、"/>
      <w:lvlJc w:val="left"/>
      <w:pPr>
        <w:ind w:left="2640" w:hanging="72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9" w15:restartNumberingAfterBreak="0">
    <w:nsid w:val="77623E60"/>
    <w:multiLevelType w:val="hybridMultilevel"/>
    <w:tmpl w:val="ABB85054"/>
    <w:lvl w:ilvl="0" w:tplc="3F32CA16">
      <w:start w:val="1"/>
      <w:numFmt w:val="taiwaneseCountingThousand"/>
      <w:lvlText w:val="%1、"/>
      <w:lvlJc w:val="left"/>
      <w:pPr>
        <w:ind w:left="720" w:hanging="720"/>
      </w:pPr>
      <w:rPr>
        <w:rFonts w:ascii="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B5E0F37"/>
    <w:multiLevelType w:val="hybridMultilevel"/>
    <w:tmpl w:val="F970E162"/>
    <w:lvl w:ilvl="0" w:tplc="134CB5D8">
      <w:start w:val="1"/>
      <w:numFmt w:val="taiwaneseCountingThousand"/>
      <w:lvlText w:val="%1、"/>
      <w:lvlJc w:val="left"/>
      <w:pPr>
        <w:ind w:left="720" w:hanging="720"/>
      </w:pPr>
      <w:rPr>
        <w:rFonts w:ascii="標楷體" w:hAnsi="標楷體" w:hint="default"/>
        <w:sz w:val="32"/>
        <w:szCs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D447EE8"/>
    <w:multiLevelType w:val="hybridMultilevel"/>
    <w:tmpl w:val="650AB024"/>
    <w:lvl w:ilvl="0" w:tplc="3F32CA16">
      <w:start w:val="1"/>
      <w:numFmt w:val="taiwaneseCountingThousand"/>
      <w:lvlText w:val="%1、"/>
      <w:lvlJc w:val="left"/>
      <w:pPr>
        <w:ind w:left="720" w:hanging="720"/>
      </w:pPr>
      <w:rPr>
        <w:rFonts w:ascii="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10268291">
    <w:abstractNumId w:val="10"/>
  </w:num>
  <w:num w:numId="2" w16cid:durableId="317810758">
    <w:abstractNumId w:val="4"/>
  </w:num>
  <w:num w:numId="3" w16cid:durableId="1905948615">
    <w:abstractNumId w:val="2"/>
  </w:num>
  <w:num w:numId="4" w16cid:durableId="1315721662">
    <w:abstractNumId w:val="0"/>
  </w:num>
  <w:num w:numId="5" w16cid:durableId="289095837">
    <w:abstractNumId w:val="7"/>
  </w:num>
  <w:num w:numId="6" w16cid:durableId="809397566">
    <w:abstractNumId w:val="11"/>
  </w:num>
  <w:num w:numId="7" w16cid:durableId="1024597791">
    <w:abstractNumId w:val="9"/>
  </w:num>
  <w:num w:numId="8" w16cid:durableId="910654017">
    <w:abstractNumId w:val="3"/>
  </w:num>
  <w:num w:numId="9" w16cid:durableId="1980530259">
    <w:abstractNumId w:val="1"/>
  </w:num>
  <w:num w:numId="10" w16cid:durableId="450897868">
    <w:abstractNumId w:val="6"/>
  </w:num>
  <w:num w:numId="11" w16cid:durableId="1346446438">
    <w:abstractNumId w:val="5"/>
  </w:num>
  <w:num w:numId="12" w16cid:durableId="4421199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54"/>
    <w:rsid w:val="00002E58"/>
    <w:rsid w:val="0000586D"/>
    <w:rsid w:val="000107C7"/>
    <w:rsid w:val="00022D48"/>
    <w:rsid w:val="000366A1"/>
    <w:rsid w:val="000451E8"/>
    <w:rsid w:val="00066557"/>
    <w:rsid w:val="00073E00"/>
    <w:rsid w:val="00081896"/>
    <w:rsid w:val="00086183"/>
    <w:rsid w:val="00087C5C"/>
    <w:rsid w:val="000908C2"/>
    <w:rsid w:val="0009397E"/>
    <w:rsid w:val="00095656"/>
    <w:rsid w:val="000A1ED1"/>
    <w:rsid w:val="000A2B52"/>
    <w:rsid w:val="000A4526"/>
    <w:rsid w:val="000B0A7C"/>
    <w:rsid w:val="000B4158"/>
    <w:rsid w:val="000B53D7"/>
    <w:rsid w:val="000D2B4C"/>
    <w:rsid w:val="000D5797"/>
    <w:rsid w:val="000E15F5"/>
    <w:rsid w:val="000E2DD6"/>
    <w:rsid w:val="000F11A4"/>
    <w:rsid w:val="000F3126"/>
    <w:rsid w:val="00101CBB"/>
    <w:rsid w:val="001031D5"/>
    <w:rsid w:val="00115B43"/>
    <w:rsid w:val="00125294"/>
    <w:rsid w:val="00127B23"/>
    <w:rsid w:val="001333F6"/>
    <w:rsid w:val="001608B6"/>
    <w:rsid w:val="00165573"/>
    <w:rsid w:val="0016586E"/>
    <w:rsid w:val="0016771D"/>
    <w:rsid w:val="00182856"/>
    <w:rsid w:val="001836C8"/>
    <w:rsid w:val="00187358"/>
    <w:rsid w:val="001A55B5"/>
    <w:rsid w:val="001B1AB2"/>
    <w:rsid w:val="001C6EFC"/>
    <w:rsid w:val="001C7657"/>
    <w:rsid w:val="001E315F"/>
    <w:rsid w:val="001E61AE"/>
    <w:rsid w:val="001E7363"/>
    <w:rsid w:val="001F6965"/>
    <w:rsid w:val="002054BE"/>
    <w:rsid w:val="002159C7"/>
    <w:rsid w:val="00227B1B"/>
    <w:rsid w:val="002302BC"/>
    <w:rsid w:val="00233BD2"/>
    <w:rsid w:val="00261CCF"/>
    <w:rsid w:val="00275FE9"/>
    <w:rsid w:val="00287BAC"/>
    <w:rsid w:val="0029103F"/>
    <w:rsid w:val="002A2B4E"/>
    <w:rsid w:val="002A4B5F"/>
    <w:rsid w:val="002B0A7E"/>
    <w:rsid w:val="002B4D09"/>
    <w:rsid w:val="002C064C"/>
    <w:rsid w:val="002C60B9"/>
    <w:rsid w:val="002D4B29"/>
    <w:rsid w:val="002E0B59"/>
    <w:rsid w:val="002E0B7A"/>
    <w:rsid w:val="002E3DD3"/>
    <w:rsid w:val="002F0788"/>
    <w:rsid w:val="002F4D92"/>
    <w:rsid w:val="002F5CC3"/>
    <w:rsid w:val="003141F7"/>
    <w:rsid w:val="00314FBB"/>
    <w:rsid w:val="0031664D"/>
    <w:rsid w:val="003204BB"/>
    <w:rsid w:val="00321227"/>
    <w:rsid w:val="00324D1A"/>
    <w:rsid w:val="003259CE"/>
    <w:rsid w:val="003277F4"/>
    <w:rsid w:val="00344291"/>
    <w:rsid w:val="0034667C"/>
    <w:rsid w:val="00352D09"/>
    <w:rsid w:val="00353A37"/>
    <w:rsid w:val="00356CB3"/>
    <w:rsid w:val="00364445"/>
    <w:rsid w:val="00365A8B"/>
    <w:rsid w:val="003808B1"/>
    <w:rsid w:val="003832E6"/>
    <w:rsid w:val="00384FA9"/>
    <w:rsid w:val="003A0EE8"/>
    <w:rsid w:val="003A1381"/>
    <w:rsid w:val="003A4BC4"/>
    <w:rsid w:val="003C653B"/>
    <w:rsid w:val="003D5C84"/>
    <w:rsid w:val="003E556E"/>
    <w:rsid w:val="003F2A04"/>
    <w:rsid w:val="003F5204"/>
    <w:rsid w:val="003F5B5B"/>
    <w:rsid w:val="003F64F7"/>
    <w:rsid w:val="004204B3"/>
    <w:rsid w:val="00422508"/>
    <w:rsid w:val="00431208"/>
    <w:rsid w:val="00437542"/>
    <w:rsid w:val="00441B78"/>
    <w:rsid w:val="004446E4"/>
    <w:rsid w:val="004452CA"/>
    <w:rsid w:val="00453141"/>
    <w:rsid w:val="0045338A"/>
    <w:rsid w:val="0045376D"/>
    <w:rsid w:val="0046372E"/>
    <w:rsid w:val="0046657F"/>
    <w:rsid w:val="0047251D"/>
    <w:rsid w:val="00491954"/>
    <w:rsid w:val="00491B55"/>
    <w:rsid w:val="00492650"/>
    <w:rsid w:val="00496F08"/>
    <w:rsid w:val="004A4CFA"/>
    <w:rsid w:val="004B5768"/>
    <w:rsid w:val="004B6C90"/>
    <w:rsid w:val="004C2908"/>
    <w:rsid w:val="004C57DF"/>
    <w:rsid w:val="004C5CEE"/>
    <w:rsid w:val="004C6201"/>
    <w:rsid w:val="004D1B2F"/>
    <w:rsid w:val="004D71C5"/>
    <w:rsid w:val="005058D4"/>
    <w:rsid w:val="00507C48"/>
    <w:rsid w:val="00513654"/>
    <w:rsid w:val="005148E5"/>
    <w:rsid w:val="00514B15"/>
    <w:rsid w:val="005168DF"/>
    <w:rsid w:val="00516DCD"/>
    <w:rsid w:val="00532AC0"/>
    <w:rsid w:val="005400D5"/>
    <w:rsid w:val="00552932"/>
    <w:rsid w:val="00552E42"/>
    <w:rsid w:val="00554E0A"/>
    <w:rsid w:val="0055503D"/>
    <w:rsid w:val="00555155"/>
    <w:rsid w:val="00563290"/>
    <w:rsid w:val="005704B3"/>
    <w:rsid w:val="0057091E"/>
    <w:rsid w:val="0058029F"/>
    <w:rsid w:val="005933B1"/>
    <w:rsid w:val="005951D5"/>
    <w:rsid w:val="005A4A56"/>
    <w:rsid w:val="005A566A"/>
    <w:rsid w:val="005A57FD"/>
    <w:rsid w:val="005B3179"/>
    <w:rsid w:val="005C4C3E"/>
    <w:rsid w:val="005D2C0A"/>
    <w:rsid w:val="005D5155"/>
    <w:rsid w:val="005E0E6E"/>
    <w:rsid w:val="005E16BB"/>
    <w:rsid w:val="005E56BD"/>
    <w:rsid w:val="005F1C40"/>
    <w:rsid w:val="005F4626"/>
    <w:rsid w:val="006003E3"/>
    <w:rsid w:val="0061635F"/>
    <w:rsid w:val="006241C7"/>
    <w:rsid w:val="00625F1F"/>
    <w:rsid w:val="00636709"/>
    <w:rsid w:val="00637148"/>
    <w:rsid w:val="00637793"/>
    <w:rsid w:val="00645883"/>
    <w:rsid w:val="00654C04"/>
    <w:rsid w:val="00655B5F"/>
    <w:rsid w:val="006802AA"/>
    <w:rsid w:val="00682298"/>
    <w:rsid w:val="00683833"/>
    <w:rsid w:val="0069127C"/>
    <w:rsid w:val="006922CE"/>
    <w:rsid w:val="00693036"/>
    <w:rsid w:val="00697651"/>
    <w:rsid w:val="006A77A1"/>
    <w:rsid w:val="006B11F9"/>
    <w:rsid w:val="006B7F6D"/>
    <w:rsid w:val="006C078C"/>
    <w:rsid w:val="006C2A1B"/>
    <w:rsid w:val="006C57F0"/>
    <w:rsid w:val="006C6265"/>
    <w:rsid w:val="006C6E62"/>
    <w:rsid w:val="006C772B"/>
    <w:rsid w:val="006C791F"/>
    <w:rsid w:val="006F08D9"/>
    <w:rsid w:val="006F2531"/>
    <w:rsid w:val="006F7C76"/>
    <w:rsid w:val="00712D98"/>
    <w:rsid w:val="00712F5E"/>
    <w:rsid w:val="0071324B"/>
    <w:rsid w:val="00714BBF"/>
    <w:rsid w:val="007332EF"/>
    <w:rsid w:val="007449B3"/>
    <w:rsid w:val="007469AB"/>
    <w:rsid w:val="00751230"/>
    <w:rsid w:val="007742D0"/>
    <w:rsid w:val="00780B4C"/>
    <w:rsid w:val="00781376"/>
    <w:rsid w:val="007848C1"/>
    <w:rsid w:val="007A0300"/>
    <w:rsid w:val="007A0B6F"/>
    <w:rsid w:val="007B4F66"/>
    <w:rsid w:val="007C5C35"/>
    <w:rsid w:val="007D0D6F"/>
    <w:rsid w:val="007D5E53"/>
    <w:rsid w:val="007E1F03"/>
    <w:rsid w:val="007E26F8"/>
    <w:rsid w:val="007E7000"/>
    <w:rsid w:val="007F2567"/>
    <w:rsid w:val="007F3199"/>
    <w:rsid w:val="0080034B"/>
    <w:rsid w:val="008004D8"/>
    <w:rsid w:val="0080487B"/>
    <w:rsid w:val="00821174"/>
    <w:rsid w:val="008255F1"/>
    <w:rsid w:val="00830504"/>
    <w:rsid w:val="008326CD"/>
    <w:rsid w:val="00842A68"/>
    <w:rsid w:val="00843ACB"/>
    <w:rsid w:val="00853D9F"/>
    <w:rsid w:val="00857A3A"/>
    <w:rsid w:val="00860A53"/>
    <w:rsid w:val="00861113"/>
    <w:rsid w:val="008622E7"/>
    <w:rsid w:val="00863438"/>
    <w:rsid w:val="008637E6"/>
    <w:rsid w:val="00863B32"/>
    <w:rsid w:val="0086666F"/>
    <w:rsid w:val="00873B9D"/>
    <w:rsid w:val="00876948"/>
    <w:rsid w:val="00884DC3"/>
    <w:rsid w:val="00886E54"/>
    <w:rsid w:val="008A3F79"/>
    <w:rsid w:val="008B2377"/>
    <w:rsid w:val="008B7E82"/>
    <w:rsid w:val="008C41F6"/>
    <w:rsid w:val="008D08D3"/>
    <w:rsid w:val="008E2D1C"/>
    <w:rsid w:val="008E6D32"/>
    <w:rsid w:val="00901A13"/>
    <w:rsid w:val="00902A34"/>
    <w:rsid w:val="00913561"/>
    <w:rsid w:val="00915793"/>
    <w:rsid w:val="00915B39"/>
    <w:rsid w:val="00923F65"/>
    <w:rsid w:val="009258A0"/>
    <w:rsid w:val="009349C2"/>
    <w:rsid w:val="00937B46"/>
    <w:rsid w:val="009457C3"/>
    <w:rsid w:val="00946B59"/>
    <w:rsid w:val="009613A9"/>
    <w:rsid w:val="00965A64"/>
    <w:rsid w:val="009718E2"/>
    <w:rsid w:val="009731F7"/>
    <w:rsid w:val="009738F0"/>
    <w:rsid w:val="009749FA"/>
    <w:rsid w:val="00981959"/>
    <w:rsid w:val="009832B9"/>
    <w:rsid w:val="0098727F"/>
    <w:rsid w:val="0098737A"/>
    <w:rsid w:val="00987D54"/>
    <w:rsid w:val="00994367"/>
    <w:rsid w:val="009A43A3"/>
    <w:rsid w:val="009B063F"/>
    <w:rsid w:val="009B2391"/>
    <w:rsid w:val="009B47EA"/>
    <w:rsid w:val="009C2728"/>
    <w:rsid w:val="009C30F0"/>
    <w:rsid w:val="009C3554"/>
    <w:rsid w:val="009C4C9E"/>
    <w:rsid w:val="009E383E"/>
    <w:rsid w:val="00A02631"/>
    <w:rsid w:val="00A05FA3"/>
    <w:rsid w:val="00A24F4D"/>
    <w:rsid w:val="00A373DF"/>
    <w:rsid w:val="00A428DB"/>
    <w:rsid w:val="00A44413"/>
    <w:rsid w:val="00A4527F"/>
    <w:rsid w:val="00A4691C"/>
    <w:rsid w:val="00A515AA"/>
    <w:rsid w:val="00A51980"/>
    <w:rsid w:val="00A63DC7"/>
    <w:rsid w:val="00A8621E"/>
    <w:rsid w:val="00A960CB"/>
    <w:rsid w:val="00AA4736"/>
    <w:rsid w:val="00AB284B"/>
    <w:rsid w:val="00AC2313"/>
    <w:rsid w:val="00AC7BEB"/>
    <w:rsid w:val="00AD6748"/>
    <w:rsid w:val="00AD7A83"/>
    <w:rsid w:val="00AE57A2"/>
    <w:rsid w:val="00B05245"/>
    <w:rsid w:val="00B11B28"/>
    <w:rsid w:val="00B22301"/>
    <w:rsid w:val="00B2501C"/>
    <w:rsid w:val="00B2562B"/>
    <w:rsid w:val="00B34603"/>
    <w:rsid w:val="00B349BB"/>
    <w:rsid w:val="00B40A36"/>
    <w:rsid w:val="00B40B5B"/>
    <w:rsid w:val="00B4336D"/>
    <w:rsid w:val="00B53489"/>
    <w:rsid w:val="00B54C4C"/>
    <w:rsid w:val="00B6013E"/>
    <w:rsid w:val="00B648E3"/>
    <w:rsid w:val="00B734EF"/>
    <w:rsid w:val="00B84E30"/>
    <w:rsid w:val="00B931E8"/>
    <w:rsid w:val="00BA16F1"/>
    <w:rsid w:val="00BA7FDA"/>
    <w:rsid w:val="00BB1670"/>
    <w:rsid w:val="00BB4B0E"/>
    <w:rsid w:val="00BC1132"/>
    <w:rsid w:val="00BC6F7C"/>
    <w:rsid w:val="00BD6B0F"/>
    <w:rsid w:val="00BE089D"/>
    <w:rsid w:val="00BE5FD0"/>
    <w:rsid w:val="00BF6300"/>
    <w:rsid w:val="00C0256D"/>
    <w:rsid w:val="00C03D5D"/>
    <w:rsid w:val="00C05B30"/>
    <w:rsid w:val="00C0676B"/>
    <w:rsid w:val="00C10127"/>
    <w:rsid w:val="00C10284"/>
    <w:rsid w:val="00C229BD"/>
    <w:rsid w:val="00C243B2"/>
    <w:rsid w:val="00C2497F"/>
    <w:rsid w:val="00C259C7"/>
    <w:rsid w:val="00C2681A"/>
    <w:rsid w:val="00C31516"/>
    <w:rsid w:val="00C4368E"/>
    <w:rsid w:val="00C57332"/>
    <w:rsid w:val="00C6451A"/>
    <w:rsid w:val="00C74B5B"/>
    <w:rsid w:val="00C74F5C"/>
    <w:rsid w:val="00C7643F"/>
    <w:rsid w:val="00C7679B"/>
    <w:rsid w:val="00C82446"/>
    <w:rsid w:val="00C83E28"/>
    <w:rsid w:val="00C91EBD"/>
    <w:rsid w:val="00CC2980"/>
    <w:rsid w:val="00CC3E31"/>
    <w:rsid w:val="00CC54D2"/>
    <w:rsid w:val="00CD10E5"/>
    <w:rsid w:val="00CD41D3"/>
    <w:rsid w:val="00CD4217"/>
    <w:rsid w:val="00CD4BB2"/>
    <w:rsid w:val="00CD4E86"/>
    <w:rsid w:val="00CD5979"/>
    <w:rsid w:val="00CD7BB5"/>
    <w:rsid w:val="00CF7EE6"/>
    <w:rsid w:val="00D07409"/>
    <w:rsid w:val="00D202E4"/>
    <w:rsid w:val="00D22552"/>
    <w:rsid w:val="00D242EC"/>
    <w:rsid w:val="00D27DB5"/>
    <w:rsid w:val="00D31DF3"/>
    <w:rsid w:val="00D34DC0"/>
    <w:rsid w:val="00D354A1"/>
    <w:rsid w:val="00D3612D"/>
    <w:rsid w:val="00D40478"/>
    <w:rsid w:val="00D57E07"/>
    <w:rsid w:val="00D60391"/>
    <w:rsid w:val="00D74AF1"/>
    <w:rsid w:val="00D83445"/>
    <w:rsid w:val="00D870CD"/>
    <w:rsid w:val="00D94AB6"/>
    <w:rsid w:val="00DA7340"/>
    <w:rsid w:val="00DC2924"/>
    <w:rsid w:val="00DC41B1"/>
    <w:rsid w:val="00DD5088"/>
    <w:rsid w:val="00DD55FB"/>
    <w:rsid w:val="00DE3B15"/>
    <w:rsid w:val="00DF106D"/>
    <w:rsid w:val="00DF3D4C"/>
    <w:rsid w:val="00DF7798"/>
    <w:rsid w:val="00E02728"/>
    <w:rsid w:val="00E03C1F"/>
    <w:rsid w:val="00E0589C"/>
    <w:rsid w:val="00E10B6C"/>
    <w:rsid w:val="00E16A3A"/>
    <w:rsid w:val="00E30371"/>
    <w:rsid w:val="00E34644"/>
    <w:rsid w:val="00E3504B"/>
    <w:rsid w:val="00E35F03"/>
    <w:rsid w:val="00E61A17"/>
    <w:rsid w:val="00E71AF1"/>
    <w:rsid w:val="00E8543E"/>
    <w:rsid w:val="00E94661"/>
    <w:rsid w:val="00EA02B5"/>
    <w:rsid w:val="00EA17EF"/>
    <w:rsid w:val="00EB1D26"/>
    <w:rsid w:val="00EB5B6A"/>
    <w:rsid w:val="00EC04F9"/>
    <w:rsid w:val="00EC70B7"/>
    <w:rsid w:val="00ED2C90"/>
    <w:rsid w:val="00ED339A"/>
    <w:rsid w:val="00EE21E4"/>
    <w:rsid w:val="00EE612F"/>
    <w:rsid w:val="00EF5125"/>
    <w:rsid w:val="00F07397"/>
    <w:rsid w:val="00F1789B"/>
    <w:rsid w:val="00F17B5B"/>
    <w:rsid w:val="00F27B52"/>
    <w:rsid w:val="00F30BCE"/>
    <w:rsid w:val="00F46881"/>
    <w:rsid w:val="00F4698F"/>
    <w:rsid w:val="00F53100"/>
    <w:rsid w:val="00F55574"/>
    <w:rsid w:val="00F56926"/>
    <w:rsid w:val="00F622F9"/>
    <w:rsid w:val="00F65556"/>
    <w:rsid w:val="00F6634F"/>
    <w:rsid w:val="00F74445"/>
    <w:rsid w:val="00F77852"/>
    <w:rsid w:val="00F818E7"/>
    <w:rsid w:val="00F83D0F"/>
    <w:rsid w:val="00F905B3"/>
    <w:rsid w:val="00F93591"/>
    <w:rsid w:val="00F939C5"/>
    <w:rsid w:val="00FA1273"/>
    <w:rsid w:val="00FC16D6"/>
    <w:rsid w:val="00FC7792"/>
    <w:rsid w:val="00FD23E2"/>
    <w:rsid w:val="00FE2AD5"/>
    <w:rsid w:val="00FF1953"/>
    <w:rsid w:val="00FF4C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B58C2"/>
  <w15:chartTrackingRefBased/>
  <w15:docId w15:val="{EACA3094-9D8A-47A9-9AEA-2D299E9B9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53D7"/>
    <w:pPr>
      <w:ind w:leftChars="200" w:left="480"/>
    </w:pPr>
  </w:style>
  <w:style w:type="paragraph" w:styleId="a4">
    <w:name w:val="header"/>
    <w:basedOn w:val="a"/>
    <w:link w:val="a5"/>
    <w:uiPriority w:val="99"/>
    <w:unhideWhenUsed/>
    <w:rsid w:val="00C0676B"/>
    <w:pPr>
      <w:tabs>
        <w:tab w:val="center" w:pos="4153"/>
        <w:tab w:val="right" w:pos="8306"/>
      </w:tabs>
      <w:snapToGrid w:val="0"/>
    </w:pPr>
    <w:rPr>
      <w:sz w:val="20"/>
      <w:szCs w:val="20"/>
    </w:rPr>
  </w:style>
  <w:style w:type="character" w:customStyle="1" w:styleId="a5">
    <w:name w:val="頁首 字元"/>
    <w:basedOn w:val="a0"/>
    <w:link w:val="a4"/>
    <w:uiPriority w:val="99"/>
    <w:rsid w:val="00C0676B"/>
    <w:rPr>
      <w:sz w:val="20"/>
      <w:szCs w:val="20"/>
    </w:rPr>
  </w:style>
  <w:style w:type="paragraph" w:styleId="a6">
    <w:name w:val="footer"/>
    <w:basedOn w:val="a"/>
    <w:link w:val="a7"/>
    <w:uiPriority w:val="99"/>
    <w:unhideWhenUsed/>
    <w:rsid w:val="00C0676B"/>
    <w:pPr>
      <w:tabs>
        <w:tab w:val="center" w:pos="4153"/>
        <w:tab w:val="right" w:pos="8306"/>
      </w:tabs>
      <w:snapToGrid w:val="0"/>
    </w:pPr>
    <w:rPr>
      <w:sz w:val="20"/>
      <w:szCs w:val="20"/>
    </w:rPr>
  </w:style>
  <w:style w:type="character" w:customStyle="1" w:styleId="a7">
    <w:name w:val="頁尾 字元"/>
    <w:basedOn w:val="a0"/>
    <w:link w:val="a6"/>
    <w:uiPriority w:val="99"/>
    <w:rsid w:val="00C0676B"/>
    <w:rPr>
      <w:sz w:val="20"/>
      <w:szCs w:val="20"/>
    </w:rPr>
  </w:style>
  <w:style w:type="table" w:styleId="a8">
    <w:name w:val="Table Grid"/>
    <w:basedOn w:val="a1"/>
    <w:uiPriority w:val="39"/>
    <w:rsid w:val="007E1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364445"/>
    <w:rPr>
      <w:sz w:val="18"/>
      <w:szCs w:val="18"/>
    </w:rPr>
  </w:style>
  <w:style w:type="paragraph" w:styleId="aa">
    <w:name w:val="annotation text"/>
    <w:basedOn w:val="a"/>
    <w:link w:val="ab"/>
    <w:uiPriority w:val="99"/>
    <w:semiHidden/>
    <w:unhideWhenUsed/>
    <w:rsid w:val="00364445"/>
  </w:style>
  <w:style w:type="character" w:customStyle="1" w:styleId="ab">
    <w:name w:val="註解文字 字元"/>
    <w:basedOn w:val="a0"/>
    <w:link w:val="aa"/>
    <w:uiPriority w:val="99"/>
    <w:semiHidden/>
    <w:rsid w:val="00364445"/>
  </w:style>
  <w:style w:type="paragraph" w:styleId="ac">
    <w:name w:val="annotation subject"/>
    <w:basedOn w:val="aa"/>
    <w:next w:val="aa"/>
    <w:link w:val="ad"/>
    <w:uiPriority w:val="99"/>
    <w:semiHidden/>
    <w:unhideWhenUsed/>
    <w:rsid w:val="00364445"/>
    <w:rPr>
      <w:b/>
      <w:bCs/>
    </w:rPr>
  </w:style>
  <w:style w:type="character" w:customStyle="1" w:styleId="ad">
    <w:name w:val="註解主旨 字元"/>
    <w:basedOn w:val="ab"/>
    <w:link w:val="ac"/>
    <w:uiPriority w:val="99"/>
    <w:semiHidden/>
    <w:rsid w:val="00364445"/>
    <w:rPr>
      <w:b/>
      <w:bCs/>
    </w:rPr>
  </w:style>
  <w:style w:type="paragraph" w:styleId="ae">
    <w:name w:val="Balloon Text"/>
    <w:basedOn w:val="a"/>
    <w:link w:val="af"/>
    <w:uiPriority w:val="99"/>
    <w:semiHidden/>
    <w:unhideWhenUsed/>
    <w:rsid w:val="00A4691C"/>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A4691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71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026D2-5A1A-44AD-952A-8EF1339F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98</Words>
  <Characters>562</Characters>
  <Application>Microsoft Office Word</Application>
  <DocSecurity>0</DocSecurity>
  <Lines>4</Lines>
  <Paragraphs>1</Paragraphs>
  <ScaleCrop>false</ScaleCrop>
  <Company>TWSE 臺灣證券交易所</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古彬宏</dc:creator>
  <cp:keywords/>
  <dc:description/>
  <cp:lastModifiedBy>翁淑如</cp:lastModifiedBy>
  <cp:revision>47</cp:revision>
  <cp:lastPrinted>2026-10-02T06:34:00Z</cp:lastPrinted>
  <dcterms:created xsi:type="dcterms:W3CDTF">2026-10-02T07:13:00Z</dcterms:created>
  <dcterms:modified xsi:type="dcterms:W3CDTF">2026-10-02T07:17:00Z</dcterms:modified>
</cp:coreProperties>
</file>