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AE" w:rsidRPr="00A21053" w:rsidRDefault="003E33AE" w:rsidP="003E33AE">
      <w:pPr>
        <w:jc w:val="center"/>
        <w:rPr>
          <w:rFonts w:ascii="標楷體" w:eastAsia="標楷體" w:hAnsi="標楷體"/>
        </w:rPr>
      </w:pPr>
      <w:r w:rsidRPr="008338C9">
        <w:rPr>
          <w:rFonts w:ascii="標楷體" w:eastAsia="標楷體" w:hAnsi="標楷體"/>
          <w:b/>
          <w:sz w:val="28"/>
        </w:rPr>
        <w:t>臺灣證券交易所核心系統資訊架構標準</w:t>
      </w:r>
      <w:r w:rsidRPr="008338C9">
        <w:rPr>
          <w:rFonts w:ascii="標楷體" w:eastAsia="標楷體" w:hAnsi="標楷體"/>
          <w:sz w:val="28"/>
        </w:rPr>
        <w:t xml:space="preserve"> </w:t>
      </w:r>
      <w:r w:rsidR="00410AD2">
        <w:rPr>
          <w:rFonts w:ascii="標楷體" w:eastAsia="標楷體" w:hAnsi="標楷體"/>
          <w:sz w:val="18"/>
        </w:rPr>
        <w:t>20</w:t>
      </w:r>
      <w:r w:rsidR="00410AD2">
        <w:rPr>
          <w:rFonts w:ascii="標楷體" w:eastAsia="標楷體" w:hAnsi="標楷體" w:hint="eastAsia"/>
          <w:sz w:val="18"/>
        </w:rPr>
        <w:t>21</w:t>
      </w:r>
      <w:r w:rsidR="00410AD2">
        <w:rPr>
          <w:rFonts w:ascii="標楷體" w:eastAsia="標楷體" w:hAnsi="標楷體"/>
          <w:sz w:val="18"/>
        </w:rPr>
        <w:t>.</w:t>
      </w:r>
      <w:r w:rsidR="00410AD2">
        <w:rPr>
          <w:rFonts w:ascii="標楷體" w:eastAsia="標楷體" w:hAnsi="標楷體" w:hint="eastAsia"/>
          <w:sz w:val="18"/>
        </w:rPr>
        <w:t>11</w:t>
      </w:r>
    </w:p>
    <w:p w:rsidR="003E33AE" w:rsidRPr="00A21053" w:rsidRDefault="003E33AE" w:rsidP="003E33AE">
      <w:pPr>
        <w:jc w:val="center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A21053">
        <w:rPr>
          <w:rFonts w:ascii="標楷體" w:eastAsia="標楷體" w:hAnsi="標楷體"/>
          <w:b/>
        </w:rPr>
        <w:t xml:space="preserve">緣起與目標 </w:t>
      </w: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>本公司依主管機關指示「</w:t>
      </w:r>
      <w:proofErr w:type="gramStart"/>
      <w:r w:rsidRPr="00A21053">
        <w:rPr>
          <w:rFonts w:ascii="標楷體" w:eastAsia="標楷體" w:hAnsi="標楷體"/>
        </w:rPr>
        <w:t>研</w:t>
      </w:r>
      <w:proofErr w:type="gramEnd"/>
      <w:r w:rsidRPr="00A21053">
        <w:rPr>
          <w:rFonts w:ascii="標楷體" w:eastAsia="標楷體" w:hAnsi="標楷體"/>
        </w:rPr>
        <w:t xml:space="preserve">訂證券期貨市場一致性資訊架構標準」，業由期交所、櫃買中心、集保結算所及本公司共同辦理建立一致性資訊架構 標準及整合性原則，收斂周邊單位資訊架構差異與奠定未來實質整合基礎，並依現況調查、參酌國際趨勢報告、研討會確認訂定出本公司未來核 心系統資訊架構標準。 </w:t>
      </w: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A21053">
        <w:rPr>
          <w:rFonts w:ascii="標楷體" w:eastAsia="標楷體" w:hAnsi="標楷體"/>
          <w:b/>
        </w:rPr>
        <w:t xml:space="preserve">資訊架構標準說明 </w:t>
      </w: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 xml:space="preserve">本架構標準適用範圍包含證交所核心系統。 </w:t>
      </w: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 xml:space="preserve">適用之原則如下： </w:t>
      </w: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A2105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>原則</w:t>
      </w:r>
      <w:proofErr w:type="gramStart"/>
      <w:r w:rsidRPr="00A21053">
        <w:rPr>
          <w:rFonts w:ascii="標楷體" w:eastAsia="標楷體" w:hAnsi="標楷體"/>
        </w:rPr>
        <w:t>一</w:t>
      </w:r>
      <w:proofErr w:type="gramEnd"/>
      <w:r w:rsidRPr="00A21053">
        <w:rPr>
          <w:rFonts w:ascii="標楷體" w:eastAsia="標楷體" w:hAnsi="標楷體"/>
        </w:rPr>
        <w:t xml:space="preserve"> </w:t>
      </w:r>
    </w:p>
    <w:p w:rsidR="003E33AE" w:rsidRPr="00A21053" w:rsidRDefault="003E33AE" w:rsidP="00A21053">
      <w:pPr>
        <w:pStyle w:val="a3"/>
        <w:ind w:leftChars="0" w:left="990" w:firstLine="45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>凡涉及核心系統之新系統開發或新硬體設備採購，應採用本標準所訂定之標準項目。</w:t>
      </w:r>
    </w:p>
    <w:p w:rsidR="003E33AE" w:rsidRPr="00A21053" w:rsidRDefault="003E33AE" w:rsidP="003E33AE">
      <w:pPr>
        <w:pStyle w:val="a3"/>
        <w:ind w:leftChars="0" w:left="99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 xml:space="preserve"> </w:t>
      </w:r>
    </w:p>
    <w:p w:rsidR="003E33AE" w:rsidRPr="00A21053" w:rsidRDefault="003E33AE" w:rsidP="00A2105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 xml:space="preserve">原則二 </w:t>
      </w:r>
    </w:p>
    <w:p w:rsidR="003E33AE" w:rsidRPr="00A21053" w:rsidRDefault="003E33AE" w:rsidP="00A21053">
      <w:pPr>
        <w:pStyle w:val="a3"/>
        <w:ind w:leftChars="0" w:left="990" w:firstLine="45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>承上，如屬現行核心系統</w:t>
      </w:r>
      <w:proofErr w:type="gramStart"/>
      <w:r w:rsidRPr="00A21053">
        <w:rPr>
          <w:rFonts w:ascii="標楷體" w:eastAsia="標楷體" w:hAnsi="標楷體"/>
        </w:rPr>
        <w:t>汰</w:t>
      </w:r>
      <w:proofErr w:type="gramEnd"/>
      <w:r w:rsidRPr="00A21053">
        <w:rPr>
          <w:rFonts w:ascii="標楷體" w:eastAsia="標楷體" w:hAnsi="標楷體"/>
        </w:rPr>
        <w:t xml:space="preserve">換或擴充，建議宜參考本標準所訂定之標準項目，仍可使用原有之規格。 </w:t>
      </w:r>
    </w:p>
    <w:p w:rsidR="003E33AE" w:rsidRPr="00A21053" w:rsidRDefault="003E33AE" w:rsidP="003E33AE">
      <w:pPr>
        <w:pStyle w:val="a3"/>
        <w:ind w:leftChars="0" w:left="990"/>
        <w:rPr>
          <w:rFonts w:ascii="標楷體" w:eastAsia="標楷體" w:hAnsi="標楷體"/>
        </w:rPr>
      </w:pPr>
    </w:p>
    <w:p w:rsidR="003E33AE" w:rsidRPr="00A21053" w:rsidRDefault="003E33AE" w:rsidP="00A2105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>原則</w:t>
      </w:r>
      <w:proofErr w:type="gramStart"/>
      <w:r w:rsidRPr="00A21053">
        <w:rPr>
          <w:rFonts w:ascii="標楷體" w:eastAsia="標楷體" w:hAnsi="標楷體"/>
        </w:rPr>
        <w:t>三</w:t>
      </w:r>
      <w:proofErr w:type="gramEnd"/>
      <w:r w:rsidRPr="00A21053">
        <w:rPr>
          <w:rFonts w:ascii="標楷體" w:eastAsia="標楷體" w:hAnsi="標楷體"/>
        </w:rPr>
        <w:t xml:space="preserve"> </w:t>
      </w:r>
    </w:p>
    <w:p w:rsidR="003E33AE" w:rsidRPr="00A21053" w:rsidRDefault="003E33AE" w:rsidP="00A21053">
      <w:pPr>
        <w:pStyle w:val="a3"/>
        <w:ind w:leftChars="0" w:left="990" w:firstLine="450"/>
        <w:rPr>
          <w:rFonts w:ascii="標楷體" w:eastAsia="標楷體" w:hAnsi="標楷體"/>
        </w:rPr>
      </w:pPr>
      <w:r w:rsidRPr="00A21053">
        <w:rPr>
          <w:rFonts w:ascii="標楷體" w:eastAsia="標楷體" w:hAnsi="標楷體"/>
        </w:rPr>
        <w:t>倘若有選用非本標準所訂定之項目，則須於專案規劃或採購簽案 時，說明選用緣由。</w:t>
      </w: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A21053" w:rsidRDefault="003E33AE" w:rsidP="003E33AE">
      <w:pPr>
        <w:pStyle w:val="a3"/>
        <w:ind w:leftChars="0" w:left="600"/>
        <w:rPr>
          <w:rFonts w:ascii="標楷體" w:eastAsia="標楷體" w:hAnsi="標楷體"/>
        </w:rPr>
      </w:pPr>
    </w:p>
    <w:p w:rsidR="003E33AE" w:rsidRPr="008338C9" w:rsidRDefault="003E33AE" w:rsidP="003E33AE">
      <w:pPr>
        <w:pStyle w:val="a3"/>
        <w:ind w:leftChars="0" w:left="600"/>
        <w:rPr>
          <w:rFonts w:ascii="標楷體" w:eastAsia="標楷體" w:hAnsi="標楷體"/>
          <w:b/>
          <w:sz w:val="28"/>
        </w:rPr>
      </w:pPr>
      <w:r w:rsidRPr="008338C9">
        <w:rPr>
          <w:rFonts w:ascii="標楷體" w:eastAsia="標楷體" w:hAnsi="標楷體"/>
          <w:b/>
        </w:rPr>
        <w:t>核心系統資訊架構標準總清單</w:t>
      </w:r>
      <w:r w:rsidRPr="008338C9">
        <w:rPr>
          <w:rFonts w:ascii="標楷體" w:eastAsia="標楷體" w:hAnsi="標楷體"/>
          <w:b/>
          <w:sz w:val="28"/>
        </w:rPr>
        <w:t xml:space="preserve"> </w:t>
      </w:r>
    </w:p>
    <w:p w:rsidR="00942660" w:rsidRPr="00410AD2" w:rsidRDefault="00942660" w:rsidP="00410AD2">
      <w:pPr>
        <w:rPr>
          <w:rFonts w:ascii="標楷體" w:eastAsia="標楷體" w:hAnsi="標楷體" w:hint="eastAsia"/>
        </w:rPr>
      </w:pPr>
    </w:p>
    <w:tbl>
      <w:tblPr>
        <w:tblStyle w:val="a4"/>
        <w:tblW w:w="8467" w:type="dxa"/>
        <w:tblInd w:w="600" w:type="dxa"/>
        <w:tblLook w:val="04A0" w:firstRow="1" w:lastRow="0" w:firstColumn="1" w:lastColumn="0" w:noHBand="0" w:noVBand="1"/>
      </w:tblPr>
      <w:tblGrid>
        <w:gridCol w:w="1380"/>
        <w:gridCol w:w="3260"/>
        <w:gridCol w:w="3827"/>
      </w:tblGrid>
      <w:tr w:rsidR="00410AD2" w:rsidTr="0052529C">
        <w:tc>
          <w:tcPr>
            <w:tcW w:w="1380" w:type="dxa"/>
            <w:shd w:val="clear" w:color="auto" w:fill="1F3864" w:themeFill="accent5" w:themeFillShade="80"/>
          </w:tcPr>
          <w:p w:rsidR="00410AD2" w:rsidRPr="00410AD2" w:rsidRDefault="00410AD2" w:rsidP="00410AD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260" w:type="dxa"/>
            <w:shd w:val="clear" w:color="auto" w:fill="1F3864" w:themeFill="accent5" w:themeFillShade="80"/>
          </w:tcPr>
          <w:p w:rsidR="00410AD2" w:rsidRPr="00410AD2" w:rsidRDefault="00410AD2" w:rsidP="00410AD2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標準項目</w:t>
            </w:r>
          </w:p>
        </w:tc>
        <w:tc>
          <w:tcPr>
            <w:tcW w:w="3827" w:type="dxa"/>
            <w:shd w:val="clear" w:color="auto" w:fill="1F3864" w:themeFill="accent5" w:themeFillShade="80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核心系統資訊架構標準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程式語言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C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C++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C#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COBOL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Java</w:t>
            </w:r>
            <w:r w:rsidR="00DF2BF2">
              <w:rPr>
                <w:rFonts w:ascii="Times New Roman" w:eastAsia="標楷體" w:hAnsi="Times New Roman" w:cs="Times New Roman" w:hint="eastAsia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 Perl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Python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網頁及行動應用程式語言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Java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C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C++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C#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HTML5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 JavaScript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PHP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Swift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作業系統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SUSE Linux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proofErr w:type="spellStart"/>
            <w:r w:rsidRPr="00DF2BF2">
              <w:rPr>
                <w:rFonts w:ascii="Times New Roman" w:eastAsia="標楷體" w:hAnsi="Times New Roman" w:cs="Times New Roman"/>
                <w:b/>
                <w:i/>
              </w:rPr>
              <w:t>RedHat</w:t>
            </w:r>
            <w:proofErr w:type="spellEnd"/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 Linux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 Windows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資料庫</w:t>
            </w:r>
          </w:p>
        </w:tc>
        <w:tc>
          <w:tcPr>
            <w:tcW w:w="3827" w:type="dxa"/>
            <w:vAlign w:val="center"/>
          </w:tcPr>
          <w:p w:rsidR="00410AD2" w:rsidRPr="00DF2BF2" w:rsidRDefault="00DF2BF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>
              <w:rPr>
                <w:rFonts w:ascii="Times New Roman" w:eastAsia="標楷體" w:hAnsi="Times New Roman" w:cs="Times New Roman"/>
                <w:b/>
                <w:i/>
              </w:rPr>
              <w:t>IBM DB2</w:t>
            </w:r>
            <w:r>
              <w:rPr>
                <w:rFonts w:ascii="Times New Roman" w:eastAsia="標楷體" w:hAnsi="Times New Roman" w:cs="Times New Roman" w:hint="eastAsia"/>
                <w:b/>
                <w:i/>
              </w:rPr>
              <w:t>、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SAP Sybase</w:t>
            </w:r>
            <w:r>
              <w:rPr>
                <w:rFonts w:ascii="Times New Roman" w:eastAsia="標楷體" w:hAnsi="Times New Roman" w:cs="Times New Roman" w:hint="eastAsia"/>
                <w:b/>
                <w:i/>
              </w:rPr>
              <w:t>、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Oracle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Cassandra</w:t>
            </w:r>
            <w:r>
              <w:rPr>
                <w:rFonts w:ascii="Times New Roman" w:eastAsia="標楷體" w:hAnsi="Times New Roman" w:cs="Times New Roman" w:hint="eastAsia"/>
                <w:b/>
                <w:i/>
              </w:rPr>
              <w:t>、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MS SQL</w:t>
            </w:r>
            <w:r>
              <w:rPr>
                <w:rFonts w:ascii="Times New Roman" w:eastAsia="標楷體" w:hAnsi="Times New Roman" w:cs="Times New Roman" w:hint="eastAsia"/>
                <w:b/>
                <w:i/>
              </w:rPr>
              <w:t>、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MySQL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="00410AD2" w:rsidRPr="00DF2BF2">
              <w:rPr>
                <w:rFonts w:ascii="Times New Roman" w:eastAsia="標楷體" w:hAnsi="Times New Roman" w:cs="Times New Roman"/>
                <w:b/>
                <w:i/>
              </w:rPr>
              <w:t>Teradata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介面規格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8338C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IBM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proofErr w:type="spellStart"/>
            <w:r w:rsidRPr="00DF2BF2">
              <w:rPr>
                <w:rFonts w:ascii="Times New Roman" w:eastAsia="標楷體" w:hAnsi="Times New Roman" w:cs="Times New Roman"/>
                <w:b/>
                <w:i/>
              </w:rPr>
              <w:t>Confinity</w:t>
            </w:r>
            <w:proofErr w:type="spellEnd"/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 L</w:t>
            </w:r>
            <w:bookmarkStart w:id="0" w:name="_GoBack"/>
            <w:bookmarkEnd w:id="0"/>
            <w:r w:rsidRPr="00DF2BF2">
              <w:rPr>
                <w:rFonts w:ascii="Times New Roman" w:eastAsia="標楷體" w:hAnsi="Times New Roman" w:cs="Times New Roman"/>
                <w:b/>
                <w:i/>
              </w:rPr>
              <w:t>LM (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原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IBM LLM)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proofErr w:type="spellStart"/>
            <w:r w:rsidRPr="00DF2BF2">
              <w:rPr>
                <w:rFonts w:ascii="Times New Roman" w:eastAsia="標楷體" w:hAnsi="Times New Roman" w:cs="Times New Roman"/>
                <w:b/>
                <w:i/>
              </w:rPr>
              <w:t>Informatica</w:t>
            </w:r>
            <w:proofErr w:type="spellEnd"/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proofErr w:type="spellStart"/>
            <w:r w:rsidRPr="00DF2BF2">
              <w:rPr>
                <w:rFonts w:ascii="Times New Roman" w:eastAsia="標楷體" w:hAnsi="Times New Roman" w:cs="Times New Roman"/>
                <w:b/>
                <w:i/>
              </w:rPr>
              <w:t>Microsof</w:t>
            </w:r>
            <w:proofErr w:type="spellEnd"/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伺服器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Oracle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IBM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HPE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Fujitsu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 Cisco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Dell Technologie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s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儲存設備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I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BM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Dell EMC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NetApp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HPE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Hitachi </w:t>
            </w:r>
            <w:proofErr w:type="spellStart"/>
            <w:r w:rsidRPr="00DF2BF2">
              <w:rPr>
                <w:rFonts w:ascii="Times New Roman" w:eastAsia="標楷體" w:hAnsi="Times New Roman" w:cs="Times New Roman"/>
                <w:b/>
                <w:i/>
              </w:rPr>
              <w:t>Vantara</w:t>
            </w:r>
            <w:proofErr w:type="spellEnd"/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Switch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Cisco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Juniper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虛擬化技術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VMware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Microsoft Hyper-V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</w:p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Red Hat RHEV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行動應用系統平台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Android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Apple IOS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交易前台傳輸協定標準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FIX 4.4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TMP 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電文格式</w:t>
            </w:r>
          </w:p>
        </w:tc>
      </w:tr>
      <w:tr w:rsidR="00410AD2" w:rsidTr="0052529C">
        <w:tc>
          <w:tcPr>
            <w:tcW w:w="138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410AD2" w:rsidRPr="00410AD2" w:rsidRDefault="00410AD2" w:rsidP="0052529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410AD2">
              <w:rPr>
                <w:rFonts w:ascii="標楷體" w:eastAsia="標楷體" w:hAnsi="標楷體"/>
              </w:rPr>
              <w:t>行情傳輸協定標準</w:t>
            </w:r>
          </w:p>
        </w:tc>
        <w:tc>
          <w:tcPr>
            <w:tcW w:w="3827" w:type="dxa"/>
            <w:vAlign w:val="center"/>
          </w:tcPr>
          <w:p w:rsidR="00410AD2" w:rsidRPr="00DF2BF2" w:rsidRDefault="00410AD2" w:rsidP="0052529C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</w:rPr>
            </w:pPr>
            <w:r w:rsidRPr="00DF2BF2">
              <w:rPr>
                <w:rFonts w:ascii="Times New Roman" w:eastAsia="標楷體" w:hAnsi="Times New Roman" w:cs="Times New Roman"/>
                <w:b/>
                <w:i/>
              </w:rPr>
              <w:t>FAST1.1</w:t>
            </w:r>
            <w:r w:rsidR="00DF2BF2">
              <w:rPr>
                <w:rFonts w:ascii="Times New Roman" w:eastAsia="標楷體" w:hAnsi="Times New Roman" w:cs="Times New Roman" w:hint="eastAsia"/>
                <w:b/>
                <w:i/>
              </w:rPr>
              <w:t>、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 xml:space="preserve">TMP </w:t>
            </w:r>
            <w:r w:rsidRPr="00DF2BF2">
              <w:rPr>
                <w:rFonts w:ascii="Times New Roman" w:eastAsia="標楷體" w:hAnsi="Times New Roman" w:cs="Times New Roman"/>
                <w:b/>
                <w:i/>
              </w:rPr>
              <w:t>電文格式</w:t>
            </w:r>
          </w:p>
        </w:tc>
      </w:tr>
    </w:tbl>
    <w:p w:rsidR="00410AD2" w:rsidRPr="00A21053" w:rsidRDefault="00410AD2" w:rsidP="003E33AE">
      <w:pPr>
        <w:pStyle w:val="a3"/>
        <w:ind w:leftChars="0" w:left="600"/>
        <w:rPr>
          <w:rFonts w:ascii="標楷體" w:eastAsia="標楷體" w:hAnsi="標楷體" w:hint="eastAsia"/>
        </w:rPr>
      </w:pPr>
    </w:p>
    <w:sectPr w:rsidR="00410AD2" w:rsidRPr="00A21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920"/>
    <w:multiLevelType w:val="hybridMultilevel"/>
    <w:tmpl w:val="1E90CA8A"/>
    <w:lvl w:ilvl="0" w:tplc="C11A8104">
      <w:start w:val="1"/>
      <w:numFmt w:val="taiwaneseCountingThousand"/>
      <w:lvlText w:val="(%1)"/>
      <w:lvlJc w:val="left"/>
      <w:pPr>
        <w:ind w:left="9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D26004E"/>
    <w:multiLevelType w:val="hybridMultilevel"/>
    <w:tmpl w:val="A50A089C"/>
    <w:lvl w:ilvl="0" w:tplc="207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8940623"/>
    <w:multiLevelType w:val="hybridMultilevel"/>
    <w:tmpl w:val="2E12BD04"/>
    <w:lvl w:ilvl="0" w:tplc="126615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AE"/>
    <w:rsid w:val="0037516D"/>
    <w:rsid w:val="003E33AE"/>
    <w:rsid w:val="00410AD2"/>
    <w:rsid w:val="0052529C"/>
    <w:rsid w:val="00635A39"/>
    <w:rsid w:val="0079792A"/>
    <w:rsid w:val="008338C9"/>
    <w:rsid w:val="00942660"/>
    <w:rsid w:val="00A21053"/>
    <w:rsid w:val="00D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39C5"/>
  <w15:chartTrackingRefBased/>
  <w15:docId w15:val="{F9E93D13-ADCD-4ACC-A485-32454ED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AE"/>
    <w:pPr>
      <w:ind w:leftChars="200" w:left="480"/>
    </w:pPr>
  </w:style>
  <w:style w:type="table" w:styleId="a4">
    <w:name w:val="Table Grid"/>
    <w:basedOn w:val="a1"/>
    <w:uiPriority w:val="39"/>
    <w:rsid w:val="0041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140</Words>
  <Characters>799</Characters>
  <Application>Microsoft Office Word</Application>
  <DocSecurity>0</DocSecurity>
  <Lines>6</Lines>
  <Paragraphs>1</Paragraphs>
  <ScaleCrop>false</ScaleCrop>
  <Company>TWSE 臺灣證券交易所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林貞錡</dc:creator>
  <cp:keywords/>
  <dc:description/>
  <cp:lastModifiedBy>林貞錡</cp:lastModifiedBy>
  <cp:revision>5</cp:revision>
  <dcterms:created xsi:type="dcterms:W3CDTF">2025-02-26T04:03:00Z</dcterms:created>
  <dcterms:modified xsi:type="dcterms:W3CDTF">2025-02-26T06:18:00Z</dcterms:modified>
</cp:coreProperties>
</file>