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rsidR="00332C6E" w:rsidRPr="000803AE" w:rsidRDefault="00332C6E" w:rsidP="003716D3">
            <w:pPr>
              <w:tabs>
                <w:tab w:val="left" w:pos="5072"/>
              </w:tabs>
              <w:kinsoku w:val="0"/>
              <w:overflowPunct w:val="0"/>
              <w:snapToGrid w:val="0"/>
              <w:jc w:val="center"/>
              <w:rPr>
                <w:rFonts w:eastAsia="標楷體"/>
                <w:b/>
                <w:sz w:val="20"/>
                <w:szCs w:val="20"/>
              </w:rPr>
            </w:pPr>
          </w:p>
          <w:p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407AFD" w:rsidRPr="000803AE" w:rsidRDefault="00407AFD" w:rsidP="002572F2">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r w:rsidR="003614ED">
              <w:rPr>
                <w:rFonts w:eastAsia="標楷體"/>
                <w:sz w:val="20"/>
                <w:szCs w:val="20"/>
              </w:rPr>
              <w:t>May 5</w:t>
            </w:r>
            <w:r w:rsidR="007A31B0">
              <w:rPr>
                <w:rFonts w:eastAsia="標楷體"/>
                <w:sz w:val="20"/>
                <w:szCs w:val="20"/>
              </w:rPr>
              <w:t>, 202</w:t>
            </w:r>
            <w:r w:rsidR="003614ED">
              <w:rPr>
                <w:rFonts w:eastAsia="標楷體"/>
                <w:sz w:val="20"/>
                <w:szCs w:val="20"/>
              </w:rPr>
              <w:t>5</w:t>
            </w:r>
          </w:p>
        </w:tc>
      </w:tr>
      <w:tr w:rsidR="002B3764" w:rsidRPr="000803AE"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rsidTr="0006674B">
        <w:trPr>
          <w:tblHeader/>
        </w:trPr>
        <w:tc>
          <w:tcPr>
            <w:tcW w:w="476"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rsidTr="0006674B">
        <w:tc>
          <w:tcPr>
            <w:tcW w:w="476"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rsidR="004B2F2D" w:rsidRPr="000803AE" w:rsidRDefault="004B2F2D" w:rsidP="003716D3">
            <w:pPr>
              <w:kinsoku w:val="0"/>
              <w:overflowPunct w:val="0"/>
              <w:snapToGrid w:val="0"/>
              <w:rPr>
                <w:sz w:val="20"/>
                <w:szCs w:val="20"/>
              </w:rPr>
            </w:pPr>
          </w:p>
        </w:tc>
        <w:tc>
          <w:tcPr>
            <w:tcW w:w="5512" w:type="dxa"/>
            <w:shd w:val="clear" w:color="auto" w:fill="FFFFFF"/>
          </w:tcPr>
          <w:p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rsidTr="0006674B">
        <w:tc>
          <w:tcPr>
            <w:tcW w:w="476"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rsidTr="0006674B">
        <w:tc>
          <w:tcPr>
            <w:tcW w:w="476"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rsidTr="0006674B">
        <w:trPr>
          <w:trHeight w:val="522"/>
        </w:trPr>
        <w:tc>
          <w:tcPr>
            <w:tcW w:w="476"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rsidTr="0006674B">
        <w:tc>
          <w:tcPr>
            <w:tcW w:w="476"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rsidR="00F42C20" w:rsidRPr="000803AE" w:rsidRDefault="00F42C20" w:rsidP="003716D3">
            <w:pPr>
              <w:snapToGrid w:val="0"/>
              <w:rPr>
                <w:rFonts w:eastAsia="標楷體"/>
                <w:sz w:val="20"/>
                <w:szCs w:val="20"/>
              </w:rPr>
            </w:pP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rsidTr="0006674B">
        <w:tc>
          <w:tcPr>
            <w:tcW w:w="476"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2955E5" w:rsidRPr="000803AE" w:rsidTr="0006674B">
        <w:tc>
          <w:tcPr>
            <w:tcW w:w="476" w:type="dxa"/>
            <w:vMerge/>
            <w:shd w:val="clear" w:color="auto" w:fill="FFFFFF"/>
            <w:vAlign w:val="center"/>
          </w:tcPr>
          <w:p w:rsidR="002955E5" w:rsidRPr="000803AE" w:rsidRDefault="002955E5" w:rsidP="002955E5">
            <w:pPr>
              <w:kinsoku w:val="0"/>
              <w:overflowPunct w:val="0"/>
              <w:snapToGrid w:val="0"/>
              <w:jc w:val="center"/>
              <w:rPr>
                <w:rFonts w:eastAsia="標楷體"/>
                <w:sz w:val="20"/>
                <w:szCs w:val="20"/>
              </w:rPr>
            </w:pPr>
          </w:p>
        </w:tc>
        <w:tc>
          <w:tcPr>
            <w:tcW w:w="440" w:type="dxa"/>
            <w:vMerge/>
            <w:shd w:val="clear" w:color="auto" w:fill="FFFFFF"/>
            <w:vAlign w:val="center"/>
          </w:tcPr>
          <w:p w:rsidR="002955E5" w:rsidRPr="000803AE" w:rsidRDefault="002955E5" w:rsidP="002955E5">
            <w:pPr>
              <w:kinsoku w:val="0"/>
              <w:overflowPunct w:val="0"/>
              <w:snapToGrid w:val="0"/>
              <w:jc w:val="center"/>
              <w:rPr>
                <w:rFonts w:eastAsia="標楷體"/>
                <w:sz w:val="20"/>
                <w:szCs w:val="20"/>
              </w:rPr>
            </w:pPr>
          </w:p>
        </w:tc>
        <w:tc>
          <w:tcPr>
            <w:tcW w:w="497" w:type="dxa"/>
            <w:shd w:val="clear" w:color="auto" w:fill="FFFFFF"/>
            <w:vAlign w:val="center"/>
          </w:tcPr>
          <w:p w:rsidR="002955E5" w:rsidRPr="000803AE" w:rsidRDefault="002955E5" w:rsidP="002955E5">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rsidR="002955E5" w:rsidRPr="000803AE" w:rsidRDefault="002955E5" w:rsidP="002955E5">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955E5" w:rsidRPr="000803AE" w:rsidRDefault="002955E5" w:rsidP="002955E5">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2955E5" w:rsidRPr="000803AE" w:rsidRDefault="002955E5" w:rsidP="002955E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76A56" w:rsidRPr="000803AE" w:rsidTr="0006674B">
        <w:tc>
          <w:tcPr>
            <w:tcW w:w="476" w:type="dxa"/>
            <w:vMerge/>
            <w:shd w:val="clear" w:color="auto" w:fill="FFFFFF"/>
            <w:vAlign w:val="center"/>
          </w:tcPr>
          <w:p w:rsidR="00776A56" w:rsidRPr="000803AE" w:rsidRDefault="00776A56" w:rsidP="00776A56">
            <w:pPr>
              <w:kinsoku w:val="0"/>
              <w:overflowPunct w:val="0"/>
              <w:snapToGrid w:val="0"/>
              <w:jc w:val="center"/>
              <w:rPr>
                <w:rFonts w:eastAsia="標楷體"/>
                <w:sz w:val="20"/>
                <w:szCs w:val="20"/>
              </w:rPr>
            </w:pPr>
          </w:p>
        </w:tc>
        <w:tc>
          <w:tcPr>
            <w:tcW w:w="440" w:type="dxa"/>
            <w:vMerge/>
            <w:shd w:val="clear" w:color="auto" w:fill="FFFFFF"/>
            <w:vAlign w:val="center"/>
          </w:tcPr>
          <w:p w:rsidR="00776A56" w:rsidRPr="000803AE" w:rsidRDefault="00776A56" w:rsidP="00776A56">
            <w:pPr>
              <w:kinsoku w:val="0"/>
              <w:overflowPunct w:val="0"/>
              <w:snapToGrid w:val="0"/>
              <w:jc w:val="center"/>
              <w:rPr>
                <w:rFonts w:eastAsia="標楷體"/>
                <w:sz w:val="20"/>
                <w:szCs w:val="20"/>
              </w:rPr>
            </w:pPr>
          </w:p>
        </w:tc>
        <w:tc>
          <w:tcPr>
            <w:tcW w:w="497" w:type="dxa"/>
            <w:shd w:val="clear" w:color="auto" w:fill="FFFFFF"/>
            <w:vAlign w:val="center"/>
          </w:tcPr>
          <w:p w:rsidR="00776A56" w:rsidRPr="000803AE" w:rsidRDefault="00776A56" w:rsidP="00776A56">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1</w:t>
            </w:r>
          </w:p>
        </w:tc>
        <w:tc>
          <w:tcPr>
            <w:tcW w:w="4115" w:type="dxa"/>
            <w:shd w:val="clear" w:color="auto" w:fill="FFFFFF"/>
          </w:tcPr>
          <w:p w:rsidR="00776A56" w:rsidRDefault="00776A56" w:rsidP="00597C8D">
            <w:pPr>
              <w:pStyle w:val="af0"/>
              <w:numPr>
                <w:ilvl w:val="0"/>
                <w:numId w:val="488"/>
              </w:numPr>
              <w:snapToGrid w:val="0"/>
              <w:rPr>
                <w:sz w:val="20"/>
              </w:rPr>
            </w:pPr>
            <w:r w:rsidRPr="00597C8D">
              <w:rPr>
                <w:sz w:val="20"/>
              </w:rPr>
              <w:t>Information about the major current positions and major experience of independent directors of a listed company, and whether they concurrently serve as directors or supervisors of any other company.</w:t>
            </w:r>
          </w:p>
          <w:p w:rsidR="00776A56" w:rsidRPr="00776A56" w:rsidRDefault="00776A56" w:rsidP="00597C8D">
            <w:pPr>
              <w:pStyle w:val="af0"/>
              <w:snapToGrid w:val="0"/>
              <w:ind w:left="360"/>
              <w:rPr>
                <w:sz w:val="20"/>
              </w:rPr>
            </w:pPr>
            <w:r w:rsidRPr="00597C8D">
              <w:rPr>
                <w:color w:val="FF0000"/>
                <w:sz w:val="20"/>
                <w:szCs w:val="20"/>
              </w:rPr>
              <w:t>Note 1: The changes for preceding quarter shall be reported within 10 days following the end of each quarter.</w:t>
            </w:r>
          </w:p>
          <w:p w:rsidR="00776A56" w:rsidRPr="000803AE" w:rsidRDefault="00776A56" w:rsidP="00597C8D">
            <w:pPr>
              <w:pStyle w:val="af0"/>
              <w:numPr>
                <w:ilvl w:val="0"/>
                <w:numId w:val="488"/>
              </w:numPr>
              <w:snapToGrid w:val="0"/>
              <w:rPr>
                <w:rFonts w:eastAsia="標楷體"/>
                <w:sz w:val="20"/>
              </w:rPr>
            </w:pPr>
            <w:r w:rsidRPr="000803AE">
              <w:rPr>
                <w:rFonts w:eastAsia="標楷體"/>
                <w:sz w:val="20"/>
              </w:rPr>
              <w:t xml:space="preserve">Attendance </w:t>
            </w:r>
            <w:r w:rsidRPr="000803AE">
              <w:rPr>
                <w:rFonts w:eastAsia="標楷體" w:hint="eastAsia"/>
                <w:sz w:val="20"/>
              </w:rPr>
              <w:t xml:space="preserve">(or attendance as non-voting delegates) </w:t>
            </w:r>
            <w:r w:rsidRPr="000803AE">
              <w:rPr>
                <w:rFonts w:eastAsia="標楷體"/>
                <w:sz w:val="20"/>
              </w:rPr>
              <w:t>at board meetings and training courses taken by each director.</w:t>
            </w:r>
          </w:p>
          <w:p w:rsidR="00776A56" w:rsidRPr="00213EA6" w:rsidRDefault="00776A56" w:rsidP="00597C8D">
            <w:pPr>
              <w:pStyle w:val="af0"/>
              <w:snapToGrid w:val="0"/>
              <w:ind w:left="360"/>
              <w:rPr>
                <w:sz w:val="20"/>
                <w:szCs w:val="20"/>
              </w:rPr>
            </w:pPr>
            <w:r w:rsidRPr="00597C8D">
              <w:rPr>
                <w:color w:val="FF0000"/>
                <w:sz w:val="20"/>
                <w:szCs w:val="20"/>
              </w:rPr>
              <w:t xml:space="preserve">Note 2: </w:t>
            </w:r>
            <w:r w:rsidRPr="00597C8D">
              <w:rPr>
                <w:rFonts w:eastAsia="標楷體" w:hint="eastAsia"/>
                <w:color w:val="FF0000"/>
                <w:sz w:val="20"/>
              </w:rPr>
              <w:t>A</w:t>
            </w:r>
            <w:r w:rsidRPr="00597C8D">
              <w:rPr>
                <w:rFonts w:eastAsia="標楷體"/>
                <w:color w:val="FF0000"/>
                <w:sz w:val="20"/>
              </w:rPr>
              <w:t>nnual information of attendance of directors at board meetings is open for uploading</w:t>
            </w:r>
            <w:r w:rsidRPr="00597C8D">
              <w:rPr>
                <w:rFonts w:eastAsia="標楷體" w:hint="eastAsia"/>
                <w:color w:val="FF0000"/>
                <w:sz w:val="20"/>
              </w:rPr>
              <w:t xml:space="preserve"> </w:t>
            </w:r>
            <w:r w:rsidRPr="00597C8D">
              <w:rPr>
                <w:rFonts w:eastAsia="標楷體"/>
                <w:color w:val="FF0000"/>
                <w:sz w:val="20"/>
              </w:rPr>
              <w:t xml:space="preserve">on </w:t>
            </w:r>
            <w:r w:rsidRPr="00597C8D">
              <w:rPr>
                <w:color w:val="FF0000"/>
                <w:sz w:val="20"/>
                <w:szCs w:val="20"/>
              </w:rPr>
              <w:t>January</w:t>
            </w:r>
            <w:r w:rsidRPr="00597C8D">
              <w:rPr>
                <w:rFonts w:eastAsia="標楷體"/>
                <w:color w:val="FF0000"/>
                <w:sz w:val="20"/>
              </w:rPr>
              <w:t xml:space="preserve"> 1 of each year, and annual information of meeting in the preceding year shall be uploaded by January 1</w:t>
            </w:r>
            <w:r>
              <w:rPr>
                <w:rFonts w:eastAsia="標楷體"/>
                <w:color w:val="FF0000"/>
                <w:sz w:val="20"/>
              </w:rPr>
              <w:t>0</w:t>
            </w:r>
            <w:r w:rsidRPr="00597C8D">
              <w:rPr>
                <w:rFonts w:eastAsia="標楷體"/>
                <w:color w:val="FF0000"/>
                <w:sz w:val="20"/>
              </w:rPr>
              <w:t xml:space="preserve"> </w:t>
            </w:r>
            <w:r w:rsidR="0001311F" w:rsidRPr="00E14D49">
              <w:rPr>
                <w:rFonts w:eastAsia="標楷體"/>
                <w:color w:val="FF0000"/>
                <w:sz w:val="20"/>
              </w:rPr>
              <w:t>(the annual information shall include information of board meetings held before the election in that year and attendance of directors (or attendance as non-voting delegates) at such board meeting)</w:t>
            </w:r>
            <w:r w:rsidRPr="00E14D49">
              <w:rPr>
                <w:rFonts w:eastAsia="標楷體"/>
                <w:color w:val="FF0000"/>
                <w:sz w:val="20"/>
              </w:rPr>
              <w:t>.</w:t>
            </w:r>
          </w:p>
        </w:tc>
        <w:tc>
          <w:tcPr>
            <w:tcW w:w="5512" w:type="dxa"/>
            <w:shd w:val="clear" w:color="auto" w:fill="FFFFFF"/>
          </w:tcPr>
          <w:p w:rsidR="00776A56" w:rsidRPr="000803AE" w:rsidRDefault="00776A56" w:rsidP="00003051">
            <w:pPr>
              <w:snapToGrid w:val="0"/>
              <w:ind w:left="200" w:hanging="200"/>
              <w:rPr>
                <w:rFonts w:eastAsia="標楷體"/>
                <w:sz w:val="20"/>
              </w:rPr>
            </w:pPr>
            <w:r w:rsidRPr="000803AE">
              <w:rPr>
                <w:rFonts w:eastAsia="標楷體"/>
                <w:sz w:val="20"/>
              </w:rPr>
              <w:t xml:space="preserve">1. The relevant information shall be uploaded to the Market Observation Post System (sii.twse.com.tw/reporting of </w:t>
            </w:r>
            <w:r w:rsidRPr="000803AE">
              <w:rPr>
                <w:rFonts w:eastAsia="標楷體" w:hint="eastAsia"/>
                <w:sz w:val="20"/>
              </w:rPr>
              <w:t xml:space="preserve">the </w:t>
            </w:r>
            <w:r w:rsidRPr="000803AE">
              <w:rPr>
                <w:rFonts w:eastAsia="標楷體"/>
                <w:sz w:val="20"/>
              </w:rPr>
              <w:t>attendance</w:t>
            </w:r>
            <w:r w:rsidRPr="000803AE">
              <w:rPr>
                <w:rFonts w:eastAsia="標楷體" w:hint="eastAsia"/>
                <w:sz w:val="20"/>
              </w:rPr>
              <w:t xml:space="preserve"> (or attendance as non-voting delegates) at board meetings and </w:t>
            </w:r>
            <w:r w:rsidRPr="00003051">
              <w:rPr>
                <w:rFonts w:eastAsia="標楷體" w:hint="eastAsia"/>
                <w:sz w:val="20"/>
                <w:szCs w:val="20"/>
              </w:rPr>
              <w:t>training</w:t>
            </w:r>
            <w:r w:rsidRPr="000803AE">
              <w:rPr>
                <w:rFonts w:eastAsia="標楷體" w:hint="eastAsia"/>
                <w:sz w:val="20"/>
              </w:rPr>
              <w:t xml:space="preserve"> courses taken by directors and </w:t>
            </w:r>
            <w:r w:rsidRPr="000803AE">
              <w:rPr>
                <w:rFonts w:eastAsia="標楷體"/>
                <w:sz w:val="20"/>
              </w:rPr>
              <w:t>supervisors and</w:t>
            </w:r>
            <w:r w:rsidRPr="000803AE">
              <w:rPr>
                <w:rFonts w:eastAsia="標楷體" w:hint="eastAsia"/>
                <w:sz w:val="20"/>
              </w:rPr>
              <w:t xml:space="preserve"> the current position, experience and concurrent position of independent directors</w:t>
            </w:r>
            <w:r w:rsidRPr="000803AE">
              <w:rPr>
                <w:rFonts w:eastAsia="標楷體"/>
                <w:sz w:val="20"/>
              </w:rPr>
              <w:t>/</w:t>
            </w:r>
            <w:r w:rsidRPr="000803AE">
              <w:rPr>
                <w:rFonts w:eastAsia="標楷體" w:hint="eastAsia"/>
                <w:sz w:val="20"/>
              </w:rPr>
              <w:t>reporting of training courses</w:t>
            </w:r>
            <w:r w:rsidRPr="000803AE">
              <w:rPr>
                <w:rFonts w:eastAsia="標楷體"/>
                <w:sz w:val="20"/>
              </w:rPr>
              <w:t xml:space="preserve"> </w:t>
            </w:r>
            <w:r w:rsidRPr="000803AE">
              <w:rPr>
                <w:rFonts w:eastAsia="標楷體" w:hint="eastAsia"/>
                <w:sz w:val="20"/>
              </w:rPr>
              <w:t>taken by directors and supervisors and the current position, experience and concurrent position of independent directors</w:t>
            </w:r>
            <w:r w:rsidRPr="000803AE">
              <w:rPr>
                <w:rFonts w:eastAsia="標楷體"/>
                <w:sz w:val="20"/>
              </w:rPr>
              <w:t>).</w:t>
            </w:r>
          </w:p>
          <w:p w:rsidR="00776A56" w:rsidRPr="000803AE" w:rsidRDefault="00776A56" w:rsidP="00003051">
            <w:pPr>
              <w:snapToGrid w:val="0"/>
              <w:ind w:left="200" w:hanging="200"/>
              <w:rPr>
                <w:sz w:val="20"/>
                <w:szCs w:val="20"/>
              </w:rPr>
            </w:pPr>
            <w:r w:rsidRPr="000803AE">
              <w:rPr>
                <w:rFonts w:eastAsia="標楷體"/>
                <w:sz w:val="20"/>
              </w:rPr>
              <w:t xml:space="preserve">2. The relevant information shall be uploaded to the Market Observation Post System (sii.twse.com.tw/reporting of attendance </w:t>
            </w:r>
            <w:r w:rsidRPr="000803AE">
              <w:rPr>
                <w:rFonts w:eastAsia="標楷體" w:hint="eastAsia"/>
                <w:sz w:val="20"/>
              </w:rPr>
              <w:t xml:space="preserve">(or attendance as non-voting delegates) </w:t>
            </w:r>
            <w:r w:rsidRPr="000803AE">
              <w:rPr>
                <w:rFonts w:eastAsia="標楷體"/>
                <w:sz w:val="20"/>
              </w:rPr>
              <w:t>at board meetings and training courses taken by directors and supervisors</w:t>
            </w:r>
            <w:r w:rsidRPr="000803AE">
              <w:rPr>
                <w:rFonts w:eastAsia="標楷體" w:hint="eastAsia"/>
                <w:sz w:val="20"/>
              </w:rPr>
              <w:t xml:space="preserve"> and the current position, experience and concurrent position of independent directors</w:t>
            </w:r>
            <w:r w:rsidRPr="000803AE">
              <w:rPr>
                <w:rFonts w:eastAsia="標楷體"/>
                <w:sz w:val="20"/>
              </w:rPr>
              <w:t>/</w:t>
            </w:r>
            <w:r w:rsidRPr="000803AE">
              <w:rPr>
                <w:rFonts w:eastAsia="標楷體" w:hint="eastAsia"/>
                <w:sz w:val="20"/>
              </w:rPr>
              <w:t xml:space="preserve">reporting of </w:t>
            </w:r>
            <w:r w:rsidRPr="000803AE">
              <w:rPr>
                <w:rFonts w:eastAsia="標楷體"/>
                <w:sz w:val="20"/>
              </w:rPr>
              <w:t xml:space="preserve">attendance </w:t>
            </w:r>
            <w:r w:rsidRPr="000803AE">
              <w:rPr>
                <w:rFonts w:eastAsia="標楷體" w:hint="eastAsia"/>
                <w:sz w:val="20"/>
              </w:rPr>
              <w:t>(or attendance as non-voting delegates)</w:t>
            </w:r>
            <w:r w:rsidRPr="000803AE">
              <w:rPr>
                <w:rFonts w:eastAsia="標楷體"/>
                <w:sz w:val="20"/>
              </w:rPr>
              <w:t xml:space="preserve"> at board meetings by directors and supervisors</w:t>
            </w:r>
            <w:r w:rsidRPr="000803AE">
              <w:rPr>
                <w:rFonts w:eastAsia="標楷體" w:hint="eastAsia"/>
                <w:sz w:val="20"/>
              </w:rPr>
              <w:t>).</w:t>
            </w:r>
          </w:p>
        </w:tc>
        <w:tc>
          <w:tcPr>
            <w:tcW w:w="4008" w:type="dxa"/>
            <w:shd w:val="clear" w:color="auto" w:fill="FFFFFF"/>
          </w:tcPr>
          <w:p w:rsidR="00776A56" w:rsidRPr="000803AE" w:rsidRDefault="00776A56" w:rsidP="00776A56">
            <w:pPr>
              <w:snapToGrid w:val="0"/>
              <w:rPr>
                <w:sz w:val="20"/>
                <w:szCs w:val="20"/>
              </w:rPr>
            </w:pPr>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2</w:t>
            </w:r>
          </w:p>
        </w:tc>
        <w:tc>
          <w:tcPr>
            <w:tcW w:w="4115" w:type="dxa"/>
            <w:shd w:val="clear" w:color="auto" w:fill="FFFFFF"/>
          </w:tcPr>
          <w:p w:rsidR="00AF022B" w:rsidRDefault="00AF022B" w:rsidP="00AF022B">
            <w:pPr>
              <w:snapToGrid w:val="0"/>
              <w:rPr>
                <w:rFonts w:eastAsia="標楷體"/>
                <w:sz w:val="20"/>
                <w:szCs w:val="20"/>
              </w:rPr>
            </w:pPr>
            <w:r w:rsidRPr="000803AE">
              <w:rPr>
                <w:sz w:val="20"/>
                <w:szCs w:val="20"/>
              </w:rPr>
              <w:t>Operations of the functional committee</w:t>
            </w:r>
            <w:r w:rsidRPr="000803AE">
              <w:rPr>
                <w:rFonts w:eastAsia="標楷體"/>
                <w:sz w:val="20"/>
                <w:szCs w:val="20"/>
              </w:rPr>
              <w:t xml:space="preserve"> </w:t>
            </w:r>
          </w:p>
          <w:p w:rsidR="00AF022B" w:rsidRPr="00AE33F6" w:rsidRDefault="00AF022B" w:rsidP="00AF022B">
            <w:pPr>
              <w:snapToGrid w:val="0"/>
              <w:rPr>
                <w:rFonts w:eastAsia="標楷體"/>
                <w:sz w:val="20"/>
                <w:szCs w:val="20"/>
              </w:rPr>
            </w:pPr>
            <w:r w:rsidRPr="000803AE">
              <w:rPr>
                <w:rFonts w:eastAsia="標楷體"/>
                <w:sz w:val="20"/>
                <w:szCs w:val="20"/>
              </w:rPr>
              <w:t xml:space="preserve">Note: </w:t>
            </w:r>
            <w:r w:rsidRPr="008F5149">
              <w:rPr>
                <w:rFonts w:eastAsia="標楷體"/>
                <w:sz w:val="20"/>
                <w:szCs w:val="20"/>
              </w:rPr>
              <w:t xml:space="preserve">The declaration </w:t>
            </w:r>
            <w:r>
              <w:rPr>
                <w:rFonts w:eastAsia="標楷體"/>
                <w:sz w:val="20"/>
                <w:szCs w:val="20"/>
              </w:rPr>
              <w:t xml:space="preserve">shall </w:t>
            </w:r>
            <w:r w:rsidRPr="008F5149">
              <w:rPr>
                <w:rFonts w:eastAsia="標楷體"/>
                <w:sz w:val="20"/>
                <w:szCs w:val="20"/>
              </w:rPr>
              <w:t>be submitted before January 10 each year.</w:t>
            </w:r>
          </w:p>
        </w:tc>
        <w:tc>
          <w:tcPr>
            <w:tcW w:w="5512" w:type="dxa"/>
            <w:shd w:val="clear" w:color="auto" w:fill="FFFFFF"/>
          </w:tcPr>
          <w:p w:rsidR="00AF022B" w:rsidRPr="00C00668" w:rsidRDefault="00AF022B" w:rsidP="00C00668">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tc>
        <w:tc>
          <w:tcPr>
            <w:tcW w:w="4008" w:type="dxa"/>
            <w:shd w:val="clear" w:color="auto" w:fill="FFFFFF"/>
          </w:tcPr>
          <w:p w:rsidR="00AF022B" w:rsidRPr="000803AE" w:rsidRDefault="00AF022B" w:rsidP="00C00668">
            <w:pPr>
              <w:snapToGrid w:val="0"/>
              <w:rPr>
                <w:sz w:val="20"/>
                <w:szCs w:val="20"/>
              </w:rPr>
            </w:pPr>
            <w:r w:rsidRPr="000803AE">
              <w:rPr>
                <w:rFonts w:eastAsia="標楷體"/>
                <w:sz w:val="20"/>
                <w:szCs w:val="20"/>
              </w:rPr>
              <w:t>Subparagraph 20, Paragraph 2,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Information on employee stock option certificates </w:t>
            </w:r>
            <w:r w:rsidRPr="000803AE">
              <w:rPr>
                <w:rFonts w:eastAsia="標楷體"/>
                <w:sz w:val="20"/>
                <w:szCs w:val="20"/>
              </w:rPr>
              <w:lastRenderedPageBreak/>
              <w:t>excised and not yet exercised for the preceding year.</w:t>
            </w:r>
          </w:p>
          <w:p w:rsidR="00AF022B" w:rsidRPr="000803AE" w:rsidRDefault="00AF022B" w:rsidP="00AF022B">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w:t>
            </w:r>
            <w:r w:rsidRPr="000803AE">
              <w:rPr>
                <w:rFonts w:ascii="Times New Roman" w:eastAsia="標楷體" w:hAnsi="Times New Roman"/>
                <w:sz w:val="20"/>
                <w:lang w:val="en-US" w:eastAsia="zh-TW"/>
              </w:rPr>
              <w:lastRenderedPageBreak/>
              <w:t>Observation Post System (sii.twse.com.tw/reporting of employee stock option certificates/</w:t>
            </w:r>
            <w:r>
              <w:rPr>
                <w:rFonts w:ascii="Times New Roman" w:eastAsia="標楷體" w:hAnsi="Times New Roman"/>
                <w:sz w:val="20"/>
                <w:lang w:val="en-US" w:eastAsia="zh-TW"/>
              </w:rPr>
              <w:t xml:space="preserve">reporting after </w:t>
            </w:r>
            <w:r w:rsidRPr="00A16C54">
              <w:rPr>
                <w:rFonts w:ascii="Times New Roman" w:eastAsia="標楷體" w:hAnsi="Times New Roman"/>
                <w:sz w:val="20"/>
                <w:lang w:val="en-US" w:eastAsia="zh-TW"/>
              </w:rPr>
              <w:t>the issuance of employee stock</w:t>
            </w:r>
            <w:r w:rsidRPr="000803AE">
              <w:rPr>
                <w:rFonts w:ascii="Times New Roman" w:eastAsia="標楷體" w:hAnsi="Times New Roman"/>
                <w:sz w:val="20"/>
                <w:lang w:val="en-US" w:eastAsia="zh-TW"/>
              </w:rPr>
              <w:t xml:space="preserve"> option certificates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Names of the domestic and offshore managerial officers and department/branch chiefs who are granted employee stock option certificates in the preceding year and as of the end of the preceding year, consolidated information on granting employee stock option certificates and the subscribing details; other than the above persons, names of the domestic and offshore employees who are granted with top 10 numbers of employee stock option certificates in the preceding year and as of the end of the preceding year, consolidated information on granting employee stock option certificates and the subscribing details.</w:t>
            </w:r>
          </w:p>
          <w:p w:rsidR="00AF022B" w:rsidRPr="000803AE" w:rsidRDefault="00AF022B" w:rsidP="00AF022B">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Pr>
                <w:rFonts w:ascii="Times New Roman" w:eastAsia="標楷體" w:hAnsi="Times New Roman"/>
                <w:sz w:val="20"/>
                <w:lang w:val="en-US" w:eastAsia="zh-TW"/>
              </w:rPr>
              <w:t xml:space="preserve">reporting after </w:t>
            </w:r>
            <w:r w:rsidRPr="00A16C54">
              <w:rPr>
                <w:rFonts w:ascii="Times New Roman" w:eastAsia="標楷體" w:hAnsi="Times New Roman"/>
                <w:sz w:val="20"/>
                <w:lang w:val="en-US" w:eastAsia="zh-TW"/>
              </w:rPr>
              <w:t>the issuance of employee stock</w:t>
            </w:r>
            <w:r w:rsidRPr="000803AE">
              <w:rPr>
                <w:rFonts w:ascii="Times New Roman" w:eastAsia="標楷體" w:hAnsi="Times New Roman"/>
                <w:sz w:val="20"/>
                <w:lang w:val="en-US" w:eastAsia="zh-TW"/>
              </w:rPr>
              <w:t xml:space="preserve"> option certificates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8"/>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Pr="00EF20CD">
              <w:rPr>
                <w:rFonts w:ascii="Times New Roman" w:eastAsia="標楷體" w:hAnsi="Times New Roman"/>
                <w:sz w:val="20"/>
                <w:lang w:val="en-US" w:eastAsia="zh-TW"/>
              </w:rPr>
              <w:t>filing of all announcements</w:t>
            </w:r>
            <w:r>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matters required to be announced under Article 59 of the Regulations </w:t>
            </w:r>
            <w:r w:rsidRPr="000803AE">
              <w:rPr>
                <w:rFonts w:ascii="Times New Roman" w:eastAsia="標楷體" w:hAnsi="Times New Roman"/>
                <w:sz w:val="20"/>
                <w:lang w:val="en-US" w:eastAsia="zh-TW"/>
              </w:rPr>
              <w:lastRenderedPageBreak/>
              <w:t>Governing Offering and Issuance of Securities by Securities 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Article 37, 49, and 59 of the Regulations Governing the Offering and Issuance of Securities by Securities Issuers</w:t>
            </w:r>
          </w:p>
        </w:tc>
      </w:tr>
      <w:tr w:rsidR="00AF022B" w:rsidRPr="000803AE" w:rsidTr="0006674B">
        <w:trPr>
          <w:trHeight w:val="12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rFonts w:eastAsia="標楷體"/>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5A2011" w:rsidTr="0006674B">
        <w:tc>
          <w:tcPr>
            <w:tcW w:w="476"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AF022B" w:rsidRPr="005A2011" w:rsidTr="0006674B">
        <w:tc>
          <w:tcPr>
            <w:tcW w:w="476"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C64F8D"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963BD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5A2011" w:rsidTr="0006674B">
        <w:tc>
          <w:tcPr>
            <w:tcW w:w="476" w:type="dxa"/>
            <w:vMerge/>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7917E3" w:rsidRDefault="00AF022B" w:rsidP="00AF022B">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Pr>
                <w:rFonts w:ascii="Times New Roman" w:eastAsia="標楷體" w:hAnsi="Times New Roman"/>
                <w:sz w:val="20"/>
                <w:lang w:val="en-US" w:eastAsia="zh-TW"/>
              </w:rPr>
              <w:t xml:space="preserve">is any error in details of </w:t>
            </w:r>
            <w:r w:rsidRPr="00C80C5C">
              <w:rPr>
                <w:rFonts w:ascii="Times New Roman" w:eastAsia="標楷體" w:hAnsi="Times New Roman"/>
                <w:sz w:val="20"/>
                <w:lang w:val="en-US" w:eastAsia="zh-TW"/>
              </w:rPr>
              <w:t>subsid</w:t>
            </w:r>
            <w:r>
              <w:rPr>
                <w:rFonts w:ascii="Times New Roman" w:eastAsia="標楷體" w:hAnsi="Times New Roman"/>
                <w:sz w:val="20"/>
                <w:lang w:val="en-US" w:eastAsia="zh-TW"/>
              </w:rPr>
              <w:t xml:space="preserve">iaries listed on foreign stock markets, please correct in the column of listing on foreign stock markets under the </w:t>
            </w:r>
            <w:r w:rsidRPr="00C80C5C">
              <w:rPr>
                <w:rFonts w:ascii="Times New Roman" w:eastAsia="標楷體" w:hAnsi="Times New Roman"/>
                <w:sz w:val="20"/>
                <w:lang w:val="en-US" w:eastAsia="zh-TW"/>
              </w:rPr>
              <w:t>filing of basic information of subsidiaries</w:t>
            </w:r>
            <w:r>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897"/>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rsidR="00AF022B" w:rsidRPr="000803AE" w:rsidRDefault="00AF022B" w:rsidP="00AF022B">
            <w:pPr>
              <w:numPr>
                <w:ilvl w:val="0"/>
                <w:numId w:val="10"/>
              </w:numPr>
              <w:snapToGrid w:val="0"/>
              <w:rPr>
                <w:sz w:val="20"/>
                <w:szCs w:val="20"/>
              </w:rPr>
            </w:pPr>
            <w:r w:rsidRPr="000803AE">
              <w:rPr>
                <w:sz w:val="20"/>
                <w:szCs w:val="20"/>
              </w:rPr>
              <w:t>Articles 24 and 25 of the Regulations Governing the Publication of Financial Forecasts of Public Companies</w:t>
            </w:r>
          </w:p>
          <w:p w:rsidR="00AF022B" w:rsidRPr="000803AE" w:rsidRDefault="00AF022B" w:rsidP="00AF022B">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rsidR="00AF022B" w:rsidRPr="000803AE" w:rsidRDefault="00AF022B" w:rsidP="00AF022B">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AF022B" w:rsidRPr="000803AE" w:rsidRDefault="00AF022B" w:rsidP="00AF022B">
            <w:pPr>
              <w:pStyle w:val="a3"/>
              <w:adjustRightInd w:val="0"/>
              <w:snapToGrid w:val="0"/>
              <w:rPr>
                <w:rFonts w:ascii="Times New Roman" w:eastAsia="標楷體" w:hAnsi="Times New Roman"/>
                <w:sz w:val="20"/>
                <w:lang w:val="en-US" w:eastAsia="zh-TW"/>
              </w:rPr>
            </w:pPr>
          </w:p>
          <w:p w:rsidR="00AF022B" w:rsidRPr="000803AE" w:rsidRDefault="00AF022B" w:rsidP="00AF022B">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AF022B" w:rsidRPr="000803AE" w:rsidRDefault="00AF022B" w:rsidP="00AF022B">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rsidR="00AF022B" w:rsidRPr="000803AE" w:rsidRDefault="00AF022B" w:rsidP="00AF022B">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rsidR="00AF022B" w:rsidRPr="000803AE" w:rsidRDefault="00AF022B" w:rsidP="00AF022B">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rsidR="00AF022B" w:rsidRPr="000803AE" w:rsidRDefault="00AF022B" w:rsidP="00AF022B">
            <w:pPr>
              <w:numPr>
                <w:ilvl w:val="0"/>
                <w:numId w:val="14"/>
              </w:numPr>
              <w:snapToGrid w:val="0"/>
              <w:rPr>
                <w:sz w:val="20"/>
                <w:szCs w:val="20"/>
              </w:rPr>
            </w:pPr>
            <w:r w:rsidRPr="000803AE">
              <w:rPr>
                <w:sz w:val="20"/>
                <w:szCs w:val="20"/>
              </w:rPr>
              <w:t xml:space="preserve">Letter No. Tai-Cheng-Chih-0981800912 dated March 24, 2009 </w:t>
            </w:r>
          </w:p>
        </w:tc>
      </w:tr>
      <w:tr w:rsidR="00AF022B" w:rsidRPr="000803AE" w:rsidTr="0006674B">
        <w:trPr>
          <w:trHeight w:val="76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76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rsidR="00AF022B" w:rsidRPr="000803AE" w:rsidRDefault="00AF022B" w:rsidP="00AF022B">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rsidR="00AF022B" w:rsidRPr="000803AE" w:rsidRDefault="00AF022B" w:rsidP="00AF022B">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11"/>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rsidR="00AF022B" w:rsidRPr="000803AE" w:rsidRDefault="00AF022B" w:rsidP="00AF022B">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w:t>
            </w:r>
            <w:r w:rsidRPr="000803AE">
              <w:rPr>
                <w:sz w:val="20"/>
                <w:szCs w:val="20"/>
              </w:rPr>
              <w:lastRenderedPageBreak/>
              <w:t>applications.</w:t>
            </w:r>
          </w:p>
          <w:p w:rsidR="00AF022B" w:rsidRPr="000803AE" w:rsidRDefault="00AF022B" w:rsidP="00AF022B">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rsidR="00AF022B" w:rsidRPr="000803AE" w:rsidRDefault="00AF022B" w:rsidP="00AF022B">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rsidR="00AF022B" w:rsidRPr="000803AE" w:rsidRDefault="00AF022B" w:rsidP="00AF022B">
            <w:pPr>
              <w:numPr>
                <w:ilvl w:val="0"/>
                <w:numId w:val="12"/>
              </w:numPr>
              <w:kinsoku w:val="0"/>
              <w:overflowPunct w:val="0"/>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2"/>
              </w:numPr>
              <w:kinsoku w:val="0"/>
              <w:overflowPunct w:val="0"/>
              <w:adjustRightInd w:val="0"/>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p>
          <w:p w:rsidR="00AF022B" w:rsidRPr="000803AE" w:rsidRDefault="00AF022B" w:rsidP="00AF022B">
            <w:pPr>
              <w:snapToGrid w:val="0"/>
              <w:ind w:left="198" w:hanging="198"/>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8"/>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 xml:space="preserve">within 10 days </w:t>
            </w:r>
            <w:r w:rsidRPr="000803AE">
              <w:rPr>
                <w:sz w:val="20"/>
                <w:szCs w:val="20"/>
              </w:rPr>
              <w:lastRenderedPageBreak/>
              <w:t>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3"/>
              </w:numPr>
              <w:snapToGrid w:val="0"/>
              <w:rPr>
                <w:rFonts w:eastAsia="標楷體"/>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4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rsidR="00AF022B" w:rsidRPr="000803AE" w:rsidRDefault="00AF022B" w:rsidP="00AF022B">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tcBorders>
              <w:top w:val="nil"/>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nil"/>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 xml:space="preserve">during the surviving period between the issue date and the due date of the corporate bonds (annual unaudited figure information may be postponed to </w:t>
            </w:r>
            <w:r w:rsidRPr="000803AE">
              <w:rPr>
                <w:rFonts w:eastAsia="標楷體"/>
                <w:sz w:val="20"/>
                <w:szCs w:val="20"/>
              </w:rPr>
              <w:lastRenderedPageBreak/>
              <w:t>45 days following the end of the fiscal year).  Furthermore, the actual figures shall be filed simultaneously with the audited or reviewed financial statements.</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rsidR="00AF022B" w:rsidRPr="000803AE" w:rsidRDefault="00AF022B" w:rsidP="00AF022B">
            <w:pPr>
              <w:keepNext/>
              <w:widowControl/>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rsidR="00AF022B" w:rsidRPr="000803AE" w:rsidRDefault="00AF022B" w:rsidP="00AF022B">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rsidR="00AF022B" w:rsidRPr="000803AE" w:rsidRDefault="00AF022B" w:rsidP="00AF022B">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13"/>
              </w:numPr>
              <w:adjustRightInd w:val="0"/>
              <w:snapToGrid w:val="0"/>
              <w:rPr>
                <w:sz w:val="20"/>
                <w:szCs w:val="20"/>
              </w:rPr>
            </w:pPr>
            <w:r w:rsidRPr="000803AE">
              <w:rPr>
                <w:sz w:val="20"/>
                <w:szCs w:val="20"/>
              </w:rPr>
              <w:t>Article 25 of the Securities and Exchange Act</w:t>
            </w:r>
          </w:p>
          <w:p w:rsidR="00AF022B" w:rsidRPr="000803AE" w:rsidRDefault="00AF022B" w:rsidP="00AF022B">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w:t>
            </w:r>
            <w:r w:rsidRPr="000803AE">
              <w:rPr>
                <w:rFonts w:eastAsia="標楷體"/>
                <w:sz w:val="20"/>
                <w:szCs w:val="20"/>
              </w:rPr>
              <w:lastRenderedPageBreak/>
              <w:t>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9E624B" w:rsidRDefault="00AF022B" w:rsidP="00AF022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8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6"/>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 xml:space="preserve">Companies offering and issuing or privately </w:t>
            </w:r>
            <w:r w:rsidRPr="000803AE">
              <w:rPr>
                <w:rFonts w:ascii="Times New Roman" w:eastAsia="標楷體" w:hAnsi="Times New Roman"/>
                <w:sz w:val="20"/>
              </w:rPr>
              <w:lastRenderedPageBreak/>
              <w:t>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rsidR="00AF022B" w:rsidRPr="000803AE" w:rsidRDefault="00AF022B" w:rsidP="00AF022B">
            <w:pPr>
              <w:pStyle w:val="a3"/>
              <w:snapToGrid w:val="0"/>
              <w:rPr>
                <w:rFonts w:ascii="Times New Roman" w:eastAsia="標楷體" w:hAnsi="Times New Roman"/>
                <w:sz w:val="20"/>
                <w:lang w:val="en-US" w:eastAsia="zh-TW"/>
              </w:rPr>
            </w:pP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w:t>
            </w:r>
            <w:r w:rsidRPr="000803AE">
              <w:rPr>
                <w:rFonts w:ascii="Times New Roman" w:eastAsia="標楷體" w:hAnsi="Times New Roman"/>
                <w:sz w:val="20"/>
                <w:lang w:val="en-US" w:eastAsia="zh-TW"/>
              </w:rPr>
              <w:lastRenderedPageBreak/>
              <w:t>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16"/>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2068"/>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571B10"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creditworthiness).</w:t>
            </w:r>
          </w:p>
        </w:tc>
        <w:tc>
          <w:tcPr>
            <w:tcW w:w="4008" w:type="dxa"/>
            <w:shd w:val="clear" w:color="auto" w:fill="FFFFFF"/>
          </w:tcPr>
          <w:p w:rsidR="00AF022B" w:rsidRPr="000803AE" w:rsidRDefault="00AF022B" w:rsidP="00AF022B">
            <w:pPr>
              <w:numPr>
                <w:ilvl w:val="0"/>
                <w:numId w:val="314"/>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4"/>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rsidR="00AF022B" w:rsidRPr="000803AE" w:rsidRDefault="00AF022B" w:rsidP="00AF022B">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18"/>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1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lastRenderedPageBreak/>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(sii.twse.com.tw/disclosure of corporate governance information/ reporting of the status regarding the </w:t>
            </w:r>
            <w:r w:rsidRPr="000803AE">
              <w:rPr>
                <w:rFonts w:eastAsia="標楷體"/>
                <w:sz w:val="20"/>
                <w:szCs w:val="20"/>
              </w:rPr>
              <w:lastRenderedPageBreak/>
              <w:t>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lastRenderedPageBreak/>
              <w:t xml:space="preserve">Subparagraph 26,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lastRenderedPageBreak/>
              <w:t>3</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rsidR="00AF022B" w:rsidRPr="00F355D4" w:rsidRDefault="00AF022B" w:rsidP="00AF022B">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rsidR="00AF022B" w:rsidRDefault="00AF022B" w:rsidP="00AF022B">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rsidR="00AF022B" w:rsidRDefault="00AF022B" w:rsidP="00AF022B">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rsidR="00AF022B" w:rsidRPr="001C5C2B" w:rsidRDefault="00AF022B" w:rsidP="00AF022B">
            <w:pPr>
              <w:kinsoku w:val="0"/>
              <w:overflowPunct w:val="0"/>
              <w:snapToGrid w:val="0"/>
              <w:rPr>
                <w:rFonts w:eastAsia="標楷體"/>
                <w:sz w:val="20"/>
                <w:szCs w:val="20"/>
              </w:rPr>
            </w:pPr>
            <w:r>
              <w:rPr>
                <w:rFonts w:eastAsia="標楷體"/>
                <w:sz w:val="20"/>
                <w:szCs w:val="20"/>
              </w:rPr>
              <w:t xml:space="preserve">Note 3: Applicable to listed companies, but a listed company </w:t>
            </w:r>
            <w:r w:rsidRPr="000803AE">
              <w:rPr>
                <w:rFonts w:eastAsia="標楷體" w:hint="eastAsia"/>
                <w:sz w:val="20"/>
                <w:szCs w:val="20"/>
              </w:rPr>
              <w:t>whose paid-in capit</w:t>
            </w:r>
            <w:r>
              <w:rPr>
                <w:rFonts w:eastAsia="標楷體" w:hint="eastAsia"/>
                <w:sz w:val="20"/>
                <w:szCs w:val="20"/>
              </w:rPr>
              <w:t xml:space="preserve">al </w:t>
            </w:r>
            <w:r>
              <w:rPr>
                <w:rFonts w:eastAsia="標楷體"/>
                <w:sz w:val="20"/>
                <w:szCs w:val="20"/>
              </w:rPr>
              <w:t>is NT$</w:t>
            </w:r>
            <w:r>
              <w:rPr>
                <w:rFonts w:eastAsia="標楷體" w:hint="eastAsia"/>
                <w:sz w:val="20"/>
                <w:szCs w:val="20"/>
              </w:rPr>
              <w:t xml:space="preserve"> </w:t>
            </w:r>
            <w:r>
              <w:rPr>
                <w:rFonts w:eastAsia="標楷體"/>
                <w:sz w:val="20"/>
                <w:szCs w:val="20"/>
              </w:rPr>
              <w:t>10 billion or more</w:t>
            </w:r>
            <w:r w:rsidRPr="000803AE">
              <w:rPr>
                <w:rFonts w:eastAsia="標楷體" w:hint="eastAsia"/>
                <w:sz w:val="20"/>
                <w:szCs w:val="20"/>
              </w:rPr>
              <w:t xml:space="preserve"> as of the end of the previous fiscal year</w:t>
            </w:r>
            <w:r>
              <w:rPr>
                <w:rFonts w:eastAsia="標楷體"/>
                <w:sz w:val="20"/>
                <w:szCs w:val="20"/>
              </w:rPr>
              <w:t xml:space="preserve">, a financial holding company, a bank, a bill finance company, an insurance company, a securities company or a futures company which is a listed company, is </w:t>
            </w:r>
            <w:r w:rsidRPr="000803AE">
              <w:rPr>
                <w:sz w:val="20"/>
              </w:rPr>
              <w:t>required</w:t>
            </w:r>
            <w:r>
              <w:rPr>
                <w:sz w:val="20"/>
              </w:rPr>
              <w:t xml:space="preserve"> to file an </w:t>
            </w:r>
            <w:r w:rsidRPr="001953B2">
              <w:rPr>
                <w:rFonts w:eastAsia="標楷體"/>
                <w:sz w:val="20"/>
                <w:szCs w:val="20"/>
              </w:rPr>
              <w:t>annual financial report</w:t>
            </w:r>
            <w:r w:rsidRPr="000803AE">
              <w:rPr>
                <w:sz w:val="20"/>
              </w:rPr>
              <w:t xml:space="preserve"> </w:t>
            </w:r>
            <w:r>
              <w:rPr>
                <w:rFonts w:eastAsia="標楷體"/>
                <w:sz w:val="20"/>
                <w:szCs w:val="20"/>
              </w:rPr>
              <w:t xml:space="preserve">within 75 days of the end of each year </w:t>
            </w:r>
            <w:r w:rsidRPr="000803AE">
              <w:rPr>
                <w:sz w:val="20"/>
              </w:rPr>
              <w:t>in accordance with the laws and regulations</w:t>
            </w:r>
            <w:r>
              <w:rPr>
                <w:sz w:val="20"/>
              </w:rPr>
              <w:t xml:space="preserve">, and therefore, it is </w:t>
            </w:r>
            <w:r>
              <w:rPr>
                <w:rFonts w:eastAsia="標楷體"/>
                <w:sz w:val="20"/>
                <w:szCs w:val="20"/>
              </w:rPr>
              <w:t xml:space="preserve">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w:t>
            </w:r>
            <w:r>
              <w:rPr>
                <w:sz w:val="20"/>
              </w:rPr>
              <w:t>.</w:t>
            </w:r>
          </w:p>
          <w:p w:rsidR="00AF022B" w:rsidRPr="005B67ED" w:rsidRDefault="00AF022B" w:rsidP="00AF022B">
            <w:pPr>
              <w:kinsoku w:val="0"/>
              <w:overflowPunct w:val="0"/>
              <w:snapToGrid w:val="0"/>
              <w:rPr>
                <w:rFonts w:eastAsia="標楷體"/>
                <w:sz w:val="20"/>
                <w:szCs w:val="20"/>
              </w:rPr>
            </w:pPr>
          </w:p>
        </w:tc>
        <w:tc>
          <w:tcPr>
            <w:tcW w:w="5512" w:type="dxa"/>
            <w:shd w:val="clear" w:color="auto" w:fill="FFFFFF"/>
          </w:tcPr>
          <w:p w:rsidR="00AF022B" w:rsidRDefault="00AF022B" w:rsidP="00AF022B">
            <w:pPr>
              <w:kinsoku w:val="0"/>
              <w:overflowPunct w:val="0"/>
              <w:spacing w:line="260" w:lineRule="exact"/>
              <w:rPr>
                <w:rFonts w:eastAsia="標楷體"/>
                <w:color w:val="000000" w:themeColor="text1"/>
                <w:sz w:val="20"/>
              </w:rPr>
            </w:pPr>
            <w:r w:rsidRPr="00F355D4">
              <w:rPr>
                <w:rFonts w:eastAsia="標楷體"/>
                <w:color w:val="000000" w:themeColor="text1"/>
                <w:sz w:val="20"/>
              </w:rPr>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rsidR="00AF022B" w:rsidRPr="00AA2D10" w:rsidRDefault="00AF022B" w:rsidP="00AF022B">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rsidR="00AF022B" w:rsidRPr="00761335" w:rsidRDefault="00AF022B" w:rsidP="00AF022B">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AF022B" w:rsidRPr="000803AE" w:rsidTr="0006674B">
        <w:trPr>
          <w:trHeight w:val="3190"/>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AF022B" w:rsidRPr="000803AE" w:rsidRDefault="00AF022B" w:rsidP="00AF022B">
            <w:pPr>
              <w:kinsoku w:val="0"/>
              <w:overflowPunct w:val="0"/>
              <w:snapToGrid w:val="0"/>
              <w:rPr>
                <w:rFonts w:eastAsia="標楷體"/>
                <w:sz w:val="20"/>
                <w:szCs w:val="20"/>
              </w:rPr>
            </w:pP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snapToGrid w:val="0"/>
              <w:rPr>
                <w:sz w:val="20"/>
                <w:szCs w:val="20"/>
              </w:rPr>
            </w:pPr>
          </w:p>
        </w:tc>
      </w:tr>
      <w:tr w:rsidR="00AF022B" w:rsidRPr="000803AE" w:rsidTr="0006674B">
        <w:trPr>
          <w:trHeight w:val="211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rPr>
          <w:trHeight w:val="11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1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451"/>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rsidR="00AF022B" w:rsidRPr="000803AE" w:rsidRDefault="00AF022B" w:rsidP="00AF022B">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rsidR="00AF022B" w:rsidRDefault="00AF022B" w:rsidP="00AF022B">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rsidR="00AF022B" w:rsidRPr="000803AE" w:rsidRDefault="00AF022B" w:rsidP="00AF022B">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w:t>
            </w:r>
            <w:r>
              <w:rPr>
                <w:rFonts w:eastAsia="標楷體"/>
                <w:sz w:val="20"/>
                <w:szCs w:val="20"/>
              </w:rPr>
              <w:lastRenderedPageBreak/>
              <w:t xml:space="preserve">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rsidR="00AF022B" w:rsidRPr="000803AE" w:rsidRDefault="00AF022B" w:rsidP="00AF022B">
            <w:pPr>
              <w:kinsoku w:val="0"/>
              <w:overflowPunct w:val="0"/>
              <w:snapToGrid w:val="0"/>
              <w:ind w:left="400" w:hanging="400"/>
              <w:rPr>
                <w:sz w:val="20"/>
                <w:szCs w:val="20"/>
              </w:rPr>
            </w:pP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t>
            </w:r>
            <w:r w:rsidRPr="000803AE">
              <w:rPr>
                <w:rFonts w:eastAsia="標楷體"/>
                <w:sz w:val="20"/>
                <w:szCs w:val="20"/>
              </w:rPr>
              <w:lastRenderedPageBreak/>
              <w:t>which the financial report was ratified.)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rsidR="00AF022B" w:rsidRPr="000803AE" w:rsidRDefault="00AF022B" w:rsidP="00AF022B">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Original written material of the aforementioned documents shall 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w:t>
            </w:r>
            <w:r w:rsidRPr="000803AE">
              <w:rPr>
                <w:rFonts w:eastAsia="標楷體" w:hint="eastAsia"/>
                <w:sz w:val="20"/>
                <w:szCs w:val="20"/>
              </w:rPr>
              <w:lastRenderedPageBreak/>
              <w:t>compared against the quarter forecast for the relevant quarter.</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rsidR="00AF022B" w:rsidRPr="000803AE" w:rsidRDefault="00AF022B" w:rsidP="00AF022B">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rsidR="00AF022B" w:rsidRPr="000803AE" w:rsidRDefault="00AF022B" w:rsidP="00AF022B">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AF022B" w:rsidRPr="000803AE" w:rsidRDefault="00AF022B" w:rsidP="00AF022B">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22"/>
              </w:numPr>
              <w:snapToGrid w:val="0"/>
              <w:rPr>
                <w:sz w:val="20"/>
                <w:szCs w:val="20"/>
              </w:rPr>
            </w:pPr>
            <w:r w:rsidRPr="000803AE">
              <w:rPr>
                <w:rFonts w:eastAsia="標楷體"/>
                <w:sz w:val="20"/>
                <w:szCs w:val="20"/>
              </w:rPr>
              <w:lastRenderedPageBreak/>
              <w:t xml:space="preserve">Article 14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422"/>
              </w:numPr>
              <w:snapToGrid w:val="0"/>
              <w:rPr>
                <w:sz w:val="20"/>
                <w:szCs w:val="20"/>
              </w:rPr>
            </w:pPr>
            <w:r w:rsidRPr="000803AE">
              <w:rPr>
                <w:rFonts w:eastAsia="標楷體"/>
                <w:sz w:val="20"/>
                <w:szCs w:val="20"/>
              </w:rPr>
              <w:t>Letter No. Tai-Cheng-Chih-0960028526 dated September 29, 2007</w:t>
            </w:r>
          </w:p>
          <w:p w:rsidR="00AF022B" w:rsidRPr="000803AE" w:rsidRDefault="00AF022B" w:rsidP="00AF022B">
            <w:pPr>
              <w:numPr>
                <w:ilvl w:val="0"/>
                <w:numId w:val="422"/>
              </w:numPr>
              <w:snapToGrid w:val="0"/>
              <w:rPr>
                <w:sz w:val="20"/>
                <w:szCs w:val="20"/>
              </w:rPr>
            </w:pPr>
            <w:r w:rsidRPr="000803AE">
              <w:rPr>
                <w:rFonts w:eastAsia="標楷體"/>
                <w:sz w:val="20"/>
                <w:szCs w:val="20"/>
              </w:rPr>
              <w:t>Letter No. Tai-Cheng-Shang-10000024671 dated January 20, 2011</w:t>
            </w:r>
          </w:p>
          <w:p w:rsidR="00AF022B" w:rsidRPr="000803AE" w:rsidRDefault="00AF022B" w:rsidP="00AF022B">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rsidR="00AF022B" w:rsidRPr="000803AE" w:rsidRDefault="00AF022B" w:rsidP="00AF022B">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Default="00AF022B" w:rsidP="00AF022B">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Governing the Publication of Financial Forecasts of Public Companies</w:t>
            </w:r>
          </w:p>
          <w:p w:rsidR="00AF022B" w:rsidRDefault="00AF022B" w:rsidP="00AF022B">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rsidR="00AF022B" w:rsidRPr="008A28C5" w:rsidRDefault="00AF022B" w:rsidP="00AF022B">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rsidR="00AF022B" w:rsidRDefault="00AF022B" w:rsidP="00AF022B">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rsidR="00AF022B" w:rsidRPr="000803AE" w:rsidRDefault="00AF022B" w:rsidP="00AF022B">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AF022B" w:rsidRPr="000803AE" w:rsidTr="009B0ABF">
        <w:trPr>
          <w:trHeight w:val="119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Pr>
                <w:rFonts w:eastAsia="標楷體" w:hint="eastAsia"/>
                <w:sz w:val="20"/>
                <w:szCs w:val="20"/>
              </w:rPr>
              <w:t>1</w:t>
            </w:r>
            <w:r>
              <w:rPr>
                <w:rFonts w:eastAsia="標楷體"/>
                <w:sz w:val="20"/>
                <w:szCs w:val="20"/>
              </w:rPr>
              <w:t>-1</w:t>
            </w:r>
          </w:p>
        </w:tc>
        <w:tc>
          <w:tcPr>
            <w:tcW w:w="4115" w:type="dxa"/>
            <w:shd w:val="clear" w:color="auto" w:fill="FFFFFF"/>
          </w:tcPr>
          <w:p w:rsidR="00AF022B" w:rsidRDefault="00AF022B" w:rsidP="00AF022B">
            <w:pPr>
              <w:suppressLineNumbers/>
              <w:suppressAutoHyphens/>
              <w:kinsoku w:val="0"/>
              <w:overflowPunct w:val="0"/>
              <w:snapToGrid w:val="0"/>
              <w:rPr>
                <w:rFonts w:eastAsia="標楷體"/>
                <w:spacing w:val="-4"/>
                <w:sz w:val="20"/>
                <w:szCs w:val="20"/>
              </w:rPr>
            </w:pPr>
            <w:r>
              <w:rPr>
                <w:rFonts w:eastAsia="標楷體"/>
                <w:spacing w:val="-4"/>
                <w:sz w:val="20"/>
                <w:szCs w:val="20"/>
              </w:rPr>
              <w:t>F</w:t>
            </w:r>
            <w:r w:rsidRPr="00CE0914">
              <w:rPr>
                <w:rFonts w:eastAsia="標楷體"/>
                <w:spacing w:val="-4"/>
                <w:sz w:val="20"/>
                <w:szCs w:val="20"/>
              </w:rPr>
              <w:t>iling procedures for the three statements of affiliated enterprises (</w:t>
            </w:r>
            <w:r>
              <w:rPr>
                <w:rFonts w:eastAsia="標楷體"/>
                <w:spacing w:val="-4"/>
                <w:sz w:val="20"/>
                <w:szCs w:val="20"/>
              </w:rPr>
              <w:t>consolidated business r</w:t>
            </w:r>
            <w:r w:rsidRPr="00992A8D">
              <w:rPr>
                <w:rFonts w:eastAsia="標楷體"/>
                <w:spacing w:val="-4"/>
                <w:sz w:val="20"/>
                <w:szCs w:val="20"/>
              </w:rPr>
              <w:t>eports</w:t>
            </w:r>
            <w:r>
              <w:rPr>
                <w:rFonts w:eastAsia="標楷體"/>
                <w:spacing w:val="-4"/>
                <w:sz w:val="20"/>
                <w:szCs w:val="20"/>
              </w:rPr>
              <w:t>,</w:t>
            </w:r>
            <w:r w:rsidRPr="00992A8D">
              <w:rPr>
                <w:rFonts w:eastAsia="標楷體"/>
                <w:spacing w:val="-4"/>
                <w:sz w:val="20"/>
                <w:szCs w:val="20"/>
              </w:rPr>
              <w:t xml:space="preserve"> </w:t>
            </w:r>
            <w:r>
              <w:rPr>
                <w:rFonts w:eastAsia="標楷體"/>
                <w:spacing w:val="-4"/>
                <w:sz w:val="20"/>
                <w:szCs w:val="20"/>
              </w:rPr>
              <w:t>consolidated financial s</w:t>
            </w:r>
            <w:r w:rsidRPr="00992A8D">
              <w:rPr>
                <w:rFonts w:eastAsia="標楷體"/>
                <w:spacing w:val="-4"/>
                <w:sz w:val="20"/>
                <w:szCs w:val="20"/>
              </w:rPr>
              <w:t>tatements</w:t>
            </w:r>
            <w:r>
              <w:rPr>
                <w:rFonts w:eastAsia="標楷體"/>
                <w:spacing w:val="-4"/>
                <w:sz w:val="20"/>
                <w:szCs w:val="20"/>
              </w:rPr>
              <w:t xml:space="preserve"> </w:t>
            </w:r>
            <w:r w:rsidRPr="00992A8D">
              <w:rPr>
                <w:rFonts w:eastAsia="標楷體"/>
                <w:spacing w:val="-4"/>
                <w:sz w:val="20"/>
                <w:szCs w:val="20"/>
              </w:rPr>
              <w:t>and</w:t>
            </w:r>
            <w:r>
              <w:rPr>
                <w:rFonts w:eastAsia="標楷體"/>
                <w:spacing w:val="-4"/>
                <w:sz w:val="20"/>
                <w:szCs w:val="20"/>
              </w:rPr>
              <w:t xml:space="preserve"> affiliation r</w:t>
            </w:r>
            <w:r w:rsidRPr="00992A8D">
              <w:rPr>
                <w:rFonts w:eastAsia="標楷體"/>
                <w:spacing w:val="-4"/>
                <w:sz w:val="20"/>
                <w:szCs w:val="20"/>
              </w:rPr>
              <w:t xml:space="preserve">eports </w:t>
            </w:r>
            <w:r>
              <w:rPr>
                <w:rFonts w:eastAsia="標楷體"/>
                <w:spacing w:val="-4"/>
                <w:sz w:val="20"/>
                <w:szCs w:val="20"/>
              </w:rPr>
              <w:t>of affiliated e</w:t>
            </w:r>
            <w:r w:rsidRPr="00992A8D">
              <w:rPr>
                <w:rFonts w:eastAsia="標楷體"/>
                <w:spacing w:val="-4"/>
                <w:sz w:val="20"/>
                <w:szCs w:val="20"/>
              </w:rPr>
              <w:t>nterprises</w:t>
            </w:r>
            <w:r>
              <w:rPr>
                <w:rFonts w:eastAsia="標楷體" w:hint="eastAsia"/>
                <w:spacing w:val="-4"/>
                <w:sz w:val="20"/>
                <w:szCs w:val="20"/>
              </w:rPr>
              <w:t>)</w:t>
            </w:r>
          </w:p>
          <w:p w:rsidR="00AF022B" w:rsidRPr="00CE0914" w:rsidRDefault="00AF022B" w:rsidP="00AF022B">
            <w:pPr>
              <w:suppressLineNumbers/>
              <w:suppressAutoHyphens/>
              <w:kinsoku w:val="0"/>
              <w:overflowPunct w:val="0"/>
              <w:snapToGrid w:val="0"/>
              <w:rPr>
                <w:rFonts w:eastAsia="標楷體"/>
                <w:spacing w:val="-4"/>
                <w:sz w:val="20"/>
                <w:szCs w:val="20"/>
              </w:rPr>
            </w:pP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115676"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w:t>
            </w:r>
            <w:r w:rsidRPr="00E30C93">
              <w:rPr>
                <w:rFonts w:eastAsia="標楷體"/>
                <w:sz w:val="20"/>
                <w:szCs w:val="20"/>
              </w:rPr>
              <w:t>f</w:t>
            </w:r>
            <w:r>
              <w:rPr>
                <w:rFonts w:eastAsia="標楷體"/>
                <w:sz w:val="20"/>
                <w:szCs w:val="20"/>
              </w:rPr>
              <w:t>iling</w:t>
            </w:r>
            <w:r w:rsidRPr="00B52D69">
              <w:rPr>
                <w:rFonts w:eastAsia="標楷體"/>
                <w:sz w:val="20"/>
                <w:szCs w:val="20"/>
              </w:rPr>
              <w:t xml:space="preserve"> for the three statements of affiliated enterprises</w:t>
            </w:r>
            <w:r w:rsidRPr="000803AE">
              <w:rPr>
                <w:rFonts w:eastAsia="標楷體"/>
                <w:sz w:val="20"/>
                <w:szCs w:val="20"/>
              </w:rPr>
              <w:t>).</w:t>
            </w:r>
          </w:p>
        </w:tc>
        <w:tc>
          <w:tcPr>
            <w:tcW w:w="4008" w:type="dxa"/>
            <w:shd w:val="clear" w:color="auto" w:fill="FFFFFF"/>
          </w:tcPr>
          <w:p w:rsidR="00AF022B" w:rsidRDefault="00AF022B" w:rsidP="00AF022B">
            <w:pPr>
              <w:numPr>
                <w:ilvl w:val="0"/>
                <w:numId w:val="487"/>
              </w:numPr>
              <w:snapToGrid w:val="0"/>
              <w:rPr>
                <w:sz w:val="20"/>
                <w:szCs w:val="20"/>
              </w:rPr>
            </w:pPr>
            <w:r>
              <w:rPr>
                <w:sz w:val="20"/>
                <w:szCs w:val="20"/>
              </w:rPr>
              <w:t>Article 18-1 of</w:t>
            </w:r>
            <w:r w:rsidRPr="00D51554">
              <w:rPr>
                <w:sz w:val="20"/>
                <w:szCs w:val="20"/>
              </w:rPr>
              <w:t xml:space="preserve"> Criteria Governing Preparation of Affiliation Reports, Consolidated Business Reports and Consolidated Financial Statements of Affiliated Enterprises</w:t>
            </w:r>
          </w:p>
          <w:p w:rsidR="00AF022B" w:rsidRDefault="00AF022B" w:rsidP="00AF022B">
            <w:pPr>
              <w:numPr>
                <w:ilvl w:val="0"/>
                <w:numId w:val="487"/>
              </w:numPr>
              <w:snapToGrid w:val="0"/>
              <w:rPr>
                <w:sz w:val="20"/>
                <w:szCs w:val="20"/>
              </w:rPr>
            </w:pPr>
            <w:r w:rsidRPr="00A16407">
              <w:rPr>
                <w:sz w:val="20"/>
                <w:szCs w:val="20"/>
              </w:rPr>
              <w:t>Letter No. Chin-Kuan-Cheng-Shen-</w:t>
            </w:r>
            <w:r w:rsidRPr="00331382">
              <w:rPr>
                <w:rFonts w:hint="eastAsia"/>
                <w:sz w:val="20"/>
                <w:szCs w:val="20"/>
              </w:rPr>
              <w:t>1130382569</w:t>
            </w:r>
            <w:r>
              <w:rPr>
                <w:sz w:val="20"/>
                <w:szCs w:val="20"/>
              </w:rPr>
              <w:t xml:space="preserve"> dated June 26</w:t>
            </w:r>
            <w:r w:rsidRPr="00A16407">
              <w:rPr>
                <w:sz w:val="20"/>
                <w:szCs w:val="20"/>
              </w:rPr>
              <w:t>, 20</w:t>
            </w:r>
            <w:r>
              <w:rPr>
                <w:sz w:val="20"/>
                <w:szCs w:val="20"/>
              </w:rPr>
              <w:t>24</w:t>
            </w:r>
          </w:p>
          <w:p w:rsidR="00AF022B" w:rsidRPr="000803AE" w:rsidRDefault="00AF022B" w:rsidP="00AF022B">
            <w:pPr>
              <w:numPr>
                <w:ilvl w:val="0"/>
                <w:numId w:val="487"/>
              </w:numPr>
              <w:snapToGrid w:val="0"/>
              <w:rPr>
                <w:sz w:val="20"/>
                <w:szCs w:val="20"/>
              </w:rPr>
            </w:pPr>
            <w:r>
              <w:rPr>
                <w:sz w:val="20"/>
                <w:szCs w:val="20"/>
              </w:rPr>
              <w:t>Subparagraph 15</w:t>
            </w:r>
            <w:r w:rsidRPr="000803AE">
              <w:rPr>
                <w:sz w:val="20"/>
                <w:szCs w:val="20"/>
              </w:rPr>
              <w:t xml:space="preserve">,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138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205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rsidR="00AF022B" w:rsidRPr="000803AE" w:rsidRDefault="00AF022B" w:rsidP="00AF022B">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rsidR="00AF022B" w:rsidRPr="000803AE" w:rsidRDefault="00AF022B" w:rsidP="00AF022B">
            <w:pPr>
              <w:kinsoku w:val="0"/>
              <w:overflowPunct w:val="0"/>
              <w:snapToGrid w:val="0"/>
              <w:rPr>
                <w:rFonts w:eastAsia="標楷體"/>
                <w:sz w:val="20"/>
                <w:szCs w:val="20"/>
              </w:rPr>
            </w:pP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116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9337F" w:rsidRDefault="00AF022B" w:rsidP="00AF022B">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rsidR="00AF022B" w:rsidRPr="000803AE" w:rsidRDefault="00AF022B" w:rsidP="00AF022B">
            <w:pPr>
              <w:pStyle w:val="a3"/>
              <w:snapToGrid w:val="0"/>
              <w:ind w:left="200" w:hanging="200"/>
              <w:rPr>
                <w:rFonts w:ascii="Times New Roman" w:eastAsia="標楷體" w:hAnsi="Times New Roman"/>
                <w:sz w:val="20"/>
                <w:lang w:eastAsia="zh-TW"/>
              </w:rPr>
            </w:pP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snapToGrid w:val="0"/>
              <w:rPr>
                <w:rFonts w:eastAsia="標楷體"/>
                <w:sz w:val="20"/>
                <w:szCs w:val="20"/>
              </w:rPr>
            </w:pPr>
          </w:p>
        </w:tc>
      </w:tr>
      <w:tr w:rsidR="00AF022B" w:rsidRPr="000803AE" w:rsidTr="0006674B">
        <w:trPr>
          <w:trHeight w:val="111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rsidR="00AF022B" w:rsidRPr="000803AE" w:rsidRDefault="00AF022B" w:rsidP="00AF022B">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888"/>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AF022B" w:rsidRPr="000803AE" w:rsidRDefault="00AF022B" w:rsidP="00AF022B">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74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AF022B" w:rsidRPr="000803AE" w:rsidRDefault="00AF022B" w:rsidP="00AF022B">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25"/>
              </w:numPr>
              <w:snapToGrid w:val="0"/>
              <w:rPr>
                <w:rFonts w:eastAsia="標楷體"/>
                <w:sz w:val="20"/>
                <w:szCs w:val="20"/>
              </w:rPr>
            </w:pPr>
            <w:r w:rsidRPr="000803AE">
              <w:rPr>
                <w:rFonts w:eastAsia="標楷體"/>
                <w:sz w:val="20"/>
                <w:szCs w:val="20"/>
              </w:rPr>
              <w:lastRenderedPageBreak/>
              <w:t>Letter No. Tai-Cheng-Shang-0940100584 dated March 4, 2005</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AF022B" w:rsidRPr="000803AE" w:rsidRDefault="00AF022B" w:rsidP="00AF022B">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rsidR="00AF022B" w:rsidRPr="000803AE" w:rsidRDefault="00AF022B" w:rsidP="00AF022B">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8"/>
              </w:numPr>
              <w:snapToGrid w:val="0"/>
              <w:rPr>
                <w:sz w:val="20"/>
                <w:szCs w:val="20"/>
              </w:rPr>
            </w:pPr>
            <w:r w:rsidRPr="000803AE">
              <w:rPr>
                <w:sz w:val="20"/>
                <w:szCs w:val="20"/>
              </w:rPr>
              <w:t xml:space="preserve">Letter No. Tai-Cheng-Chih-0981800912 dated March 24, 2009 </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0</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rsidR="00AF022B" w:rsidRPr="000803AE" w:rsidRDefault="00AF022B" w:rsidP="00AF022B">
            <w:pPr>
              <w:numPr>
                <w:ilvl w:val="0"/>
                <w:numId w:val="341"/>
              </w:numPr>
              <w:snapToGrid w:val="0"/>
              <w:rPr>
                <w:rFonts w:eastAsia="標楷體"/>
                <w:sz w:val="20"/>
                <w:szCs w:val="20"/>
              </w:rPr>
            </w:pPr>
            <w:r w:rsidRPr="000803AE">
              <w:rPr>
                <w:rFonts w:eastAsia="標楷體"/>
                <w:sz w:val="20"/>
                <w:szCs w:val="20"/>
              </w:rPr>
              <w:t>Article 14-1 of the Securities and Exchange Act</w:t>
            </w:r>
          </w:p>
          <w:p w:rsidR="00AF022B" w:rsidRPr="000803AE" w:rsidRDefault="00AF022B" w:rsidP="00AF022B">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rsidR="00AF022B" w:rsidRPr="000803AE" w:rsidRDefault="00AF022B" w:rsidP="00AF022B">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Taiwan Stock Exchange Corporation Rules Governing Information Reporting by Companies with Listed Securities and Offshore Fund Institutions with Listed Offshore</w:t>
            </w:r>
          </w:p>
          <w:p w:rsidR="00AF022B" w:rsidRPr="000803AE" w:rsidRDefault="00AF022B" w:rsidP="00AF022B">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rPr>
                <w:rFonts w:eastAsia="標楷體"/>
                <w:sz w:val="20"/>
                <w:szCs w:val="20"/>
              </w:rPr>
            </w:pPr>
            <w:r>
              <w:rPr>
                <w:rFonts w:eastAsia="標楷體" w:hint="eastAsia"/>
                <w:sz w:val="20"/>
                <w:szCs w:val="20"/>
              </w:rPr>
              <w:t>1</w:t>
            </w:r>
            <w:r>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Pr="0062341C">
              <w:rPr>
                <w:rFonts w:ascii="Times New Roman" w:eastAsia="標楷體" w:hAnsi="Times New Roman"/>
                <w:sz w:val="20"/>
                <w:lang w:val="en-US" w:eastAsia="zh-TW"/>
              </w:rPr>
              <w:t xml:space="preserve">iling of </w:t>
            </w:r>
            <w:r>
              <w:rPr>
                <w:rFonts w:ascii="Times New Roman" w:eastAsia="標楷體" w:hAnsi="Times New Roman" w:hint="eastAsia"/>
                <w:sz w:val="20"/>
                <w:lang w:val="en-US" w:eastAsia="zh-TW"/>
              </w:rPr>
              <w:t>o</w:t>
            </w:r>
            <w:r>
              <w:rPr>
                <w:rFonts w:ascii="Times New Roman" w:eastAsia="標楷體" w:hAnsi="Times New Roman"/>
                <w:sz w:val="20"/>
                <w:lang w:val="en-US" w:eastAsia="zh-TW"/>
              </w:rPr>
              <w:t xml:space="preserve">peration regions of </w:t>
            </w:r>
            <w:r w:rsidRPr="002C234A">
              <w:rPr>
                <w:rFonts w:ascii="Times New Roman" w:eastAsia="標楷體" w:hAnsi="Times New Roman"/>
                <w:sz w:val="20"/>
                <w:lang w:val="en-US" w:eastAsia="zh-TW"/>
              </w:rPr>
              <w:t>primary listed</w:t>
            </w:r>
            <w:r>
              <w:rPr>
                <w:rFonts w:ascii="Times New Roman" w:eastAsia="標楷體" w:hAnsi="Times New Roman"/>
                <w:sz w:val="20"/>
                <w:lang w:val="en-US" w:eastAsia="zh-TW"/>
              </w:rPr>
              <w:t xml:space="preserve"> (or OTC listed</w:t>
            </w:r>
            <w:r>
              <w:rPr>
                <w:rFonts w:ascii="Times New Roman" w:eastAsia="標楷體" w:hAnsi="Times New Roman" w:hint="eastAsia"/>
                <w:sz w:val="20"/>
                <w:lang w:val="en-US" w:eastAsia="zh-TW"/>
              </w:rPr>
              <w:t>)</w:t>
            </w:r>
            <w:r w:rsidRPr="002C234A">
              <w:rPr>
                <w:rFonts w:ascii="Times New Roman" w:eastAsia="標楷體" w:hAnsi="Times New Roman"/>
                <w:sz w:val="20"/>
                <w:lang w:val="en-US" w:eastAsia="zh-TW"/>
              </w:rPr>
              <w:t xml:space="preserve"> companies</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and foreign emerging stock c</w:t>
            </w:r>
            <w:r w:rsidRPr="00601D0C">
              <w:rPr>
                <w:rFonts w:ascii="Times New Roman" w:eastAsia="標楷體" w:hAnsi="Times New Roman"/>
                <w:sz w:val="20"/>
                <w:lang w:val="en-US" w:eastAsia="zh-TW"/>
              </w:rPr>
              <w:t>ompanies</w:t>
            </w:r>
          </w:p>
        </w:tc>
        <w:tc>
          <w:tcPr>
            <w:tcW w:w="5512" w:type="dxa"/>
            <w:shd w:val="clear" w:color="auto" w:fill="FFFFFF"/>
          </w:tcPr>
          <w:p w:rsidR="00AF022B" w:rsidRPr="000803AE" w:rsidRDefault="00AF022B" w:rsidP="00AF022B">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rsidR="00AF022B" w:rsidRPr="000803AE" w:rsidRDefault="00AF022B" w:rsidP="00AF022B">
            <w:pPr>
              <w:snapToGrid w:val="0"/>
              <w:rPr>
                <w:sz w:val="20"/>
                <w:szCs w:val="20"/>
              </w:rPr>
            </w:pPr>
            <w:r>
              <w:rPr>
                <w:sz w:val="20"/>
                <w:szCs w:val="20"/>
              </w:rPr>
              <w:t>Subparagraph 34</w:t>
            </w:r>
            <w:r w:rsidRPr="000803AE">
              <w:rPr>
                <w:sz w:val="20"/>
                <w:szCs w:val="20"/>
              </w:rPr>
              <w:t xml:space="preserve">,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17"/>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hint="eastAsia"/>
                <w:sz w:val="20"/>
                <w:szCs w:val="20"/>
              </w:rPr>
              <w:t>1</w:t>
            </w: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rsidR="00AF022B"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proofErr w:type="gramStart"/>
            <w:r w:rsidRPr="000803AE">
              <w:rPr>
                <w:rFonts w:eastAsia="標楷體"/>
                <w:sz w:val="20"/>
                <w:szCs w:val="20"/>
              </w:rPr>
              <w:t>/</w:t>
            </w:r>
            <w:r>
              <w:rPr>
                <w:rFonts w:eastAsia="標楷體"/>
                <w:sz w:val="20"/>
                <w:szCs w:val="20"/>
              </w:rPr>
              <w:t>(</w:t>
            </w:r>
            <w:proofErr w:type="gramEnd"/>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rsidR="00AF022B" w:rsidRPr="000803AE" w:rsidRDefault="00AF022B" w:rsidP="00AF022B">
            <w:pPr>
              <w:kinsoku w:val="0"/>
              <w:overflowPunct w:val="0"/>
              <w:snapToGrid w:val="0"/>
              <w:ind w:left="-6"/>
              <w:rPr>
                <w:rFonts w:eastAsia="標楷體"/>
                <w:sz w:val="20"/>
                <w:szCs w:val="20"/>
                <w:lang w:val="x-none"/>
              </w:rPr>
            </w:pPr>
          </w:p>
        </w:tc>
        <w:tc>
          <w:tcPr>
            <w:tcW w:w="4008" w:type="dxa"/>
            <w:shd w:val="clear" w:color="auto" w:fill="FFFFFF"/>
          </w:tcPr>
          <w:p w:rsidR="00AF022B" w:rsidRPr="000803AE" w:rsidRDefault="00AF022B" w:rsidP="00AF022B">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62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ind w:firstLine="100"/>
              <w:rPr>
                <w:rFonts w:eastAsia="標楷體"/>
                <w:sz w:val="20"/>
                <w:szCs w:val="20"/>
              </w:rPr>
            </w:pPr>
            <w:r w:rsidRPr="000803AE">
              <w:rPr>
                <w:rFonts w:eastAsia="標楷體"/>
                <w:sz w:val="20"/>
                <w:szCs w:val="20"/>
              </w:rPr>
              <w:t>1</w:t>
            </w: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hint="eastAsia"/>
                <w:sz w:val="20"/>
                <w:szCs w:val="20"/>
              </w:rPr>
              <w:t>1</w:t>
            </w:r>
            <w:r>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rsidR="00AF022B" w:rsidRDefault="00AF022B" w:rsidP="00AF022B">
            <w:pPr>
              <w:kinsoku w:val="0"/>
              <w:overflowPunct w:val="0"/>
              <w:snapToGrid w:val="0"/>
              <w:rPr>
                <w:rFonts w:eastAsia="標楷體"/>
                <w:sz w:val="20"/>
                <w:szCs w:val="20"/>
              </w:rPr>
            </w:pPr>
            <w:r w:rsidRPr="000803AE">
              <w:rPr>
                <w:rFonts w:eastAsia="標楷體"/>
                <w:sz w:val="20"/>
                <w:szCs w:val="20"/>
              </w:rPr>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rsidR="00AF022B" w:rsidRPr="000803AE" w:rsidRDefault="00AF022B" w:rsidP="00AF022B">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directors and supervisors remunerations).</w:t>
            </w:r>
          </w:p>
          <w:p w:rsidR="00AF022B" w:rsidRPr="000803AE" w:rsidRDefault="00AF022B" w:rsidP="00AF022B">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25,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6</w:t>
            </w:r>
          </w:p>
        </w:tc>
        <w:tc>
          <w:tcPr>
            <w:tcW w:w="4115" w:type="dxa"/>
            <w:shd w:val="clear" w:color="auto" w:fill="FFFFFF"/>
          </w:tcPr>
          <w:p w:rsidR="00AF022B" w:rsidRDefault="00AF022B" w:rsidP="00AF022B">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rsidR="00AF022B" w:rsidRPr="007A31B0" w:rsidRDefault="00AF022B" w:rsidP="00AF022B">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w:t>
            </w:r>
            <w:r w:rsidRPr="007A31B0">
              <w:rPr>
                <w:sz w:val="20"/>
                <w:szCs w:val="20"/>
              </w:rPr>
              <w:lastRenderedPageBreak/>
              <w:t>Traded Funds</w:t>
            </w:r>
          </w:p>
        </w:tc>
      </w:tr>
      <w:tr w:rsidR="00AF022B" w:rsidRPr="000803AE" w:rsidTr="0006674B">
        <w:trPr>
          <w:trHeight w:val="7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7</w:t>
            </w:r>
          </w:p>
        </w:tc>
        <w:tc>
          <w:tcPr>
            <w:tcW w:w="4115" w:type="dxa"/>
            <w:shd w:val="clear" w:color="auto" w:fill="FFFFFF"/>
          </w:tcPr>
          <w:p w:rsidR="00AF022B" w:rsidRPr="0081424D" w:rsidRDefault="00AF022B" w:rsidP="00AF022B">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1"/>
              </w:numPr>
              <w:snapToGrid w:val="0"/>
              <w:rPr>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2"/>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22"/>
              </w:numPr>
              <w:kinsoku w:val="0"/>
              <w:overflowPunct w:val="0"/>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w:t>
            </w:r>
            <w:r w:rsidRPr="000803AE">
              <w:rPr>
                <w:rFonts w:eastAsia="標楷體"/>
                <w:sz w:val="20"/>
                <w:szCs w:val="20"/>
              </w:rPr>
              <w:lastRenderedPageBreak/>
              <w:t>monthly revenues of their qualified subsidiaries for and on behalf of such subsidiaries.</w:t>
            </w:r>
          </w:p>
          <w:p w:rsidR="00AF022B" w:rsidRPr="000803AE" w:rsidRDefault="00AF022B" w:rsidP="00AF022B">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lastRenderedPageBreak/>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w:t>
            </w:r>
            <w:r w:rsidRPr="000803AE">
              <w:rPr>
                <w:rFonts w:eastAsia="標楷體"/>
                <w:sz w:val="20"/>
                <w:szCs w:val="20"/>
              </w:rPr>
              <w:lastRenderedPageBreak/>
              <w:t>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 xml:space="preserve">Letter No. 84-Tai-Tsai-Cheng-6-0010 dated </w:t>
            </w:r>
            <w:r w:rsidRPr="000803AE">
              <w:rPr>
                <w:rFonts w:eastAsia="標楷體"/>
                <w:sz w:val="20"/>
                <w:szCs w:val="20"/>
              </w:rPr>
              <w:lastRenderedPageBreak/>
              <w:t>January 16, 1995</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rsidR="00AF022B" w:rsidRPr="000803AE" w:rsidRDefault="00AF022B" w:rsidP="00AF022B">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AF022B" w:rsidRPr="000803AE" w:rsidRDefault="00AF022B" w:rsidP="00AF022B">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(sii.twse.com.tw/reporting of employee stock option certificates/</w:t>
            </w:r>
            <w:r>
              <w:rPr>
                <w:rFonts w:eastAsia="標楷體"/>
              </w:rPr>
              <w:t xml:space="preserve">reporting after </w:t>
            </w:r>
            <w:r w:rsidRPr="00A16C54">
              <w:rPr>
                <w:rFonts w:eastAsia="標楷體"/>
              </w:rPr>
              <w:t>the issuance of employee stock</w:t>
            </w:r>
            <w:r w:rsidRPr="000803AE">
              <w:rPr>
                <w:rFonts w:eastAsia="標楷體"/>
              </w:rPr>
              <w:t xml:space="preserve"> option certificates</w:t>
            </w:r>
            <w:r>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5D08B7"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 xml:space="preserve">Companies offering and issuing or privately placing corporate bonds shall report the funds raising plan and custody method, sources of funds for repaying corporate bonds, and a concrete </w:t>
            </w:r>
            <w:r w:rsidRPr="000803AE">
              <w:rPr>
                <w:rFonts w:eastAsia="標楷體"/>
                <w:sz w:val="20"/>
                <w:szCs w:val="20"/>
              </w:rPr>
              <w:lastRenderedPageBreak/>
              <w:t>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AF022B" w:rsidRPr="000803AE" w:rsidRDefault="00AF022B" w:rsidP="00AF022B">
            <w:pPr>
              <w:numPr>
                <w:ilvl w:val="0"/>
                <w:numId w:val="24"/>
              </w:numPr>
              <w:snapToGrid w:val="0"/>
              <w:rPr>
                <w:sz w:val="20"/>
                <w:szCs w:val="20"/>
              </w:rPr>
            </w:pPr>
            <w:r w:rsidRPr="000803AE">
              <w:rPr>
                <w:sz w:val="20"/>
                <w:szCs w:val="20"/>
              </w:rPr>
              <w:t>Letter No. Chin-Kuan-Cheng-1-094004469 dated October 11, 2005</w:t>
            </w:r>
          </w:p>
          <w:p w:rsidR="00AF022B" w:rsidRPr="000803AE" w:rsidRDefault="00AF022B" w:rsidP="00AF022B">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25"/>
              </w:numPr>
              <w:snapToGrid w:val="0"/>
              <w:rPr>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0</w:t>
            </w:r>
          </w:p>
        </w:tc>
        <w:tc>
          <w:tcPr>
            <w:tcW w:w="4115" w:type="dxa"/>
            <w:shd w:val="clear" w:color="auto" w:fill="FFFFFF"/>
          </w:tcPr>
          <w:p w:rsidR="00AF022B" w:rsidRPr="00555342" w:rsidRDefault="00AF022B" w:rsidP="00AF022B">
            <w:pPr>
              <w:snapToGrid w:val="0"/>
              <w:rPr>
                <w:color w:val="FF0000"/>
                <w:sz w:val="20"/>
                <w:szCs w:val="20"/>
              </w:rPr>
            </w:pPr>
            <w:r w:rsidRPr="00555342">
              <w:rPr>
                <w:color w:val="FF0000"/>
                <w:sz w:val="20"/>
                <w:szCs w:val="20"/>
              </w:rPr>
              <w:t>Information about the major current positions and major experience of independent directors of a listed company, and whether they concurrently serve as directors or supervisors of any other company.</w:t>
            </w:r>
          </w:p>
          <w:p w:rsidR="00AF022B" w:rsidRPr="00555342" w:rsidRDefault="00AF022B" w:rsidP="00AF022B">
            <w:pPr>
              <w:snapToGrid w:val="0"/>
              <w:rPr>
                <w:color w:val="FF0000"/>
                <w:sz w:val="20"/>
                <w:szCs w:val="20"/>
              </w:rPr>
            </w:pPr>
          </w:p>
          <w:p w:rsidR="00AF022B" w:rsidRPr="00555342" w:rsidRDefault="00AF022B" w:rsidP="00AF022B">
            <w:pPr>
              <w:snapToGrid w:val="0"/>
              <w:rPr>
                <w:rFonts w:eastAsia="標楷體"/>
                <w:color w:val="FF0000"/>
                <w:sz w:val="20"/>
                <w:szCs w:val="20"/>
              </w:rPr>
            </w:pPr>
            <w:r w:rsidRPr="00555342">
              <w:rPr>
                <w:color w:val="FF0000"/>
                <w:sz w:val="20"/>
                <w:szCs w:val="20"/>
              </w:rPr>
              <w:t>Note: The changes for preceding quarter shall be reported within 10 days following the end of each quarter.</w:t>
            </w:r>
          </w:p>
        </w:tc>
        <w:tc>
          <w:tcPr>
            <w:tcW w:w="5512" w:type="dxa"/>
            <w:shd w:val="clear" w:color="auto" w:fill="FFFFFF"/>
          </w:tcPr>
          <w:p w:rsidR="00AF022B" w:rsidRPr="00555342" w:rsidRDefault="00AF022B" w:rsidP="00AF022B">
            <w:pPr>
              <w:pStyle w:val="a3"/>
              <w:snapToGrid w:val="0"/>
              <w:ind w:left="1"/>
              <w:rPr>
                <w:rFonts w:ascii="Times New Roman" w:eastAsia="標楷體" w:hAnsi="Times New Roman"/>
                <w:color w:val="FF0000"/>
                <w:sz w:val="20"/>
                <w:lang w:val="en-US" w:eastAsia="zh-TW"/>
              </w:rPr>
            </w:pPr>
            <w:r w:rsidRPr="00555342">
              <w:rPr>
                <w:rFonts w:ascii="Times New Roman" w:eastAsia="標楷體" w:hAnsi="Times New Roman"/>
                <w:color w:val="FF0000"/>
                <w:sz w:val="20"/>
                <w:lang w:val="en-US" w:eastAsia="zh-TW"/>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tc>
        <w:tc>
          <w:tcPr>
            <w:tcW w:w="4008" w:type="dxa"/>
            <w:shd w:val="clear" w:color="auto" w:fill="FFFFFF"/>
          </w:tcPr>
          <w:p w:rsidR="00AF022B" w:rsidRPr="00555342" w:rsidRDefault="00AF022B" w:rsidP="00AF022B">
            <w:pPr>
              <w:snapToGrid w:val="0"/>
              <w:rPr>
                <w:rFonts w:eastAsia="標楷體"/>
                <w:color w:val="FF0000"/>
                <w:sz w:val="20"/>
                <w:szCs w:val="20"/>
              </w:rPr>
            </w:pPr>
            <w:r w:rsidRPr="00555342">
              <w:rPr>
                <w:rFonts w:eastAsia="標楷體"/>
                <w:color w:val="FF0000"/>
                <w:sz w:val="20"/>
                <w:szCs w:val="20"/>
              </w:rPr>
              <w:t xml:space="preserve">Subparagraph </w:t>
            </w:r>
            <w:r w:rsidRPr="00555342">
              <w:rPr>
                <w:rFonts w:eastAsia="標楷體" w:hint="eastAsia"/>
                <w:color w:val="FF0000"/>
                <w:sz w:val="20"/>
                <w:szCs w:val="20"/>
              </w:rPr>
              <w:t>1</w:t>
            </w:r>
            <w:r w:rsidRPr="00555342">
              <w:rPr>
                <w:rFonts w:eastAsia="標楷體"/>
                <w:color w:val="FF0000"/>
                <w:sz w:val="20"/>
                <w:szCs w:val="20"/>
              </w:rPr>
              <w:t>9,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26"/>
              </w:numPr>
              <w:snapToGrid w:val="0"/>
              <w:rPr>
                <w:sz w:val="20"/>
                <w:szCs w:val="20"/>
              </w:rPr>
            </w:pPr>
            <w:r w:rsidRPr="000803AE">
              <w:rPr>
                <w:sz w:val="20"/>
                <w:szCs w:val="20"/>
              </w:rPr>
              <w:t>Article 25 of the Securities and Exchange Act</w:t>
            </w:r>
          </w:p>
          <w:p w:rsidR="00AF022B" w:rsidRPr="000803AE" w:rsidRDefault="00AF022B" w:rsidP="00AF022B">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Default="00AF022B" w:rsidP="00AF022B">
            <w:pPr>
              <w:snapToGrid w:val="0"/>
              <w:ind w:left="200" w:hanging="200"/>
              <w:rPr>
                <w:rFonts w:eastAsia="標楷體"/>
                <w:sz w:val="20"/>
                <w:szCs w:val="20"/>
              </w:rPr>
            </w:pPr>
          </w:p>
          <w:p w:rsidR="00AF022B" w:rsidRPr="000803AE" w:rsidRDefault="00AF022B" w:rsidP="00AF022B">
            <w:pPr>
              <w:snapToGrid w:val="0"/>
              <w:ind w:left="200" w:hanging="200"/>
              <w:rPr>
                <w:rFonts w:eastAsia="標楷體"/>
                <w:sz w:val="20"/>
                <w:szCs w:val="20"/>
              </w:rPr>
            </w:pPr>
          </w:p>
          <w:p w:rsidR="00AF022B" w:rsidRPr="000803AE" w:rsidRDefault="00AF022B" w:rsidP="00AF022B">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Pr="00EF20CD">
              <w:rPr>
                <w:rFonts w:eastAsia="標楷體"/>
              </w:rPr>
              <w:t>filing of all announcements</w:t>
            </w:r>
            <w:r>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F022B" w:rsidRPr="000803AE" w:rsidTr="0006674B">
        <w:trPr>
          <w:trHeight w:val="1092"/>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rsidR="00AF022B" w:rsidRPr="000803AE" w:rsidRDefault="00AF022B" w:rsidP="00AF022B">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rsidR="00AF022B" w:rsidRPr="000803AE" w:rsidRDefault="00AF022B" w:rsidP="00AF022B">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78"/>
              </w:numPr>
              <w:snapToGrid w:val="0"/>
              <w:rPr>
                <w:sz w:val="20"/>
                <w:szCs w:val="20"/>
              </w:rPr>
            </w:pPr>
            <w:r w:rsidRPr="000803AE">
              <w:rPr>
                <w:sz w:val="20"/>
                <w:szCs w:val="20"/>
              </w:rPr>
              <w:t xml:space="preserve">Letter No. Tai-Cheng-Chih-0981800912 dated March 24, 2009 </w:t>
            </w:r>
          </w:p>
        </w:tc>
      </w:tr>
      <w:tr w:rsidR="00AF022B" w:rsidRPr="000803AE" w:rsidTr="0006674B">
        <w:trPr>
          <w:trHeight w:val="1092"/>
        </w:trPr>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27"/>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AF022B" w:rsidRPr="000803AE" w:rsidRDefault="00AF022B" w:rsidP="00AF022B">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w:t>
            </w:r>
            <w:r>
              <w:rPr>
                <w:rFonts w:eastAsia="標楷體"/>
                <w:sz w:val="20"/>
                <w:szCs w:val="20"/>
              </w:rPr>
              <w:lastRenderedPageBreak/>
              <w:t>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lastRenderedPageBreak/>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p w:rsidR="00AF022B" w:rsidRPr="00DE378F" w:rsidRDefault="00AF022B" w:rsidP="00AF022B">
            <w:pPr>
              <w:jc w:val="center"/>
              <w:rPr>
                <w:sz w:val="20"/>
                <w:szCs w:val="20"/>
              </w:rPr>
            </w:pP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u w:val="single"/>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6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rsidR="00AF022B" w:rsidRPr="000803AE" w:rsidRDefault="00AF022B" w:rsidP="00AF022B">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rsidR="00AF022B" w:rsidRPr="000803AE" w:rsidRDefault="00AF022B" w:rsidP="00AF022B">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rsidR="00AF022B" w:rsidRPr="000803AE" w:rsidRDefault="00AF022B" w:rsidP="00AF022B">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rsidR="00AF022B" w:rsidRPr="000803AE" w:rsidRDefault="00AF022B" w:rsidP="00AF022B">
            <w:pPr>
              <w:pStyle w:val="a6"/>
              <w:numPr>
                <w:ilvl w:val="0"/>
                <w:numId w:val="446"/>
              </w:numPr>
              <w:snapToGrid w:val="0"/>
              <w:jc w:val="left"/>
            </w:pPr>
            <w:r w:rsidRPr="000803AE">
              <w:rPr>
                <w:rFonts w:hint="eastAsia"/>
              </w:rPr>
              <w:lastRenderedPageBreak/>
              <w:t xml:space="preserve">For companies in which the average compensation received by 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rsidR="00AF022B" w:rsidRPr="000803AE" w:rsidRDefault="00AF022B" w:rsidP="00AF022B">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8"/>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w:t>
            </w:r>
            <w:r w:rsidRPr="000803AE">
              <w:rPr>
                <w:sz w:val="20"/>
                <w:szCs w:val="20"/>
              </w:rPr>
              <w:lastRenderedPageBreak/>
              <w:t>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w:t>
            </w:r>
            <w:r w:rsidRPr="000803AE">
              <w:rPr>
                <w:sz w:val="20"/>
                <w:szCs w:val="20"/>
              </w:rPr>
              <w:lastRenderedPageBreak/>
              <w:t>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9"/>
              </w:numPr>
              <w:kinsoku w:val="0"/>
              <w:overflowPunct w:val="0"/>
              <w:snapToGrid w:val="0"/>
              <w:rPr>
                <w:rFonts w:eastAsia="標楷體"/>
                <w:sz w:val="20"/>
                <w:szCs w:val="20"/>
              </w:rPr>
            </w:pPr>
            <w:r w:rsidRPr="000803AE">
              <w:rPr>
                <w:rFonts w:eastAsia="標楷體"/>
                <w:sz w:val="20"/>
                <w:szCs w:val="20"/>
              </w:rPr>
              <w:lastRenderedPageBreak/>
              <w:t xml:space="preserve">Articles 21, 28 and 36 of the Regulations Governing the Offering and Issuance of </w:t>
            </w:r>
            <w:r w:rsidRPr="000803AE">
              <w:rPr>
                <w:rFonts w:eastAsia="標楷體"/>
                <w:sz w:val="20"/>
                <w:szCs w:val="20"/>
              </w:rPr>
              <w:lastRenderedPageBreak/>
              <w:t>Overseas Securities by Issuers</w:t>
            </w:r>
          </w:p>
          <w:p w:rsidR="00AF022B" w:rsidRPr="000803AE" w:rsidRDefault="00AF022B" w:rsidP="00AF022B">
            <w:pPr>
              <w:numPr>
                <w:ilvl w:val="0"/>
                <w:numId w:val="2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p>
          <w:p w:rsidR="00AF022B" w:rsidRPr="000803AE" w:rsidRDefault="00AF022B" w:rsidP="00AF022B">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 xml:space="preserve">Letter No. Tai-Cheng-Shang-0991700194 </w:t>
            </w:r>
            <w:r w:rsidRPr="000803AE">
              <w:rPr>
                <w:rFonts w:eastAsia="標楷體"/>
                <w:sz w:val="20"/>
                <w:szCs w:val="20"/>
              </w:rPr>
              <w:lastRenderedPageBreak/>
              <w:t>dated January 21, 2010</w:t>
            </w:r>
          </w:p>
          <w:p w:rsidR="00AF022B" w:rsidRPr="000803AE" w:rsidRDefault="00AF022B" w:rsidP="00AF022B">
            <w:pPr>
              <w:numPr>
                <w:ilvl w:val="0"/>
                <w:numId w:val="81"/>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72"/>
              </w:numPr>
              <w:adjustRightInd w:val="0"/>
              <w:snapToGrid w:val="0"/>
              <w:rPr>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rsidR="00AF022B" w:rsidRPr="000803AE" w:rsidRDefault="00AF022B" w:rsidP="00AF022B">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AF022B" w:rsidRPr="000803AE" w:rsidRDefault="00AF022B" w:rsidP="00AF022B">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w:t>
            </w:r>
            <w:r w:rsidRPr="000803AE">
              <w:rPr>
                <w:rFonts w:eastAsia="標楷體" w:hint="eastAsia"/>
              </w:rPr>
              <w:lastRenderedPageBreak/>
              <w:t>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00" w:hangingChars="100" w:hanging="200"/>
            </w:pPr>
            <w:r w:rsidRPr="000803AE">
              <w:rPr>
                <w:rFonts w:eastAsia="標楷體" w:hint="eastAsia"/>
              </w:rPr>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rsidR="00AF022B" w:rsidRPr="000803AE" w:rsidRDefault="00AF022B" w:rsidP="00AF022B">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rsidR="00AF022B" w:rsidRPr="000803AE" w:rsidRDefault="00AF022B" w:rsidP="00AF022B">
            <w:pPr>
              <w:numPr>
                <w:ilvl w:val="0"/>
                <w:numId w:val="424"/>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AF022B" w:rsidRPr="000803AE" w:rsidRDefault="00AF022B" w:rsidP="00AF022B">
            <w:pPr>
              <w:numPr>
                <w:ilvl w:val="0"/>
                <w:numId w:val="424"/>
              </w:numPr>
              <w:snapToGrid w:val="0"/>
              <w:rPr>
                <w:sz w:val="20"/>
                <w:szCs w:val="20"/>
              </w:rPr>
            </w:pPr>
            <w:r w:rsidRPr="000803AE">
              <w:rPr>
                <w:rFonts w:eastAsia="標楷體"/>
                <w:sz w:val="20"/>
                <w:szCs w:val="20"/>
              </w:rPr>
              <w:t>Letter No. 84-Tai-Tsai-Cheng-6-00101 dated January 16, 1995</w:t>
            </w:r>
          </w:p>
          <w:p w:rsidR="00AF022B" w:rsidRPr="000803AE" w:rsidRDefault="00AF022B" w:rsidP="00AF022B">
            <w:pPr>
              <w:numPr>
                <w:ilvl w:val="0"/>
                <w:numId w:val="424"/>
              </w:numPr>
              <w:snapToGrid w:val="0"/>
              <w:rPr>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AF022B" w:rsidRPr="000803AE" w:rsidRDefault="00AF022B" w:rsidP="00AF022B">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rsidR="00AF022B" w:rsidRPr="000803AE" w:rsidRDefault="00AF022B" w:rsidP="00AF022B">
            <w:pPr>
              <w:numPr>
                <w:ilvl w:val="0"/>
                <w:numId w:val="424"/>
              </w:numPr>
              <w:snapToGrid w:val="0"/>
              <w:rPr>
                <w:sz w:val="20"/>
                <w:szCs w:val="20"/>
              </w:rPr>
            </w:pPr>
            <w:r w:rsidRPr="000803AE">
              <w:rPr>
                <w:rFonts w:eastAsia="標楷體"/>
                <w:sz w:val="20"/>
                <w:szCs w:val="20"/>
              </w:rPr>
              <w:t>Letter No. Tai-Cheng-Shan-10000024671 dated January 20, 2011</w:t>
            </w:r>
          </w:p>
          <w:p w:rsidR="00AF022B" w:rsidRPr="000803AE" w:rsidRDefault="00AF022B" w:rsidP="00AF022B">
            <w:pPr>
              <w:numPr>
                <w:ilvl w:val="0"/>
                <w:numId w:val="424"/>
              </w:numPr>
              <w:snapToGrid w:val="0"/>
              <w:rPr>
                <w:sz w:val="20"/>
                <w:szCs w:val="20"/>
              </w:rPr>
            </w:pPr>
            <w:r w:rsidRPr="000803AE">
              <w:rPr>
                <w:rFonts w:eastAsia="標楷體"/>
                <w:sz w:val="20"/>
                <w:szCs w:val="20"/>
              </w:rPr>
              <w:t>Decree No. Chin-Guan-Yin-Fa-10110002230 dated May 18, 2012</w:t>
            </w:r>
          </w:p>
          <w:p w:rsidR="00AF022B" w:rsidRPr="000803AE" w:rsidRDefault="00AF022B" w:rsidP="00AF022B">
            <w:pPr>
              <w:numPr>
                <w:ilvl w:val="0"/>
                <w:numId w:val="424"/>
              </w:numPr>
              <w:snapToGrid w:val="0"/>
              <w:rPr>
                <w:sz w:val="20"/>
                <w:szCs w:val="20"/>
              </w:rPr>
            </w:pPr>
            <w:r w:rsidRPr="000803AE">
              <w:rPr>
                <w:rFonts w:eastAsia="標楷體"/>
                <w:sz w:val="20"/>
                <w:szCs w:val="20"/>
              </w:rPr>
              <w:t>Letter No. Cheng-Chi-Shen-1020035072 dated August 16, 2013</w:t>
            </w:r>
          </w:p>
          <w:p w:rsidR="00AF022B" w:rsidRPr="000803AE" w:rsidRDefault="00AF022B" w:rsidP="00AF022B">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424"/>
              </w:numPr>
              <w:snapToGrid w:val="0"/>
              <w:rPr>
                <w:sz w:val="20"/>
                <w:szCs w:val="20"/>
              </w:rPr>
            </w:pPr>
            <w:r w:rsidRPr="000803AE">
              <w:rPr>
                <w:sz w:val="20"/>
                <w:szCs w:val="20"/>
              </w:rPr>
              <w:t xml:space="preserve">Article 4 of Determination Standards for Subparagraph 14, Paragraph 1, Article 50 and Subparagraph 11, Paragraph 1, Article 50-3 of Operating Rules of the Taiwan Stock </w:t>
            </w:r>
            <w:r w:rsidRPr="000803AE">
              <w:rPr>
                <w:sz w:val="20"/>
                <w:szCs w:val="20"/>
              </w:rPr>
              <w:lastRenderedPageBreak/>
              <w:t>Exchange Corporation</w:t>
            </w:r>
          </w:p>
          <w:p w:rsidR="00AF022B" w:rsidRPr="000803AE" w:rsidRDefault="00AF022B" w:rsidP="00AF022B">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0803AE" w:rsidRDefault="00AF022B" w:rsidP="00AF022B">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AF022B" w:rsidRPr="000803AE" w:rsidRDefault="00AF022B" w:rsidP="00AF022B">
            <w:pPr>
              <w:suppressLineNumbers/>
              <w:suppressAutoHyphens/>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3128"/>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8</w:t>
            </w:r>
          </w:p>
        </w:tc>
        <w:tc>
          <w:tcPr>
            <w:tcW w:w="4115" w:type="dxa"/>
            <w:shd w:val="clear" w:color="auto" w:fill="FFFFFF"/>
          </w:tcPr>
          <w:p w:rsidR="00AF022B" w:rsidRPr="00D00391" w:rsidRDefault="00AF022B" w:rsidP="00AF022B">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rsidR="00AF022B" w:rsidRPr="000803AE" w:rsidRDefault="00AF022B" w:rsidP="00AF022B">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1534"/>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9</w:t>
            </w:r>
          </w:p>
        </w:tc>
        <w:tc>
          <w:tcPr>
            <w:tcW w:w="4115" w:type="dxa"/>
            <w:shd w:val="clear" w:color="auto" w:fill="FFFFFF"/>
          </w:tcPr>
          <w:p w:rsidR="00AF022B" w:rsidRPr="000803AE" w:rsidRDefault="00AF022B" w:rsidP="00AF022B">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rsidR="00AF022B" w:rsidRPr="000803AE" w:rsidRDefault="00AF022B" w:rsidP="00AF022B">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9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w:t>
            </w:r>
            <w:r>
              <w:rPr>
                <w:rFonts w:eastAsia="標楷體"/>
                <w:sz w:val="20"/>
                <w:szCs w:val="20"/>
              </w:rPr>
              <w:lastRenderedPageBreak/>
              <w:t xml:space="preserve">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lastRenderedPageBreak/>
              <w:t xml:space="preserve">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AA2D10"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AF022B" w:rsidRPr="000803AE" w:rsidRDefault="00AF022B" w:rsidP="00AF022B">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Improvements on defects and irregularities in the company's internal control system</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audit/improvements on defects and irregularities in the company's internal control system)</w:t>
            </w:r>
          </w:p>
        </w:tc>
        <w:tc>
          <w:tcPr>
            <w:tcW w:w="4008"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Article 20 of Regulations Governing 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2"/>
              </w:numPr>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 xml:space="preserve">period prior to the due date of the </w:t>
            </w:r>
            <w:r w:rsidRPr="000803AE">
              <w:rPr>
                <w:rFonts w:ascii="Times New Roman" w:eastAsia="標楷體" w:hAnsi="Times New Roman"/>
                <w:sz w:val="20"/>
              </w:rPr>
              <w:lastRenderedPageBreak/>
              <w:t>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6"/>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5"/>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w:t>
            </w:r>
            <w:r w:rsidRPr="000803AE">
              <w:rPr>
                <w:rFonts w:eastAsia="標楷體"/>
                <w:sz w:val="20"/>
                <w:szCs w:val="20"/>
              </w:rPr>
              <w:lastRenderedPageBreak/>
              <w:t>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lastRenderedPageBreak/>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lastRenderedPageBreak/>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lastRenderedPageBreak/>
              <w:t>Letter No. 84-Tai-Tsai-Cheng-6-0010 dated January 16, 1995</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086"/>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4A2D05"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1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34"/>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bookmarkStart w:id="0" w:name="_GoBack"/>
            <w:bookmarkEnd w:id="0"/>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To report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w:t>
            </w:r>
            <w:r w:rsidRPr="000803AE">
              <w:rPr>
                <w:rFonts w:eastAsia="標楷體" w:hint="eastAsia"/>
              </w:rPr>
              <w:lastRenderedPageBreak/>
              <w:t>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lastRenderedPageBreak/>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9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 xml:space="preserve">filing of basic information of </w:t>
            </w:r>
            <w:r w:rsidRPr="00C80C5C">
              <w:rPr>
                <w:rFonts w:eastAsia="標楷體"/>
                <w:sz w:val="20"/>
              </w:rPr>
              <w:lastRenderedPageBreak/>
              <w:t>subsidiaries</w:t>
            </w:r>
            <w:r>
              <w:rPr>
                <w:rFonts w:eastAsia="標楷體"/>
                <w:sz w:val="20"/>
              </w:rPr>
              <w:t>.</w:t>
            </w:r>
          </w:p>
        </w:tc>
        <w:tc>
          <w:tcPr>
            <w:tcW w:w="4008" w:type="dxa"/>
            <w:shd w:val="clear" w:color="auto" w:fill="FFFFFF"/>
          </w:tcPr>
          <w:p w:rsidR="00AF022B" w:rsidRPr="00BA0BA0"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rsidR="00AF022B" w:rsidRPr="000803AE" w:rsidDel="004E6B78"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rsidR="00AF022B" w:rsidRPr="008E47BD" w:rsidRDefault="00AF022B" w:rsidP="00AF022B">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 xml:space="preserve">and the maintenance of numbers of ordinary shares listed </w:t>
            </w:r>
            <w:r w:rsidRPr="000803AE">
              <w:rPr>
                <w:rFonts w:eastAsia="標楷體"/>
                <w:sz w:val="20"/>
                <w:szCs w:val="20"/>
              </w:rPr>
              <w:lastRenderedPageBreak/>
              <w:t>on TWSE.</w:t>
            </w:r>
          </w:p>
        </w:tc>
        <w:tc>
          <w:tcPr>
            <w:tcW w:w="5512" w:type="dxa"/>
            <w:shd w:val="clear" w:color="auto" w:fill="FFFFFF"/>
          </w:tcPr>
          <w:p w:rsidR="00AF022B" w:rsidRPr="000803AE" w:rsidRDefault="00AF022B" w:rsidP="00AF022B">
            <w:pPr>
              <w:numPr>
                <w:ilvl w:val="0"/>
                <w:numId w:val="369"/>
              </w:num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69"/>
              </w:numPr>
              <w:snapToGrid w:val="0"/>
              <w:rPr>
                <w:rFonts w:eastAsia="標楷體"/>
                <w:sz w:val="20"/>
                <w:szCs w:val="20"/>
              </w:rPr>
            </w:pPr>
            <w:r w:rsidRPr="000803AE">
              <w:rPr>
                <w:rFonts w:eastAsia="標楷體"/>
                <w:sz w:val="20"/>
                <w:szCs w:val="20"/>
              </w:rPr>
              <w:t xml:space="preserve">The maintenance of numbers of ordinary shares listed on TWSE shall be uploaded to the Market Observation Post System (sii.twse.com.tw/domestic securities reporting/common </w:t>
            </w:r>
            <w:r w:rsidRPr="000803AE">
              <w:rPr>
                <w:rFonts w:eastAsia="標楷體"/>
                <w:sz w:val="20"/>
                <w:szCs w:val="20"/>
              </w:rPr>
              <w:lastRenderedPageBreak/>
              <w:t>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38"/>
              </w:numPr>
              <w:snapToGrid w:val="0"/>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8"/>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3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3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w:t>
            </w:r>
            <w:r w:rsidRPr="000803AE">
              <w:rPr>
                <w:rFonts w:eastAsia="標楷體"/>
                <w:sz w:val="20"/>
                <w:szCs w:val="20"/>
              </w:rPr>
              <w:lastRenderedPageBreak/>
              <w:t>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 xml:space="preserve">Subparagraphs 4 and 5, Paragraph 1, Article 3 of Taiwan Stock Exchange Corporation Rules Governing Information Reporting by </w:t>
            </w:r>
            <w:r w:rsidRPr="000803AE">
              <w:rPr>
                <w:rFonts w:eastAsia="標楷體"/>
                <w:sz w:val="20"/>
                <w:szCs w:val="20"/>
              </w:rPr>
              <w:lastRenderedPageBreak/>
              <w:t>Companies with Listed Securities and Offshore Fund Institutions with Listed Offshore Exchange-Traded Funds</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3"/>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AF022B" w:rsidRPr="000803AE" w:rsidRDefault="00AF022B" w:rsidP="00AF022B">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AF022B" w:rsidRPr="000803AE" w:rsidRDefault="00AF022B" w:rsidP="00AF022B">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AF022B" w:rsidRPr="000803AE" w:rsidRDefault="00AF022B" w:rsidP="00AF022B">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AF022B" w:rsidRPr="000803AE" w:rsidRDefault="00AF022B" w:rsidP="00AF022B">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Pr="000803AE">
              <w:rPr>
                <w:rFonts w:eastAsia="標楷體"/>
                <w:sz w:val="20"/>
                <w:szCs w:val="20"/>
              </w:rPr>
              <w:lastRenderedPageBreak/>
              <w:t>domestic and foreign managerial officers and 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 xml:space="preserve">The relevant information shall be uploaded to the Market Observation Post System (sii.twse.com.tw/reporting of employee </w:t>
            </w:r>
            <w:r w:rsidRPr="000803AE">
              <w:rPr>
                <w:rFonts w:eastAsia="標楷體"/>
              </w:rPr>
              <w:lastRenderedPageBreak/>
              <w:t>stock option certificates/</w:t>
            </w:r>
            <w:r>
              <w:rPr>
                <w:rFonts w:eastAsia="標楷體"/>
              </w:rPr>
              <w:t xml:space="preserve">reporting after </w:t>
            </w:r>
            <w:r w:rsidRPr="00A16C54">
              <w:rPr>
                <w:rFonts w:eastAsia="標楷體"/>
              </w:rPr>
              <w:t>the issuance of employee stock</w:t>
            </w:r>
            <w:r w:rsidRPr="000803AE">
              <w:rPr>
                <w:rFonts w:eastAsia="標楷體"/>
              </w:rPr>
              <w:t xml:space="preserve"> option certificates</w:t>
            </w:r>
            <w:r>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17,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AF022B" w:rsidRPr="000803AE" w:rsidRDefault="00AF022B" w:rsidP="00AF022B">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rsidR="00AF022B" w:rsidRPr="000803AE" w:rsidRDefault="00AF022B" w:rsidP="00AF022B">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w:t>
            </w:r>
            <w:r w:rsidRPr="000803AE">
              <w:rPr>
                <w:rFonts w:eastAsia="標楷體"/>
                <w:sz w:val="20"/>
                <w:szCs w:val="20"/>
              </w:rPr>
              <w:lastRenderedPageBreak/>
              <w:t>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lastRenderedPageBreak/>
              <w:t xml:space="preserve">The relevant information shall be uploaded to the Market Observation Post System (sii.twse.com.tw/ information on monthly </w:t>
            </w:r>
            <w:r w:rsidRPr="000803AE">
              <w:rPr>
                <w:rFonts w:eastAsia="標楷體"/>
              </w:rPr>
              <w:lastRenderedPageBreak/>
              <w:t>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42"/>
              </w:numPr>
              <w:snapToGrid w:val="0"/>
              <w:rPr>
                <w:rFonts w:eastAsia="標楷體"/>
                <w:sz w:val="20"/>
                <w:szCs w:val="20"/>
              </w:rPr>
            </w:pPr>
            <w:r w:rsidRPr="000803AE">
              <w:rPr>
                <w:rFonts w:eastAsia="標楷體"/>
                <w:sz w:val="20"/>
                <w:szCs w:val="20"/>
              </w:rPr>
              <w:lastRenderedPageBreak/>
              <w:t>Letter No. Tai-Cheng-Shang-0960009099 dated April 18, 2007</w:t>
            </w:r>
          </w:p>
          <w:p w:rsidR="00AF022B" w:rsidRPr="000803AE" w:rsidRDefault="00AF022B" w:rsidP="00AF022B">
            <w:pPr>
              <w:numPr>
                <w:ilvl w:val="0"/>
                <w:numId w:val="42"/>
              </w:numPr>
              <w:snapToGrid w:val="0"/>
              <w:rPr>
                <w:rFonts w:eastAsia="標楷體"/>
                <w:sz w:val="20"/>
                <w:szCs w:val="20"/>
              </w:rPr>
            </w:pPr>
            <w:r w:rsidRPr="000803AE">
              <w:rPr>
                <w:sz w:val="20"/>
                <w:szCs w:val="20"/>
              </w:rPr>
              <w:lastRenderedPageBreak/>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0</w:t>
            </w:r>
          </w:p>
        </w:tc>
        <w:tc>
          <w:tcPr>
            <w:tcW w:w="4115" w:type="dxa"/>
            <w:shd w:val="clear" w:color="auto" w:fill="FFFFFF"/>
          </w:tcPr>
          <w:p w:rsidR="00AF022B" w:rsidRPr="00555342" w:rsidRDefault="00AF022B" w:rsidP="00AF022B">
            <w:pPr>
              <w:pStyle w:val="a5"/>
              <w:tabs>
                <w:tab w:val="clear" w:pos="4153"/>
                <w:tab w:val="clear" w:pos="8306"/>
              </w:tabs>
              <w:rPr>
                <w:rFonts w:eastAsia="標楷體"/>
                <w:color w:val="FF0000"/>
                <w:kern w:val="16"/>
              </w:rPr>
            </w:pPr>
            <w:r w:rsidRPr="00555342">
              <w:rPr>
                <w:rFonts w:eastAsia="標楷體"/>
                <w:color w:val="FF0000"/>
                <w:kern w:val="16"/>
              </w:rPr>
              <w:t>Information about the major current positions and major experience of independent directors of a listed company, and whether they concurrently serve as directors or supervisors of any other company.</w:t>
            </w:r>
          </w:p>
          <w:p w:rsidR="00AF022B" w:rsidRPr="00555342" w:rsidRDefault="00AF022B" w:rsidP="00AF022B">
            <w:pPr>
              <w:pStyle w:val="a5"/>
              <w:tabs>
                <w:tab w:val="clear" w:pos="4153"/>
                <w:tab w:val="clear" w:pos="8306"/>
              </w:tabs>
              <w:rPr>
                <w:rFonts w:eastAsia="標楷體"/>
                <w:color w:val="FF0000"/>
              </w:rPr>
            </w:pPr>
            <w:r w:rsidRPr="00555342">
              <w:rPr>
                <w:color w:val="FF0000"/>
              </w:rPr>
              <w:t>Note: The changes for preceding quarter shall be reported within 10 days following the end of each quarter.</w:t>
            </w:r>
          </w:p>
        </w:tc>
        <w:tc>
          <w:tcPr>
            <w:tcW w:w="5512" w:type="dxa"/>
            <w:shd w:val="clear" w:color="auto" w:fill="FFFFFF"/>
          </w:tcPr>
          <w:p w:rsidR="00AF022B" w:rsidRPr="00555342" w:rsidRDefault="00AF022B" w:rsidP="00AF022B">
            <w:pPr>
              <w:pStyle w:val="ab"/>
              <w:ind w:left="1"/>
              <w:rPr>
                <w:rFonts w:eastAsia="標楷體"/>
                <w:color w:val="FF0000"/>
              </w:rPr>
            </w:pPr>
            <w:r w:rsidRPr="00555342">
              <w:rPr>
                <w:rFonts w:eastAsia="標楷體"/>
                <w:color w:val="FF000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tc>
        <w:tc>
          <w:tcPr>
            <w:tcW w:w="4008" w:type="dxa"/>
            <w:shd w:val="clear" w:color="auto" w:fill="FFFFFF"/>
          </w:tcPr>
          <w:p w:rsidR="00AF022B" w:rsidRPr="00555342" w:rsidRDefault="00AF022B" w:rsidP="00AF022B">
            <w:pPr>
              <w:snapToGrid w:val="0"/>
              <w:rPr>
                <w:rFonts w:eastAsia="標楷體"/>
                <w:color w:val="FF0000"/>
                <w:sz w:val="20"/>
                <w:szCs w:val="20"/>
              </w:rPr>
            </w:pPr>
            <w:r w:rsidRPr="00555342">
              <w:rPr>
                <w:color w:val="FF0000"/>
                <w:sz w:val="20"/>
                <w:szCs w:val="20"/>
              </w:rPr>
              <w:t xml:space="preserve">Subparagraph 19, Paragraph 1, Article 3 of </w:t>
            </w:r>
            <w:r w:rsidRPr="00555342">
              <w:rPr>
                <w:rFonts w:eastAsia="標楷體"/>
                <w:color w:val="FF0000"/>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4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pStyle w:val="ab"/>
              <w:rPr>
                <w:rFonts w:eastAsia="標楷體"/>
              </w:rPr>
            </w:pPr>
            <w:r w:rsidRPr="000803AE">
              <w:rPr>
                <w:rFonts w:eastAsia="標楷體"/>
              </w:rPr>
              <w:t xml:space="preserve">Note: Announcement shall be made within 15 </w:t>
            </w:r>
            <w:r w:rsidRPr="000803AE">
              <w:rPr>
                <w:rFonts w:eastAsia="標楷體"/>
              </w:rPr>
              <w:lastRenderedPageBreak/>
              <w:t>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F022B" w:rsidRPr="000803AE" w:rsidRDefault="00AF022B" w:rsidP="00AF022B">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Pr="00EF20CD">
              <w:rPr>
                <w:rFonts w:eastAsia="標楷體"/>
              </w:rPr>
              <w:t>filing of all announcements</w:t>
            </w:r>
            <w:r>
              <w:rPr>
                <w:rFonts w:eastAsia="標楷體"/>
              </w:rPr>
              <w:t>/</w:t>
            </w:r>
            <w:r w:rsidRPr="000803AE">
              <w:rPr>
                <w:rFonts w:eastAsia="標楷體"/>
              </w:rPr>
              <w:t xml:space="preserve">matters required to be announced under Article 59 of the Regulations Governing Offering and Issuance of Securities by Securities </w:t>
            </w:r>
            <w:r w:rsidRPr="000803AE">
              <w:rPr>
                <w:rFonts w:eastAsia="標楷體"/>
              </w:rPr>
              <w:lastRenderedPageBreak/>
              <w:t>Issuers).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Article 37, 49, and 59 of the Regulations Governing the Offering and Issuance of Securities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636878">
              <w:rPr>
                <w:rFonts w:eastAsia="標楷體"/>
                <w:sz w:val="20"/>
                <w:szCs w:val="20"/>
              </w:rPr>
              <w:t>Those who have received notice from Taiwan Stock Exchange Corporation shall publicly disclose and file relevant financial information for the preceding month prior to the 20th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636878">
              <w:rPr>
                <w:rFonts w:eastAsia="標楷體"/>
                <w:sz w:val="20"/>
                <w:szCs w:val="20"/>
              </w:rPr>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rsidR="00AF022B" w:rsidRPr="000803AE" w:rsidRDefault="00AF022B" w:rsidP="00AF022B">
            <w:pPr>
              <w:keepNext/>
              <w:adjustRightInd w:val="0"/>
              <w:snapToGrid w:val="0"/>
              <w:rPr>
                <w:sz w:val="20"/>
                <w:szCs w:val="20"/>
              </w:rPr>
            </w:pPr>
            <w:r w:rsidRPr="00636878">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Pr="00636878"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636878" w:rsidRDefault="00AF022B" w:rsidP="00AF022B">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636878"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29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6"/>
              </w:numPr>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lastRenderedPageBreak/>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32"/>
              </w:numPr>
              <w:snapToGrid w:val="0"/>
              <w:jc w:val="left"/>
            </w:pPr>
            <w:r w:rsidRPr="000803AE">
              <w:lastRenderedPageBreak/>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45"/>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218"/>
        </w:trPr>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w:t>
            </w:r>
            <w:r w:rsidRPr="000803AE">
              <w:rPr>
                <w:rFonts w:eastAsia="標楷體"/>
                <w:sz w:val="20"/>
                <w:szCs w:val="20"/>
              </w:rPr>
              <w:lastRenderedPageBreak/>
              <w:t>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lastRenderedPageBreak/>
              <w:t xml:space="preserve">1. The relevant information shall be uploaded by domestic listed companies to the Market Observation Post System (sii.twse.com.tw/ information on monthly revenues, endorsements </w:t>
            </w:r>
            <w:r w:rsidRPr="000803AE">
              <w:rPr>
                <w:rFonts w:eastAsia="標楷體"/>
                <w:sz w:val="20"/>
                <w:szCs w:val="20"/>
              </w:rPr>
              <w:lastRenderedPageBreak/>
              <w:t xml:space="preserve">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 xml:space="preserve">Article 5 of the Securities and Exchange Act </w:t>
            </w:r>
            <w:r w:rsidRPr="000803AE">
              <w:rPr>
                <w:rFonts w:eastAsia="標楷體"/>
                <w:sz w:val="20"/>
                <w:szCs w:val="20"/>
              </w:rPr>
              <w:lastRenderedPageBreak/>
              <w:t>Enforcement Rules</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E61718"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19"/>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 xml:space="preserve">Companies offering and issuing or privately </w:t>
            </w:r>
            <w:r w:rsidRPr="000803AE">
              <w:rPr>
                <w:rFonts w:eastAsia="標楷體"/>
                <w:sz w:val="20"/>
                <w:szCs w:val="20"/>
              </w:rPr>
              <w:lastRenderedPageBreak/>
              <w:t>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 xml:space="preserve">The relevant information shall be uploaded to the Market </w:t>
            </w:r>
            <w:r w:rsidRPr="000803AE">
              <w:rPr>
                <w:rFonts w:eastAsia="標楷體"/>
              </w:rPr>
              <w:lastRenderedPageBreak/>
              <w:t>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47"/>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a bank or a bill finance company, an 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lastRenderedPageBreak/>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rsidR="00AF022B" w:rsidRPr="000803AE" w:rsidRDefault="00AF022B" w:rsidP="00AF022B">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rsidR="00AF022B" w:rsidRPr="000803AE" w:rsidRDefault="00AF022B" w:rsidP="00AF022B">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t>Financial</w:t>
            </w:r>
            <w:r w:rsidRPr="000803AE">
              <w:t xml:space="preserve"> Forecasts of Public Companies</w:t>
            </w:r>
            <w:r w:rsidRPr="000803AE">
              <w:rPr>
                <w:rFonts w:hint="eastAsia"/>
              </w:rPr>
              <w:t xml:space="preserve"> shall publicly disclose and report the following matters:</w:t>
            </w:r>
          </w:p>
          <w:p w:rsidR="00AF022B" w:rsidRPr="000803AE" w:rsidRDefault="00AF022B" w:rsidP="00AF022B">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36" w:hangingChars="118" w:hanging="236"/>
            </w:pPr>
            <w:r w:rsidRPr="000803AE">
              <w:rPr>
                <w:rFonts w:hint="eastAsia"/>
              </w:rPr>
              <w:t xml:space="preserve">  (2) If the discrepancy between the actual comprehensive income </w:t>
            </w:r>
            <w:r w:rsidRPr="000803AE">
              <w:rPr>
                <w:rFonts w:hint="eastAsia"/>
              </w:rPr>
              <w:lastRenderedPageBreak/>
              <w:t>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rsidR="00AF022B" w:rsidRPr="000803AE" w:rsidRDefault="00AF022B" w:rsidP="00AF022B">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297"/>
              </w:numPr>
              <w:snapToGrid w:val="0"/>
              <w:rPr>
                <w:sz w:val="20"/>
                <w:szCs w:val="20"/>
              </w:rPr>
            </w:pPr>
            <w:r w:rsidRPr="000803AE">
              <w:rPr>
                <w:sz w:val="20"/>
                <w:szCs w:val="20"/>
              </w:rPr>
              <w:t>Article 4 of the Securities and Exchange Act Enforcement Rules</w:t>
            </w:r>
          </w:p>
          <w:p w:rsidR="00AF022B" w:rsidRPr="000803AE" w:rsidRDefault="00AF022B" w:rsidP="00AF022B">
            <w:pPr>
              <w:numPr>
                <w:ilvl w:val="0"/>
                <w:numId w:val="297"/>
              </w:numPr>
              <w:snapToGrid w:val="0"/>
              <w:rPr>
                <w:sz w:val="20"/>
                <w:szCs w:val="20"/>
              </w:rPr>
            </w:pPr>
            <w:r w:rsidRPr="000803AE">
              <w:rPr>
                <w:sz w:val="20"/>
                <w:szCs w:val="20"/>
              </w:rPr>
              <w:t>Item 5, Article 47 of the Operating Rules of the Taiwan Stock Exchange Corporation</w:t>
            </w:r>
          </w:p>
          <w:p w:rsidR="00AF022B" w:rsidRPr="000803AE" w:rsidRDefault="00AF022B" w:rsidP="00AF022B">
            <w:pPr>
              <w:numPr>
                <w:ilvl w:val="0"/>
                <w:numId w:val="297"/>
              </w:numPr>
              <w:snapToGrid w:val="0"/>
              <w:rPr>
                <w:sz w:val="20"/>
                <w:szCs w:val="20"/>
              </w:rPr>
            </w:pPr>
            <w:r w:rsidRPr="000803AE">
              <w:rPr>
                <w:sz w:val="20"/>
                <w:szCs w:val="20"/>
              </w:rPr>
              <w:t>Letter No. Tai-Cheng-88-Shang-34230 dated October 19, 1999</w:t>
            </w:r>
          </w:p>
          <w:p w:rsidR="00AF022B" w:rsidRPr="000803AE" w:rsidRDefault="00AF022B" w:rsidP="00AF022B">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rsidR="00AF022B" w:rsidRPr="000803AE" w:rsidRDefault="00AF022B" w:rsidP="00AF022B">
            <w:pPr>
              <w:numPr>
                <w:ilvl w:val="0"/>
                <w:numId w:val="297"/>
              </w:numPr>
              <w:snapToGrid w:val="0"/>
              <w:rPr>
                <w:sz w:val="20"/>
                <w:szCs w:val="20"/>
              </w:rPr>
            </w:pPr>
            <w:r w:rsidRPr="000803AE">
              <w:rPr>
                <w:sz w:val="20"/>
                <w:szCs w:val="20"/>
              </w:rPr>
              <w:t xml:space="preserve">Subparagraph 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p w:rsidR="00AF022B" w:rsidRPr="000803AE" w:rsidRDefault="00AF022B" w:rsidP="00AF022B">
            <w:pPr>
              <w:numPr>
                <w:ilvl w:val="0"/>
                <w:numId w:val="297"/>
              </w:numPr>
              <w:snapToGrid w:val="0"/>
              <w:rPr>
                <w:sz w:val="20"/>
                <w:szCs w:val="20"/>
              </w:rPr>
            </w:pPr>
            <w:r w:rsidRPr="000803AE">
              <w:rPr>
                <w:sz w:val="20"/>
                <w:szCs w:val="20"/>
              </w:rPr>
              <w:t>Article 14 of the Securities and Exchange Act</w:t>
            </w:r>
          </w:p>
          <w:p w:rsidR="00AF022B" w:rsidRPr="000803AE" w:rsidRDefault="00AF022B" w:rsidP="00AF022B">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AF022B" w:rsidRPr="000803AE" w:rsidRDefault="00AF022B" w:rsidP="00AF022B">
            <w:pPr>
              <w:numPr>
                <w:ilvl w:val="0"/>
                <w:numId w:val="297"/>
              </w:numPr>
              <w:snapToGrid w:val="0"/>
              <w:rPr>
                <w:sz w:val="20"/>
                <w:szCs w:val="20"/>
              </w:rPr>
            </w:pPr>
            <w:r w:rsidRPr="000803AE">
              <w:rPr>
                <w:sz w:val="20"/>
                <w:szCs w:val="20"/>
              </w:rPr>
              <w:t>Letter No. Tai-Cheng-Zhi-0960028526 dated September 29, 2007</w:t>
            </w:r>
          </w:p>
          <w:p w:rsidR="00AF022B" w:rsidRPr="000803AE" w:rsidRDefault="00AF022B" w:rsidP="00AF022B">
            <w:pPr>
              <w:numPr>
                <w:ilvl w:val="0"/>
                <w:numId w:val="297"/>
              </w:numPr>
              <w:snapToGrid w:val="0"/>
              <w:rPr>
                <w:sz w:val="20"/>
                <w:szCs w:val="20"/>
              </w:rPr>
            </w:pPr>
            <w:r w:rsidRPr="000803AE">
              <w:rPr>
                <w:sz w:val="20"/>
                <w:szCs w:val="20"/>
              </w:rPr>
              <w:t>Letter No. Tai-Cheng-Shan-10000024671 dated January 20, 2011</w:t>
            </w:r>
          </w:p>
          <w:p w:rsidR="00AF022B" w:rsidRPr="000803AE" w:rsidRDefault="00AF022B" w:rsidP="00AF022B">
            <w:pPr>
              <w:numPr>
                <w:ilvl w:val="0"/>
                <w:numId w:val="297"/>
              </w:numPr>
              <w:snapToGrid w:val="0"/>
              <w:rPr>
                <w:sz w:val="20"/>
                <w:szCs w:val="20"/>
              </w:rPr>
            </w:pPr>
            <w:r w:rsidRPr="000803AE">
              <w:rPr>
                <w:sz w:val="20"/>
                <w:szCs w:val="20"/>
              </w:rPr>
              <w:t>Article 14-5 of the Securities and Exchange Act</w:t>
            </w:r>
          </w:p>
          <w:p w:rsidR="00AF022B" w:rsidRPr="000803AE" w:rsidRDefault="00AF022B" w:rsidP="00AF022B">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rsidR="00AF022B" w:rsidRPr="000803AE" w:rsidRDefault="00AF022B" w:rsidP="00AF022B">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rsidR="00AF022B" w:rsidRPr="000803AE" w:rsidRDefault="00AF022B" w:rsidP="00AF022B">
            <w:pPr>
              <w:numPr>
                <w:ilvl w:val="0"/>
                <w:numId w:val="297"/>
              </w:numPr>
              <w:snapToGrid w:val="0"/>
              <w:rPr>
                <w:sz w:val="20"/>
                <w:szCs w:val="20"/>
              </w:rPr>
            </w:pPr>
            <w:r w:rsidRPr="000803AE">
              <w:rPr>
                <w:sz w:val="20"/>
                <w:szCs w:val="20"/>
              </w:rPr>
              <w:t>Article 21 of the Regulations Governing Securities Firms</w:t>
            </w:r>
          </w:p>
          <w:p w:rsidR="00AF022B" w:rsidRPr="000803AE" w:rsidRDefault="00AF022B" w:rsidP="00AF022B">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Pr="000803AE" w:rsidRDefault="00AF022B" w:rsidP="00AF022B">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917C8D" w:rsidRDefault="00AF022B" w:rsidP="00AF022B">
            <w:pPr>
              <w:numPr>
                <w:ilvl w:val="0"/>
                <w:numId w:val="297"/>
              </w:numPr>
              <w:snapToGrid w:val="0"/>
              <w:rPr>
                <w:sz w:val="20"/>
                <w:szCs w:val="20"/>
              </w:rPr>
            </w:pPr>
            <w:r w:rsidRPr="000803AE">
              <w:rPr>
                <w:rFonts w:eastAsia="標楷體"/>
                <w:sz w:val="20"/>
                <w:szCs w:val="20"/>
              </w:rPr>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rsidR="00AF022B" w:rsidRDefault="00AF022B" w:rsidP="00AF022B">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rsidR="00AF022B" w:rsidRDefault="00AF022B" w:rsidP="00AF022B">
            <w:pPr>
              <w:numPr>
                <w:ilvl w:val="0"/>
                <w:numId w:val="297"/>
              </w:numPr>
              <w:snapToGrid w:val="0"/>
              <w:rPr>
                <w:kern w:val="0"/>
                <w:sz w:val="20"/>
                <w:szCs w:val="20"/>
              </w:rPr>
            </w:pPr>
            <w:r>
              <w:rPr>
                <w:rFonts w:eastAsia="標楷體"/>
                <w:sz w:val="20"/>
                <w:szCs w:val="20"/>
              </w:rPr>
              <w:t xml:space="preserve">Article 36 of Regulations Governing the </w:t>
            </w:r>
            <w:r>
              <w:rPr>
                <w:rFonts w:eastAsia="標楷體"/>
                <w:sz w:val="20"/>
                <w:szCs w:val="20"/>
              </w:rPr>
              <w:lastRenderedPageBreak/>
              <w:t>Preparation of Financial Reports by Insurance Enterprises</w:t>
            </w:r>
          </w:p>
          <w:p w:rsidR="00AF022B" w:rsidRPr="000803AE" w:rsidRDefault="00AF022B" w:rsidP="00AF022B">
            <w:pPr>
              <w:numPr>
                <w:ilvl w:val="0"/>
                <w:numId w:val="297"/>
              </w:numPr>
              <w:snapToGrid w:val="0"/>
              <w:rPr>
                <w:sz w:val="20"/>
                <w:szCs w:val="20"/>
              </w:rPr>
            </w:pPr>
            <w:r w:rsidRPr="009D56CA">
              <w:rPr>
                <w:sz w:val="20"/>
                <w:szCs w:val="20"/>
              </w:rPr>
              <w:t>Article 24 of Regulations Governing Futures Commission Merchants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rsidR="00AF022B" w:rsidRPr="00FB02BF" w:rsidRDefault="00AF022B" w:rsidP="00AF022B">
            <w:pPr>
              <w:pStyle w:val="a3"/>
              <w:suppressLineNumbers/>
              <w:suppressAutoHyphens/>
              <w:snapToGrid w:val="0"/>
              <w:rPr>
                <w:rFonts w:eastAsia="標楷體"/>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AF022B" w:rsidRPr="00313F36" w:rsidRDefault="00AF022B" w:rsidP="00AF022B">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34"/>
              </w:numPr>
              <w:snapToGrid w:val="0"/>
              <w:rPr>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48"/>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4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5642BC"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The information regarding material transactions with related parties made as of the end of the preceding month shall be filed by the end of each month.  If the discrepancy between the </w:t>
            </w:r>
            <w:r w:rsidRPr="000803AE">
              <w:rPr>
                <w:rFonts w:eastAsia="標楷體"/>
                <w:sz w:val="20"/>
                <w:szCs w:val="20"/>
              </w:rPr>
              <w:lastRenderedPageBreak/>
              <w:t>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rsidR="00AF022B" w:rsidRPr="000803AE" w:rsidRDefault="00AF022B" w:rsidP="00AF022B">
            <w:pPr>
              <w:numPr>
                <w:ilvl w:val="0"/>
                <w:numId w:val="309"/>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69"/>
              </w:numPr>
              <w:snapToGrid w:val="0"/>
              <w:rPr>
                <w:rFonts w:eastAsia="標楷體"/>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627D8E" w:rsidRDefault="00AF022B" w:rsidP="00AF022B">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rsidR="00AF022B" w:rsidRPr="000803AE" w:rsidRDefault="00AF022B" w:rsidP="00AF022B">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AF022B" w:rsidRDefault="00AF022B" w:rsidP="00AF022B">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AF022B" w:rsidRPr="001167D4" w:rsidRDefault="00AF022B" w:rsidP="00AF022B">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Pr="00C12DC8">
              <w:rPr>
                <w:sz w:val="20"/>
                <w:szCs w:val="20"/>
              </w:rPr>
              <w:t xml:space="preserve"> by TWSE Listed </w:t>
            </w:r>
            <w:r w:rsidRPr="00C12DC8">
              <w:rPr>
                <w:sz w:val="20"/>
                <w:szCs w:val="20"/>
              </w:rPr>
              <w:lastRenderedPageBreak/>
              <w:t>Companies</w:t>
            </w:r>
            <w:r>
              <w:rPr>
                <w:rFonts w:hint="eastAsia"/>
                <w:sz w:val="20"/>
                <w:szCs w:val="20"/>
              </w:rPr>
              <w:t xml:space="preserve"> </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50"/>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w:t>
            </w:r>
            <w:r w:rsidRPr="000803AE">
              <w:rPr>
                <w:rFonts w:eastAsia="標楷體"/>
                <w:sz w:val="20"/>
                <w:szCs w:val="20"/>
              </w:rPr>
              <w:lastRenderedPageBreak/>
              <w:t>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Tai-Cheng-90-Tai-Tsai-Cheng-6-</w:t>
            </w:r>
            <w:r w:rsidRPr="000803AE">
              <w:rPr>
                <w:rFonts w:eastAsia="標楷體"/>
                <w:sz w:val="20"/>
                <w:szCs w:val="20"/>
              </w:rPr>
              <w:lastRenderedPageBreak/>
              <w:t>003888 dated August 10, 2001</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085"/>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EB6F5C"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rPr>
          <w:trHeight w:val="2370"/>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52"/>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5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1505"/>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2"/>
              </w:numPr>
              <w:kinsoku w:val="0"/>
              <w:overflowPunct w:val="0"/>
              <w:snapToGrid w:val="0"/>
              <w:rPr>
                <w:rFonts w:eastAsia="標楷體"/>
                <w:sz w:val="20"/>
                <w:szCs w:val="20"/>
              </w:rPr>
            </w:pPr>
            <w:r w:rsidRPr="000803AE">
              <w:rPr>
                <w:rFonts w:eastAsia="標楷體"/>
                <w:sz w:val="20"/>
                <w:szCs w:val="20"/>
              </w:rPr>
              <w:t>Articles 21, 28 and 36 of the Regulations Governing Offering and Issuance of Overseas Securities by Issuers</w:t>
            </w:r>
          </w:p>
          <w:p w:rsidR="00AF022B" w:rsidRPr="000803AE" w:rsidRDefault="00AF022B" w:rsidP="00AF022B">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w:t>
            </w:r>
            <w:r>
              <w:rPr>
                <w:rFonts w:eastAsia="標楷體"/>
                <w:sz w:val="20"/>
                <w:szCs w:val="20"/>
              </w:rPr>
              <w:lastRenderedPageBreak/>
              <w:t xml:space="preserve">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lastRenderedPageBreak/>
              <w:t xml:space="preserve">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9</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snapToGrid w:val="0"/>
              <w:rPr>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0"/>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0"/>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t>
            </w:r>
            <w:r w:rsidRPr="000803AE">
              <w:rPr>
                <w:rFonts w:eastAsia="標楷體" w:hint="eastAsia"/>
                <w:sz w:val="20"/>
                <w:szCs w:val="20"/>
              </w:rPr>
              <w:lastRenderedPageBreak/>
              <w:t>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85"/>
              </w:numPr>
              <w:snapToGrid w:val="0"/>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85"/>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w:t>
            </w:r>
            <w:r w:rsidRPr="000803AE">
              <w:rPr>
                <w:rFonts w:eastAsia="標楷體"/>
                <w:sz w:val="20"/>
                <w:szCs w:val="20"/>
              </w:rPr>
              <w:lastRenderedPageBreak/>
              <w:t>offering subsidiaries in Taiwan).</w:t>
            </w:r>
          </w:p>
        </w:tc>
        <w:tc>
          <w:tcPr>
            <w:tcW w:w="4008" w:type="dxa"/>
            <w:shd w:val="clear" w:color="auto" w:fill="FFFFFF"/>
          </w:tcPr>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5"/>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 xml:space="preserve">Subparagraphs 4 and 5, Paragraph 1, Article 3 of 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rPr>
          <w:trHeight w:val="270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Quarterly report on use of proceeds for rights issue or issue of corporate bonds.</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AF022B" w:rsidRPr="000803AE" w:rsidRDefault="00AF022B" w:rsidP="00AF022B">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AF022B" w:rsidRPr="000803AE" w:rsidRDefault="00AF022B" w:rsidP="00AF022B">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AF022B" w:rsidRPr="000803AE" w:rsidRDefault="00AF022B" w:rsidP="00AF022B">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AF022B" w:rsidRPr="000803AE" w:rsidRDefault="00AF022B" w:rsidP="00AF022B">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AF022B" w:rsidRPr="000803AE" w:rsidRDefault="00AF022B" w:rsidP="00AF022B">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AF022B" w:rsidRPr="000803AE" w:rsidRDefault="00AF022B" w:rsidP="00AF022B">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AF022B" w:rsidRPr="000803AE" w:rsidRDefault="00AF022B" w:rsidP="00AF022B">
            <w:pPr>
              <w:snapToGrid w:val="0"/>
              <w:rPr>
                <w:rFonts w:eastAsia="標楷體"/>
                <w:sz w:val="20"/>
                <w:szCs w:val="20"/>
              </w:rPr>
            </w:pP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domestic and foreign managerial officers and </w:t>
            </w:r>
            <w:r w:rsidRPr="000803AE">
              <w:rPr>
                <w:rFonts w:eastAsia="標楷體"/>
                <w:sz w:val="20"/>
                <w:szCs w:val="20"/>
              </w:rPr>
              <w:lastRenderedPageBreak/>
              <w:t>department/branch chiefs</w:t>
            </w:r>
          </w:p>
          <w:p w:rsidR="00AF022B" w:rsidRPr="000803AE" w:rsidRDefault="00AF022B" w:rsidP="00AF022B">
            <w:pPr>
              <w:snapToGrid w:val="0"/>
              <w:ind w:left="784" w:hangingChars="392" w:hanging="784"/>
              <w:rPr>
                <w:rFonts w:eastAsia="標楷體"/>
                <w:sz w:val="20"/>
                <w:szCs w:val="20"/>
              </w:rPr>
            </w:pPr>
            <w:r w:rsidRPr="000803AE">
              <w:rPr>
                <w:rFonts w:eastAsia="標楷體"/>
                <w:sz w:val="20"/>
                <w:szCs w:val="20"/>
              </w:rPr>
              <w:t xml:space="preserve">Note: </w:t>
            </w:r>
          </w:p>
          <w:p w:rsidR="00AF022B" w:rsidRPr="000803AE" w:rsidRDefault="00AF022B" w:rsidP="00AF022B">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rsidR="00AF022B" w:rsidRPr="000803AE" w:rsidRDefault="00AF022B" w:rsidP="00AF022B">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 xml:space="preserve">reporting of </w:t>
            </w:r>
            <w:r w:rsidRPr="000803AE">
              <w:rPr>
                <w:rFonts w:eastAsia="標楷體"/>
                <w:sz w:val="20"/>
                <w:szCs w:val="20"/>
              </w:rPr>
              <w:lastRenderedPageBreak/>
              <w:t>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lastRenderedPageBreak/>
              <w:t xml:space="preserve">Subparagraph 17, Paragraph 1, Article 3 of </w:t>
            </w:r>
            <w:r w:rsidRPr="000803AE">
              <w:rPr>
                <w:rFonts w:eastAsia="標楷體"/>
                <w:sz w:val="20"/>
                <w:szCs w:val="20"/>
              </w:rPr>
              <w:t xml:space="preserve">Taiwan Stock Exchange Corporation Rules Governing Information Reporting by Companies </w:t>
            </w:r>
            <w:r w:rsidRPr="000803AE">
              <w:rPr>
                <w:rFonts w:eastAsia="標楷體"/>
                <w:sz w:val="20"/>
                <w:szCs w:val="20"/>
              </w:rPr>
              <w:lastRenderedPageBreak/>
              <w:t>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F340C8"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1"/>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quarterly report on use of fund raised from private placement of securities after fully collecting the subscription price.</w:t>
            </w:r>
          </w:p>
          <w:p w:rsidR="00AF022B" w:rsidRPr="000803AE" w:rsidRDefault="00AF022B" w:rsidP="00AF022B">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AF022B" w:rsidRPr="000803AE" w:rsidRDefault="00AF022B" w:rsidP="00AF022B">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rsidR="00AF022B" w:rsidRPr="000803AE" w:rsidRDefault="00AF022B" w:rsidP="00AF022B">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 xml:space="preserve">The relevant information shall be uploaded to the Market Observation Post System (sii.twse.com.tw/ information on monthly revenues, endorsements and guarantee, and funds lending and </w:t>
            </w:r>
            <w:r w:rsidRPr="000803AE">
              <w:rPr>
                <w:rFonts w:eastAsia="標楷體"/>
              </w:rPr>
              <w:lastRenderedPageBreak/>
              <w:t>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88"/>
              </w:numPr>
              <w:snapToGrid w:val="0"/>
              <w:rPr>
                <w:rFonts w:eastAsia="標楷體"/>
                <w:sz w:val="20"/>
                <w:szCs w:val="20"/>
              </w:rPr>
            </w:pPr>
            <w:r w:rsidRPr="000803AE">
              <w:rPr>
                <w:rFonts w:eastAsia="標楷體"/>
                <w:sz w:val="20"/>
                <w:szCs w:val="20"/>
              </w:rPr>
              <w:lastRenderedPageBreak/>
              <w:t>Letter No. Tai-Cheng-Shang-0960009099 dated April 18, 2007</w:t>
            </w:r>
          </w:p>
          <w:p w:rsidR="00AF022B" w:rsidRPr="000803AE" w:rsidRDefault="00AF022B" w:rsidP="00AF022B">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0</w:t>
            </w:r>
          </w:p>
        </w:tc>
        <w:tc>
          <w:tcPr>
            <w:tcW w:w="4115" w:type="dxa"/>
            <w:shd w:val="clear" w:color="auto" w:fill="FFFFFF"/>
          </w:tcPr>
          <w:p w:rsidR="00AF022B" w:rsidRPr="00555342" w:rsidRDefault="00AF022B" w:rsidP="00AF022B">
            <w:pPr>
              <w:pStyle w:val="a5"/>
              <w:tabs>
                <w:tab w:val="clear" w:pos="4153"/>
                <w:tab w:val="clear" w:pos="8306"/>
              </w:tabs>
              <w:rPr>
                <w:rFonts w:eastAsia="標楷體"/>
                <w:color w:val="FF0000"/>
              </w:rPr>
            </w:pPr>
            <w:r w:rsidRPr="00555342">
              <w:rPr>
                <w:rFonts w:eastAsia="標楷體"/>
                <w:color w:val="FF0000"/>
              </w:rPr>
              <w:t>Information about the major current positions and major experience of independent directors of a listed company, and whether they concurrently serve as directors or supervisors of any other company.</w:t>
            </w:r>
          </w:p>
          <w:p w:rsidR="00AF022B" w:rsidRPr="00555342" w:rsidRDefault="00AF022B" w:rsidP="00AF022B">
            <w:pPr>
              <w:pStyle w:val="a5"/>
              <w:tabs>
                <w:tab w:val="clear" w:pos="4153"/>
                <w:tab w:val="clear" w:pos="8306"/>
              </w:tabs>
              <w:rPr>
                <w:rFonts w:eastAsia="標楷體"/>
                <w:color w:val="FF0000"/>
              </w:rPr>
            </w:pPr>
            <w:r w:rsidRPr="00555342">
              <w:rPr>
                <w:color w:val="FF0000"/>
              </w:rPr>
              <w:t>Note: The changes for preceding quarter shall be reported within 10 days following the end of each quarter.</w:t>
            </w:r>
          </w:p>
        </w:tc>
        <w:tc>
          <w:tcPr>
            <w:tcW w:w="5512" w:type="dxa"/>
            <w:shd w:val="clear" w:color="auto" w:fill="FFFFFF"/>
          </w:tcPr>
          <w:p w:rsidR="00AF022B" w:rsidRPr="00555342" w:rsidRDefault="00AF022B" w:rsidP="00AF022B">
            <w:pPr>
              <w:pStyle w:val="ab"/>
              <w:ind w:left="1"/>
              <w:rPr>
                <w:rFonts w:eastAsia="標楷體"/>
                <w:color w:val="FF0000"/>
              </w:rPr>
            </w:pPr>
            <w:r w:rsidRPr="00555342">
              <w:rPr>
                <w:rFonts w:eastAsia="標楷體"/>
                <w:color w:val="FF000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tc>
        <w:tc>
          <w:tcPr>
            <w:tcW w:w="4008" w:type="dxa"/>
            <w:shd w:val="clear" w:color="auto" w:fill="FFFFFF"/>
          </w:tcPr>
          <w:p w:rsidR="00AF022B" w:rsidRPr="00555342" w:rsidRDefault="00AF022B" w:rsidP="00AF022B">
            <w:pPr>
              <w:snapToGrid w:val="0"/>
              <w:rPr>
                <w:rFonts w:eastAsia="標楷體"/>
                <w:color w:val="FF0000"/>
                <w:sz w:val="20"/>
                <w:szCs w:val="20"/>
              </w:rPr>
            </w:pPr>
            <w:r w:rsidRPr="00555342">
              <w:rPr>
                <w:rFonts w:eastAsia="標楷體"/>
                <w:color w:val="FF0000"/>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374"/>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Default="00AF022B" w:rsidP="00AF022B">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F022B" w:rsidRPr="006C4CA6" w:rsidRDefault="00AF022B" w:rsidP="00AF022B">
            <w:pPr>
              <w:snapToGrid w:val="0"/>
              <w:ind w:left="200" w:hanging="200"/>
              <w:rPr>
                <w:rFonts w:eastAsia="標楷體"/>
                <w:sz w:val="20"/>
                <w:szCs w:val="20"/>
              </w:rPr>
            </w:pPr>
          </w:p>
          <w:p w:rsidR="00AF022B" w:rsidRPr="000803AE" w:rsidRDefault="00AF022B" w:rsidP="00AF022B">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Announcement shall be made within 15 </w:t>
            </w:r>
            <w:r w:rsidRPr="000803AE">
              <w:rPr>
                <w:rFonts w:ascii="Times New Roman" w:eastAsia="標楷體" w:hAnsi="Times New Roman"/>
                <w:sz w:val="20"/>
                <w:lang w:val="en-US" w:eastAsia="zh-TW"/>
              </w:rPr>
              <w:lastRenderedPageBreak/>
              <w:t>days following the end of the quarter when the share certificates were delivered.</w:t>
            </w:r>
          </w:p>
        </w:tc>
        <w:tc>
          <w:tcPr>
            <w:tcW w:w="5512" w:type="dxa"/>
            <w:shd w:val="clear" w:color="auto" w:fill="FFFFFF"/>
          </w:tcPr>
          <w:p w:rsidR="00AF022B" w:rsidRPr="000803AE" w:rsidRDefault="00AF022B" w:rsidP="00AF022B">
            <w:pPr>
              <w:snapToGrid w:val="0"/>
              <w:ind w:left="200" w:hanging="200"/>
              <w:rPr>
                <w:rFonts w:eastAsia="標楷體"/>
                <w:sz w:val="20"/>
                <w:szCs w:val="20"/>
              </w:rPr>
            </w:pPr>
            <w:r w:rsidRPr="000803AE">
              <w:rPr>
                <w:rFonts w:eastAsia="標楷體"/>
                <w:sz w:val="20"/>
                <w:szCs w:val="20"/>
              </w:rPr>
              <w:lastRenderedPageBreak/>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rsidR="00AF022B" w:rsidRPr="000803AE" w:rsidRDefault="00AF022B" w:rsidP="00AF022B">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rsidR="00AF022B" w:rsidRPr="000803AE" w:rsidRDefault="00AF022B" w:rsidP="00AF022B">
            <w:pPr>
              <w:snapToGrid w:val="0"/>
              <w:rPr>
                <w:sz w:val="20"/>
                <w:szCs w:val="20"/>
              </w:rPr>
            </w:pPr>
            <w:r w:rsidRPr="000803AE">
              <w:rPr>
                <w:rFonts w:eastAsia="標楷體"/>
                <w:sz w:val="20"/>
                <w:szCs w:val="20"/>
              </w:rPr>
              <w:t>Article 37, 49, and 59 of the Regulations Governing the Offering and Issuance of Securities by Securities Issuers</w:t>
            </w:r>
          </w:p>
          <w:p w:rsidR="00AF022B" w:rsidRPr="000803AE" w:rsidRDefault="00AF022B" w:rsidP="00AF022B">
            <w:pPr>
              <w:kinsoku w:val="0"/>
              <w:overflowPunct w:val="0"/>
              <w:snapToGrid w:val="0"/>
              <w:rPr>
                <w:rFonts w:eastAsia="標楷體"/>
                <w:sz w:val="20"/>
                <w:szCs w:val="20"/>
              </w:rPr>
            </w:pPr>
          </w:p>
        </w:tc>
      </w:tr>
      <w:tr w:rsidR="00AF022B" w:rsidRPr="000803AE" w:rsidTr="0006674B">
        <w:trPr>
          <w:trHeight w:val="1531"/>
        </w:trPr>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AF022B" w:rsidRPr="000803AE" w:rsidRDefault="00AF022B" w:rsidP="00AF022B">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AF022B" w:rsidRPr="000803AE" w:rsidRDefault="00AF022B" w:rsidP="00AF022B">
            <w:pPr>
              <w:keepNext/>
              <w:numPr>
                <w:ilvl w:val="0"/>
                <w:numId w:val="30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AF022B" w:rsidRPr="000803AE" w:rsidTr="00D80A1F">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AF022B" w:rsidRPr="000803AE" w:rsidRDefault="00AF022B" w:rsidP="00AF022B">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AF022B" w:rsidRPr="000803AE" w:rsidRDefault="00AF022B" w:rsidP="00AF022B">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AF022B" w:rsidRPr="000803AE" w:rsidRDefault="00AF022B" w:rsidP="00AF022B">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AF022B" w:rsidRPr="000803AE" w:rsidRDefault="00AF022B" w:rsidP="00AF022B">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55"/>
              </w:numPr>
              <w:snapToGrid w:val="0"/>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5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w:t>
            </w:r>
            <w:r w:rsidRPr="000803AE">
              <w:rPr>
                <w:rFonts w:eastAsia="標楷體"/>
                <w:sz w:val="20"/>
                <w:szCs w:val="20"/>
              </w:rPr>
              <w:lastRenderedPageBreak/>
              <w:t>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Tai-Cheng-90-Tai-Tsai-Cheng-6-</w:t>
            </w:r>
            <w:r w:rsidRPr="000803AE">
              <w:rPr>
                <w:rFonts w:eastAsia="標楷體"/>
                <w:sz w:val="20"/>
                <w:szCs w:val="20"/>
              </w:rPr>
              <w:lastRenderedPageBreak/>
              <w:t>003888 dated August 10, 2001</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06517F"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2"/>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w:t>
            </w:r>
            <w:r w:rsidRPr="000803AE">
              <w:rPr>
                <w:rFonts w:eastAsia="標楷體"/>
                <w:sz w:val="20"/>
                <w:szCs w:val="20"/>
              </w:rPr>
              <w:lastRenderedPageBreak/>
              <w:t>may exercise put rights.</w:t>
            </w:r>
          </w:p>
        </w:tc>
        <w:tc>
          <w:tcPr>
            <w:tcW w:w="5512" w:type="dxa"/>
            <w:shd w:val="clear" w:color="auto" w:fill="FFFFFF"/>
          </w:tcPr>
          <w:p w:rsidR="00AF022B" w:rsidRPr="000803AE" w:rsidRDefault="00AF022B" w:rsidP="00AF022B">
            <w:pPr>
              <w:pStyle w:val="ab"/>
              <w:rPr>
                <w:rFonts w:eastAsia="標楷體"/>
              </w:rPr>
            </w:pPr>
            <w:r w:rsidRPr="000803AE">
              <w:rPr>
                <w:rFonts w:eastAsia="標楷體"/>
              </w:rPr>
              <w:lastRenderedPageBreak/>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Note 1: Within 45 days following the end of the third quarter of each fiscal year.</w:t>
            </w:r>
          </w:p>
          <w:p w:rsidR="00AF022B" w:rsidRPr="000803AE" w:rsidRDefault="00AF022B" w:rsidP="00AF022B">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AF022B" w:rsidRPr="000803AE" w:rsidRDefault="00AF022B" w:rsidP="00AF022B">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AF022B" w:rsidRPr="000803AE" w:rsidRDefault="00AF022B" w:rsidP="00AF022B">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AF022B" w:rsidRPr="000803AE" w:rsidRDefault="00AF022B" w:rsidP="00AF022B">
            <w:pPr>
              <w:pStyle w:val="ab"/>
              <w:ind w:left="201" w:hanging="200"/>
              <w:rPr>
                <w:rFonts w:eastAsia="標楷體"/>
              </w:rPr>
            </w:pPr>
            <w:r w:rsidRPr="000803AE">
              <w:rPr>
                <w:rFonts w:eastAsia="標楷體" w:hint="eastAsia"/>
              </w:rPr>
              <w:lastRenderedPageBreak/>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rsidR="00AF022B" w:rsidRPr="000803AE" w:rsidRDefault="00AF022B" w:rsidP="00AF022B">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AF022B" w:rsidRPr="000803AE" w:rsidRDefault="00AF022B" w:rsidP="00AF022B">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rsidR="00AF022B" w:rsidRPr="000803AE" w:rsidRDefault="00AF022B" w:rsidP="00AF022B">
            <w:pPr>
              <w:pStyle w:val="ab"/>
              <w:ind w:left="200" w:hanging="200"/>
            </w:pPr>
            <w:r w:rsidRPr="000803AE">
              <w:t xml:space="preserve"> </w:t>
            </w:r>
            <w:r w:rsidRPr="000803AE">
              <w:rPr>
                <w:rFonts w:hint="eastAsia"/>
              </w:rPr>
              <w:t xml:space="preserve"> </w:t>
            </w:r>
            <w:r w:rsidRPr="000803AE">
              <w:t>(1)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AF022B" w:rsidRPr="000803AE" w:rsidRDefault="00AF022B" w:rsidP="00AF022B">
            <w:pPr>
              <w:pStyle w:val="ab"/>
              <w:ind w:left="201" w:hanging="200"/>
              <w:rPr>
                <w:rFonts w:eastAsia="標楷體"/>
              </w:rPr>
            </w:pPr>
            <w:r w:rsidRPr="000803AE">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rsidR="00AF022B" w:rsidRPr="000803AE" w:rsidRDefault="00AF022B" w:rsidP="00AF022B">
            <w:pPr>
              <w:pStyle w:val="ab"/>
              <w:ind w:left="201" w:hanging="200"/>
            </w:pPr>
          </w:p>
        </w:tc>
        <w:tc>
          <w:tcPr>
            <w:tcW w:w="4008" w:type="dxa"/>
            <w:shd w:val="clear" w:color="auto" w:fill="FFFFFF"/>
          </w:tcPr>
          <w:p w:rsidR="00AF022B" w:rsidRPr="000803AE" w:rsidRDefault="00AF022B" w:rsidP="00AF022B">
            <w:pPr>
              <w:numPr>
                <w:ilvl w:val="0"/>
                <w:numId w:val="30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Article 4 of the Securities and Exchange Act Enforcement Rules</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Letter No. 84-Tai-Tsai-Cheng-6-00101 dated January 16, 1995</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Article 14 of the Securities and Exchange Act</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 xml:space="preserve">Decree No. Chin-Guan-Cheng-6-0960034217 dated July 9, 2007 and Letter </w:t>
            </w:r>
            <w:r w:rsidRPr="000803AE">
              <w:rPr>
                <w:rFonts w:eastAsia="標楷體"/>
                <w:sz w:val="20"/>
                <w:szCs w:val="20"/>
              </w:rPr>
              <w:lastRenderedPageBreak/>
              <w:t>No. Tai-Cheng-Shang-0960018929 dated July 16, 2007</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rsidR="00AF022B" w:rsidRPr="000803AE" w:rsidRDefault="00AF022B" w:rsidP="00AF022B">
            <w:pPr>
              <w:numPr>
                <w:ilvl w:val="0"/>
                <w:numId w:val="302"/>
              </w:numPr>
              <w:snapToGrid w:val="0"/>
              <w:rPr>
                <w:rFonts w:eastAsia="標楷體"/>
                <w:sz w:val="20"/>
                <w:szCs w:val="20"/>
              </w:rPr>
            </w:pPr>
            <w:r w:rsidRPr="000803AE">
              <w:rPr>
                <w:rFonts w:eastAsia="標楷體"/>
                <w:sz w:val="20"/>
                <w:szCs w:val="20"/>
              </w:rPr>
              <w:t>Decree No. Chin-Guan-Yin-Fa-10110002230 dated May 18, 2012</w:t>
            </w:r>
          </w:p>
          <w:p w:rsidR="00AF022B" w:rsidRPr="000803AE" w:rsidRDefault="00AF022B" w:rsidP="00AF022B">
            <w:pPr>
              <w:numPr>
                <w:ilvl w:val="0"/>
                <w:numId w:val="302"/>
              </w:numPr>
              <w:snapToGrid w:val="0"/>
              <w:rPr>
                <w:sz w:val="20"/>
                <w:szCs w:val="20"/>
              </w:rPr>
            </w:pPr>
            <w:r w:rsidRPr="000803AE">
              <w:rPr>
                <w:rFonts w:eastAsia="標楷體"/>
                <w:sz w:val="20"/>
                <w:szCs w:val="20"/>
              </w:rPr>
              <w:t>Letter No. Cheng-Chi-Shen-1020035072 dated August 16, 2013</w:t>
            </w:r>
          </w:p>
          <w:p w:rsidR="00AF022B" w:rsidRPr="000803AE" w:rsidRDefault="00AF022B" w:rsidP="00AF022B">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AF022B" w:rsidRPr="000803AE" w:rsidRDefault="00AF022B" w:rsidP="00AF022B">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AF022B" w:rsidRPr="000803AE" w:rsidRDefault="00AF022B" w:rsidP="00AF022B">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AF022B" w:rsidRPr="000803AE" w:rsidRDefault="00AF022B" w:rsidP="00AF022B">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rsidR="00AF022B" w:rsidRPr="000803AE" w:rsidRDefault="00AF022B" w:rsidP="00AF022B">
            <w:pPr>
              <w:pStyle w:val="a3"/>
              <w:suppressLineNumbers/>
              <w:suppressAutoHyphens/>
              <w:snapToGrid w:val="0"/>
              <w:rPr>
                <w:sz w:val="20"/>
              </w:rPr>
            </w:pPr>
            <w:r w:rsidRPr="000803AE">
              <w:rPr>
                <w:rFonts w:ascii="Times New Roman" w:eastAsia="標楷體" w:hAnsi="Times New Roman"/>
                <w:sz w:val="20"/>
                <w:lang w:val="en-US" w:eastAsia="zh-TW"/>
              </w:rPr>
              <w:t xml:space="preserve">Note: Starting from the fourth quarter of 2018, </w:t>
            </w:r>
            <w:r w:rsidRPr="000803AE">
              <w:rPr>
                <w:rFonts w:ascii="Times New Roman" w:eastAsia="標楷體" w:hAnsi="Times New Roman"/>
                <w:sz w:val="20"/>
                <w:lang w:val="en-US" w:eastAsia="zh-TW"/>
              </w:rPr>
              <w:lastRenderedPageBreak/>
              <w:t>only securities which are issued by domestic public companies and held by listed companies and affiliates shall be reported.</w:t>
            </w:r>
          </w:p>
        </w:tc>
        <w:tc>
          <w:tcPr>
            <w:tcW w:w="5512" w:type="dxa"/>
            <w:shd w:val="clear" w:color="auto" w:fill="FFFFFF"/>
          </w:tcPr>
          <w:p w:rsidR="00AF022B" w:rsidRPr="000803AE" w:rsidRDefault="00AF022B" w:rsidP="00AF022B">
            <w:pPr>
              <w:pStyle w:val="ab"/>
              <w:ind w:left="1"/>
            </w:pPr>
            <w:r w:rsidRPr="000803AE">
              <w:rPr>
                <w:rFonts w:eastAsia="標楷體"/>
              </w:rPr>
              <w:lastRenderedPageBreak/>
              <w:t>The relevant information shall be uploaded to the Market Observation Post System (sii.twse.com.tw/filing by enterprise groups).</w:t>
            </w:r>
          </w:p>
        </w:tc>
        <w:tc>
          <w:tcPr>
            <w:tcW w:w="4008" w:type="dxa"/>
            <w:shd w:val="clear" w:color="auto" w:fill="FFFFFF"/>
          </w:tcPr>
          <w:p w:rsidR="00AF022B" w:rsidRPr="000803AE" w:rsidRDefault="00AF022B" w:rsidP="00AF022B">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AF022B" w:rsidRPr="000803AE" w:rsidRDefault="00AF022B" w:rsidP="00AF022B">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sz w:val="20"/>
                <w:szCs w:val="20"/>
              </w:rPr>
            </w:pPr>
            <w:r w:rsidRPr="000803AE">
              <w:rPr>
                <w:sz w:val="20"/>
                <w:szCs w:val="20"/>
              </w:rPr>
              <w:t>Filing of investments in mainland China.</w:t>
            </w:r>
          </w:p>
          <w:p w:rsidR="00AF022B" w:rsidRPr="000803AE" w:rsidRDefault="00AF022B" w:rsidP="00AF022B">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Filing of investments in overseas subsidiaries.</w:t>
            </w:r>
          </w:p>
          <w:p w:rsidR="00AF022B" w:rsidRPr="000803AE" w:rsidRDefault="00AF022B" w:rsidP="00AF022B">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AF022B" w:rsidRPr="000803AE" w:rsidRDefault="00AF022B" w:rsidP="00AF022B">
            <w:pPr>
              <w:pStyle w:val="ab"/>
              <w:ind w:left="1"/>
            </w:pPr>
            <w:r w:rsidRPr="000803AE">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AF022B" w:rsidRPr="000803AE" w:rsidRDefault="00AF022B" w:rsidP="00AF022B">
            <w:pPr>
              <w:snapToGrid w:val="0"/>
              <w:rPr>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AF022B" w:rsidRPr="002F204E" w:rsidRDefault="00AF022B" w:rsidP="00AF022B">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rsidR="00AF022B" w:rsidRPr="000803AE" w:rsidRDefault="00AF022B" w:rsidP="00AF022B">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AF022B" w:rsidRPr="000803AE" w:rsidRDefault="00AF022B" w:rsidP="00AF022B">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AF022B" w:rsidRPr="000803AE" w:rsidRDefault="00AF022B" w:rsidP="00AF022B">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42"/>
              </w:numPr>
              <w:snapToGrid w:val="0"/>
              <w:rPr>
                <w:sz w:val="20"/>
                <w:szCs w:val="20"/>
              </w:rPr>
            </w:pPr>
            <w:r w:rsidRPr="000803AE">
              <w:rPr>
                <w:rFonts w:eastAsia="標楷體"/>
                <w:sz w:val="20"/>
                <w:szCs w:val="20"/>
              </w:rPr>
              <w:t>Letter No. Tai-Cheng-Shang-0940103640 dated December 20, 2005</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AF022B" w:rsidRPr="000803AE" w:rsidRDefault="00AF022B" w:rsidP="00AF022B">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AF022B" w:rsidRPr="000803AE" w:rsidRDefault="00AF022B" w:rsidP="00AF022B">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 xml:space="preserve">Reporting of the changes in shareholding of </w:t>
            </w:r>
            <w:r w:rsidRPr="000803AE">
              <w:rPr>
                <w:rFonts w:eastAsia="標楷體"/>
                <w:kern w:val="16"/>
              </w:rPr>
              <w:lastRenderedPageBreak/>
              <w:t>corporate insiders.</w:t>
            </w:r>
          </w:p>
          <w:p w:rsidR="00AF022B" w:rsidRPr="000803AE" w:rsidRDefault="00AF022B" w:rsidP="00AF022B">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58"/>
              </w:numPr>
              <w:snapToGrid w:val="0"/>
              <w:ind w:left="357" w:hanging="357"/>
              <w:rPr>
                <w:rFonts w:eastAsia="標楷體"/>
                <w:sz w:val="20"/>
                <w:szCs w:val="20"/>
              </w:rPr>
            </w:pPr>
            <w:r w:rsidRPr="000803AE">
              <w:rPr>
                <w:rFonts w:eastAsia="標楷體"/>
                <w:sz w:val="20"/>
                <w:szCs w:val="20"/>
              </w:rPr>
              <w:lastRenderedPageBreak/>
              <w:t xml:space="preserve">Article 25 of the Securities and Exchange </w:t>
            </w:r>
            <w:r w:rsidRPr="000803AE">
              <w:rPr>
                <w:rFonts w:eastAsia="標楷體"/>
                <w:sz w:val="20"/>
                <w:szCs w:val="20"/>
              </w:rPr>
              <w:lastRenderedPageBreak/>
              <w:t>Act</w:t>
            </w:r>
          </w:p>
          <w:p w:rsidR="00AF022B" w:rsidRPr="000803AE" w:rsidRDefault="00AF022B" w:rsidP="00AF022B">
            <w:pPr>
              <w:numPr>
                <w:ilvl w:val="0"/>
                <w:numId w:val="58"/>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rPr>
          <w:trHeight w:val="1531"/>
        </w:trPr>
        <w:tc>
          <w:tcPr>
            <w:tcW w:w="476"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tcBorders>
              <w:bottom w:val="single" w:sz="4" w:space="0" w:color="auto"/>
            </w:tcBorders>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rsidR="00AF022B" w:rsidRPr="000803AE" w:rsidRDefault="00AF022B" w:rsidP="00AF022B">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AF022B" w:rsidRPr="000803AE" w:rsidRDefault="00AF022B" w:rsidP="00AF022B">
            <w:pPr>
              <w:kinsoku w:val="0"/>
              <w:overflowPunct w:val="0"/>
              <w:snapToGrid w:val="0"/>
              <w:rPr>
                <w:rFonts w:eastAsia="標楷體"/>
                <w:sz w:val="20"/>
                <w:szCs w:val="20"/>
              </w:rPr>
            </w:pPr>
          </w:p>
        </w:tc>
        <w:tc>
          <w:tcPr>
            <w:tcW w:w="4008" w:type="dxa"/>
            <w:shd w:val="clear" w:color="auto" w:fill="FFFFFF"/>
          </w:tcPr>
          <w:p w:rsidR="00AF022B" w:rsidRPr="000803AE" w:rsidRDefault="00AF022B" w:rsidP="00AF022B">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30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 xml:space="preserve">Taiwan </w:t>
            </w:r>
            <w:r w:rsidRPr="00C64F8D">
              <w:rPr>
                <w:rFonts w:eastAsia="標楷體"/>
                <w:sz w:val="20"/>
                <w:szCs w:val="20"/>
              </w:rPr>
              <w:lastRenderedPageBreak/>
              <w:t>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3</w:t>
            </w:r>
            <w:r w:rsidRPr="000803AE">
              <w:rPr>
                <w:sz w:val="20"/>
                <w:szCs w:val="20"/>
              </w:rPr>
              <w:t xml:space="preserve">5,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AF022B" w:rsidRPr="000803AE" w:rsidRDefault="00AF022B" w:rsidP="00AF022B">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keepNext/>
              <w:numPr>
                <w:ilvl w:val="0"/>
                <w:numId w:val="304"/>
              </w:numPr>
              <w:adjustRightInd w:val="0"/>
              <w:snapToGrid w:val="0"/>
              <w:rPr>
                <w:sz w:val="20"/>
                <w:szCs w:val="20"/>
              </w:rPr>
            </w:pPr>
            <w:r w:rsidRPr="000803AE">
              <w:rPr>
                <w:sz w:val="20"/>
                <w:szCs w:val="20"/>
              </w:rPr>
              <w:t>Letter No. Tai-Cheng-Chih-0981800912 dated March 24, 2009</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Companies offering and issuing or privately </w:t>
            </w:r>
            <w:r w:rsidRPr="000803AE">
              <w:rPr>
                <w:rFonts w:ascii="Times New Roman" w:eastAsia="標楷體" w:hAnsi="Times New Roman"/>
                <w:sz w:val="20"/>
              </w:rPr>
              <w:lastRenderedPageBreak/>
              <w:t>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lastRenderedPageBreak/>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numPr>
                <w:ilvl w:val="0"/>
                <w:numId w:val="37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AF022B" w:rsidRPr="000803AE" w:rsidRDefault="00AF022B" w:rsidP="00AF022B">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AF022B" w:rsidRPr="000803AE" w:rsidRDefault="00AF022B" w:rsidP="00AF022B">
            <w:pPr>
              <w:numPr>
                <w:ilvl w:val="0"/>
                <w:numId w:val="60"/>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6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w:t>
            </w:r>
            <w:r w:rsidRPr="000803AE">
              <w:rPr>
                <w:rFonts w:eastAsia="標楷體"/>
                <w:sz w:val="20"/>
                <w:szCs w:val="20"/>
              </w:rPr>
              <w:lastRenderedPageBreak/>
              <w:t>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AF022B" w:rsidRPr="000803AE" w:rsidRDefault="00AF022B" w:rsidP="00AF022B">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AF022B" w:rsidRPr="000803AE" w:rsidRDefault="00AF022B" w:rsidP="00AF022B">
            <w:pPr>
              <w:kinsoku w:val="0"/>
              <w:overflowPunct w:val="0"/>
              <w:snapToGrid w:val="0"/>
              <w:rPr>
                <w:rFonts w:eastAsia="標楷體"/>
                <w:sz w:val="20"/>
                <w:szCs w:val="20"/>
              </w:rPr>
            </w:pPr>
          </w:p>
        </w:tc>
        <w:tc>
          <w:tcPr>
            <w:tcW w:w="5512" w:type="dxa"/>
            <w:shd w:val="clear" w:color="auto" w:fill="FFFFFF"/>
          </w:tcPr>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lastRenderedPageBreak/>
              <w:t xml:space="preserve">1. The relevant information shall be uploaded by domestic listed </w:t>
            </w:r>
            <w:r w:rsidRPr="000803AE">
              <w:rPr>
                <w:rFonts w:eastAsia="標楷體"/>
                <w:sz w:val="20"/>
                <w:szCs w:val="20"/>
              </w:rPr>
              <w:lastRenderedPageBreak/>
              <w:t xml:space="preserve">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AF022B" w:rsidRPr="000803AE" w:rsidRDefault="00AF022B" w:rsidP="00AF022B">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AF022B" w:rsidRPr="000803AE" w:rsidRDefault="00AF022B" w:rsidP="00AF022B">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lastRenderedPageBreak/>
              <w:t xml:space="preserve">Paragraph 1, Article 36 and Article 36-1 of </w:t>
            </w:r>
            <w:r w:rsidRPr="000803AE">
              <w:rPr>
                <w:rFonts w:eastAsia="標楷體"/>
                <w:sz w:val="20"/>
                <w:szCs w:val="20"/>
              </w:rPr>
              <w:lastRenderedPageBreak/>
              <w:t>the Securities and Exchange Act</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84-Tai-Tsai-Cheng-6-0010 dated January 16, 1995</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86-Tai-Tsai-Cheng-6-00669 dated February 22, 1997</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Tai-Cheng-88-Shang-09556 dated April 13, 1999</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Tai-Tsai-Cheng-6-0910004197 dated August 6, 2002</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 xml:space="preserve">Letter No. Chin-Kuan-Cheng-1-0970045504 dated October 16, 2008 </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rsidR="00AF022B" w:rsidRPr="000803AE" w:rsidRDefault="00AF022B" w:rsidP="00AF022B">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Del="008F792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rsidR="00AF022B" w:rsidRPr="000803AE" w:rsidRDefault="00AF022B" w:rsidP="00AF022B">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AF022B" w:rsidRPr="000803AE" w:rsidRDefault="00AF022B" w:rsidP="00AF022B">
            <w:pPr>
              <w:numPr>
                <w:ilvl w:val="0"/>
                <w:numId w:val="323"/>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F022B" w:rsidRPr="000803AE" w:rsidRDefault="00AF022B" w:rsidP="00AF022B">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AF022B" w:rsidRPr="000803AE" w:rsidRDefault="00AF022B" w:rsidP="00AF022B">
            <w:pPr>
              <w:numPr>
                <w:ilvl w:val="0"/>
                <w:numId w:val="62"/>
              </w:numPr>
              <w:snapToGrid w:val="0"/>
              <w:rPr>
                <w:rFonts w:eastAsia="標楷體"/>
                <w:sz w:val="20"/>
                <w:szCs w:val="20"/>
              </w:rPr>
            </w:pPr>
            <w:r w:rsidRPr="000803AE">
              <w:rPr>
                <w:rFonts w:eastAsia="標楷體"/>
                <w:sz w:val="20"/>
                <w:szCs w:val="20"/>
              </w:rPr>
              <w:t>Letter No. Tai-Cheng-Shang-0960009099 dated April 18, 2007</w:t>
            </w:r>
          </w:p>
          <w:p w:rsidR="00AF022B" w:rsidRPr="000803AE" w:rsidRDefault="00AF022B" w:rsidP="00AF022B">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AF022B" w:rsidRPr="000803AE" w:rsidRDefault="00AF022B" w:rsidP="00AF022B">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AF022B" w:rsidRPr="000803AE" w:rsidRDefault="00AF022B" w:rsidP="00AF022B">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F022B" w:rsidRPr="000803AE" w:rsidRDefault="00AF022B" w:rsidP="00AF022B">
            <w:pPr>
              <w:pStyle w:val="a5"/>
              <w:tabs>
                <w:tab w:val="clear" w:pos="4153"/>
                <w:tab w:val="clear" w:pos="8306"/>
              </w:tabs>
              <w:ind w:left="504" w:hanging="504"/>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F022B" w:rsidRPr="000803AE" w:rsidRDefault="00AF022B" w:rsidP="00AF022B">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F022B" w:rsidRPr="000803AE" w:rsidRDefault="00AF022B" w:rsidP="00AF022B">
            <w:pPr>
              <w:numPr>
                <w:ilvl w:val="0"/>
                <w:numId w:val="63"/>
              </w:numPr>
              <w:snapToGrid w:val="0"/>
              <w:rPr>
                <w:rFonts w:eastAsia="標楷體"/>
                <w:sz w:val="20"/>
                <w:szCs w:val="20"/>
              </w:rPr>
            </w:pPr>
            <w:r w:rsidRPr="000803AE">
              <w:rPr>
                <w:rFonts w:eastAsia="標楷體"/>
                <w:sz w:val="20"/>
                <w:szCs w:val="20"/>
              </w:rPr>
              <w:t>Article 25 of the Securities and Exchange Act</w:t>
            </w:r>
          </w:p>
          <w:p w:rsidR="00AF022B" w:rsidRPr="000803AE" w:rsidRDefault="00AF022B" w:rsidP="00AF022B">
            <w:pPr>
              <w:numPr>
                <w:ilvl w:val="0"/>
                <w:numId w:val="6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AF022B" w:rsidRPr="000803AE" w:rsidRDefault="00AF022B" w:rsidP="00AF022B">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Note: The insurance status shall be reported by the </w:t>
            </w:r>
            <w:r w:rsidRPr="000803AE">
              <w:rPr>
                <w:rFonts w:ascii="Times New Roman" w:eastAsia="標楷體" w:hAnsi="Times New Roman" w:hint="eastAsia"/>
                <w:sz w:val="20"/>
                <w:lang w:val="en-US" w:eastAsia="zh-TW"/>
              </w:rPr>
              <w:lastRenderedPageBreak/>
              <w:t>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AF022B" w:rsidRPr="000803AE" w:rsidRDefault="00AF022B" w:rsidP="00AF022B">
            <w:pPr>
              <w:kinsoku w:val="0"/>
              <w:overflowPunct w:val="0"/>
              <w:snapToGrid w:val="0"/>
              <w:ind w:left="-28"/>
              <w:rPr>
                <w:rFonts w:eastAsia="標楷體"/>
                <w:sz w:val="20"/>
              </w:rPr>
            </w:pPr>
            <w:r w:rsidRPr="000803AE">
              <w:rPr>
                <w:rFonts w:eastAsia="標楷體"/>
                <w:sz w:val="20"/>
                <w:szCs w:val="20"/>
              </w:rPr>
              <w:lastRenderedPageBreak/>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rsidR="00AF022B" w:rsidRPr="000803AE" w:rsidRDefault="00AF022B" w:rsidP="00AF022B">
            <w:pPr>
              <w:kinsoku w:val="0"/>
              <w:overflowPunct w:val="0"/>
              <w:snapToGrid w:val="0"/>
              <w:ind w:left="-28"/>
              <w:rPr>
                <w:sz w:val="20"/>
                <w:szCs w:val="20"/>
              </w:rPr>
            </w:pPr>
            <w:r w:rsidRPr="000803AE">
              <w:rPr>
                <w:sz w:val="20"/>
                <w:szCs w:val="20"/>
              </w:rPr>
              <w:t xml:space="preserve">Subparagraph 26,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lastRenderedPageBreak/>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AF022B" w:rsidRPr="000803AE" w:rsidRDefault="00AF022B" w:rsidP="00AF022B">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F022B" w:rsidRPr="000803AE" w:rsidRDefault="00AF022B" w:rsidP="00AF022B">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AF022B" w:rsidRPr="000803AE" w:rsidRDefault="00AF022B" w:rsidP="00AF022B">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AF022B" w:rsidRPr="000803AE" w:rsidRDefault="00AF022B" w:rsidP="00AF022B">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AF022B" w:rsidRPr="000803AE" w:rsidRDefault="00AF022B" w:rsidP="00AF022B">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AF022B" w:rsidRPr="000803AE" w:rsidRDefault="00AF022B" w:rsidP="00AF022B">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Default="00AF022B" w:rsidP="00AF022B">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AF022B" w:rsidRDefault="00AF022B" w:rsidP="00AF022B">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AF022B" w:rsidRDefault="00AF022B" w:rsidP="00AF022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AF022B" w:rsidRPr="000803AE" w:rsidRDefault="00AF022B" w:rsidP="00AF022B">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w:t>
            </w:r>
            <w:r>
              <w:rPr>
                <w:rFonts w:eastAsia="標楷體"/>
                <w:sz w:val="20"/>
              </w:rPr>
              <w:lastRenderedPageBreak/>
              <w:t xml:space="preserve">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AF022B" w:rsidRPr="000803AE" w:rsidRDefault="00AF022B" w:rsidP="00AF022B">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AF022B" w:rsidRPr="000803AE" w:rsidRDefault="00AF022B" w:rsidP="00AF022B">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AF022B" w:rsidRPr="000803AE" w:rsidRDefault="00AF022B" w:rsidP="00AF022B">
            <w:pPr>
              <w:numPr>
                <w:ilvl w:val="0"/>
                <w:numId w:val="306"/>
              </w:numPr>
              <w:snapToGrid w:val="0"/>
              <w:rPr>
                <w:sz w:val="20"/>
                <w:szCs w:val="20"/>
              </w:rPr>
            </w:pPr>
            <w:r w:rsidRPr="000803AE">
              <w:rPr>
                <w:sz w:val="20"/>
                <w:szCs w:val="20"/>
              </w:rPr>
              <w:t xml:space="preserve">Letter No. Tai-Cheng-Chih-0981800912 dated March 24, 2009 </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3</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AF022B" w:rsidRPr="000803AE" w:rsidTr="0006674B">
        <w:tc>
          <w:tcPr>
            <w:tcW w:w="476"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40" w:type="dxa"/>
            <w:vMerge/>
            <w:shd w:val="clear" w:color="auto" w:fill="FFFFFF"/>
            <w:vAlign w:val="center"/>
          </w:tcPr>
          <w:p w:rsidR="00AF022B" w:rsidRPr="000803AE" w:rsidRDefault="00AF022B" w:rsidP="00AF022B">
            <w:pPr>
              <w:kinsoku w:val="0"/>
              <w:overflowPunct w:val="0"/>
              <w:snapToGrid w:val="0"/>
              <w:jc w:val="center"/>
              <w:rPr>
                <w:rFonts w:eastAsia="標楷體"/>
                <w:sz w:val="20"/>
                <w:szCs w:val="20"/>
              </w:rPr>
            </w:pPr>
          </w:p>
        </w:tc>
        <w:tc>
          <w:tcPr>
            <w:tcW w:w="497" w:type="dxa"/>
            <w:shd w:val="clear" w:color="auto" w:fill="FFFFFF"/>
            <w:vAlign w:val="center"/>
          </w:tcPr>
          <w:p w:rsidR="00AF022B" w:rsidRPr="000803AE" w:rsidRDefault="00AF022B" w:rsidP="00AF022B">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AF022B" w:rsidRPr="000803AE" w:rsidRDefault="00AF022B" w:rsidP="00AF022B">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AF022B" w:rsidRPr="000803AE" w:rsidRDefault="00AF022B" w:rsidP="00AF022B">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AF022B" w:rsidRPr="000803AE" w:rsidRDefault="00AF022B" w:rsidP="00AF022B">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AF022B" w:rsidRPr="000803AE" w:rsidRDefault="00AF022B" w:rsidP="00AF022B">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bl>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5CAC" w:rsidRPr="000803AE" w:rsidRDefault="002D5CAC" w:rsidP="003716D3">
      <w:pPr>
        <w:snapToGrid w:val="0"/>
        <w:rPr>
          <w:rFonts w:eastAsia="標楷體"/>
          <w:sz w:val="20"/>
          <w:szCs w:val="20"/>
        </w:rPr>
      </w:pPr>
    </w:p>
    <w:p w:rsidR="007C7703" w:rsidRPr="000803AE" w:rsidRDefault="007C7703">
      <w:r w:rsidRPr="000803AE">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rsidR="00234980" w:rsidRPr="000803AE" w:rsidRDefault="00234980" w:rsidP="003716D3">
            <w:pPr>
              <w:kinsoku w:val="0"/>
              <w:overflowPunct w:val="0"/>
              <w:snapToGrid w:val="0"/>
              <w:jc w:val="center"/>
              <w:rPr>
                <w:rFonts w:eastAsia="標楷體"/>
                <w:b/>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5739B4">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r w:rsidR="00AA4DA0">
              <w:rPr>
                <w:rFonts w:eastAsia="標楷體"/>
                <w:sz w:val="20"/>
                <w:szCs w:val="20"/>
              </w:rPr>
              <w:t>May 5</w:t>
            </w:r>
            <w:r w:rsidR="007A31B0">
              <w:rPr>
                <w:rFonts w:eastAsia="標楷體"/>
                <w:sz w:val="20"/>
                <w:szCs w:val="20"/>
              </w:rPr>
              <w:t>, 202</w:t>
            </w:r>
            <w:r w:rsidR="00AA4DA0">
              <w:rPr>
                <w:rFonts w:eastAsia="標楷體"/>
                <w:sz w:val="20"/>
                <w:szCs w:val="20"/>
              </w:rPr>
              <w:t>5</w:t>
            </w:r>
          </w:p>
        </w:tc>
      </w:tr>
      <w:tr w:rsidR="00234980" w:rsidRPr="000803AE"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4C4502" w:rsidRDefault="00BA1E53" w:rsidP="00FF048F">
            <w:pPr>
              <w:numPr>
                <w:ilvl w:val="0"/>
                <w:numId w:val="91"/>
              </w:numPr>
              <w:snapToGrid w:val="0"/>
              <w:rPr>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r w:rsidR="00A572AB">
              <w:rPr>
                <w:rFonts w:eastAsia="標楷體"/>
                <w:sz w:val="20"/>
                <w:szCs w:val="20"/>
              </w:rPr>
              <w:t>.</w:t>
            </w:r>
          </w:p>
          <w:p w:rsidR="00A572AB" w:rsidRPr="00B972BF" w:rsidRDefault="001929E2" w:rsidP="009059C5">
            <w:pPr>
              <w:numPr>
                <w:ilvl w:val="0"/>
                <w:numId w:val="91"/>
              </w:numPr>
              <w:snapToGrid w:val="0"/>
              <w:rPr>
                <w:rFonts w:eastAsia="標楷體"/>
                <w:color w:val="FF0000"/>
                <w:sz w:val="20"/>
                <w:szCs w:val="20"/>
              </w:rPr>
            </w:pPr>
            <w:r w:rsidRPr="00B972BF">
              <w:rPr>
                <w:rFonts w:eastAsia="標楷體"/>
                <w:color w:val="FF0000"/>
                <w:sz w:val="20"/>
                <w:szCs w:val="20"/>
              </w:rPr>
              <w:t>E</w:t>
            </w:r>
            <w:r w:rsidR="00A572AB" w:rsidRPr="00B972BF">
              <w:rPr>
                <w:rFonts w:eastAsia="標楷體" w:hint="eastAsia"/>
                <w:color w:val="FF0000"/>
                <w:sz w:val="20"/>
                <w:szCs w:val="20"/>
              </w:rPr>
              <w:t>limination of</w:t>
            </w:r>
            <w:r w:rsidR="00A572AB" w:rsidRPr="00B972BF">
              <w:rPr>
                <w:rFonts w:eastAsia="標楷體"/>
                <w:color w:val="FF0000"/>
                <w:sz w:val="20"/>
                <w:szCs w:val="20"/>
              </w:rPr>
              <w:t xml:space="preserve"> subsidiar</w:t>
            </w:r>
            <w:r w:rsidR="00A572AB" w:rsidRPr="00B972BF">
              <w:rPr>
                <w:rFonts w:eastAsia="標楷體" w:hint="eastAsia"/>
                <w:color w:val="FF0000"/>
                <w:sz w:val="20"/>
                <w:szCs w:val="20"/>
              </w:rPr>
              <w:t xml:space="preserve">ies </w:t>
            </w:r>
            <w:r w:rsidR="009059C5" w:rsidRPr="00B972BF">
              <w:rPr>
                <w:rFonts w:eastAsia="標楷體"/>
                <w:color w:val="FF0000"/>
                <w:sz w:val="20"/>
                <w:szCs w:val="20"/>
              </w:rPr>
              <w:t xml:space="preserve">or affiliates </w:t>
            </w:r>
            <w:r w:rsidRPr="00B972BF">
              <w:rPr>
                <w:rFonts w:eastAsia="標楷體"/>
                <w:color w:val="FF0000"/>
                <w:sz w:val="20"/>
                <w:szCs w:val="20"/>
              </w:rPr>
              <w:t xml:space="preserve">shall be uploaded to the Market Observation Post System (sii.twse.com.tw/filing of basic information of the company/filing of basic information of subsidiaries/filing </w:t>
            </w:r>
            <w:r w:rsidR="004C6AF7" w:rsidRPr="00B972BF">
              <w:rPr>
                <w:rFonts w:eastAsia="標楷體"/>
                <w:color w:val="FF0000"/>
                <w:sz w:val="20"/>
                <w:szCs w:val="20"/>
              </w:rPr>
              <w:t>of e</w:t>
            </w:r>
            <w:r w:rsidR="004C6AF7" w:rsidRPr="00B972BF">
              <w:rPr>
                <w:rFonts w:eastAsia="標楷體" w:hint="eastAsia"/>
                <w:color w:val="FF0000"/>
                <w:sz w:val="20"/>
                <w:szCs w:val="20"/>
              </w:rPr>
              <w:t>limination of</w:t>
            </w:r>
            <w:r w:rsidR="004C6AF7" w:rsidRPr="00B972BF">
              <w:rPr>
                <w:rFonts w:eastAsia="標楷體"/>
                <w:color w:val="FF0000"/>
                <w:sz w:val="20"/>
                <w:szCs w:val="20"/>
              </w:rPr>
              <w:t xml:space="preserve"> subsidiar</w:t>
            </w:r>
            <w:r w:rsidR="004C6AF7" w:rsidRPr="00B972BF">
              <w:rPr>
                <w:rFonts w:eastAsia="標楷體" w:hint="eastAsia"/>
                <w:color w:val="FF0000"/>
                <w:sz w:val="20"/>
                <w:szCs w:val="20"/>
              </w:rPr>
              <w:t xml:space="preserve">ies </w:t>
            </w:r>
            <w:r w:rsidR="004C6AF7" w:rsidRPr="00B972BF">
              <w:rPr>
                <w:rFonts w:eastAsia="標楷體"/>
                <w:color w:val="FF0000"/>
                <w:sz w:val="20"/>
                <w:szCs w:val="20"/>
              </w:rPr>
              <w:t>or affiliates</w:t>
            </w:r>
            <w:r w:rsidRPr="00B972BF">
              <w:rPr>
                <w:rFonts w:eastAsia="標楷體"/>
                <w:color w:val="FF0000"/>
                <w:sz w:val="20"/>
                <w:szCs w:val="20"/>
              </w:rPr>
              <w:t>)</w:t>
            </w:r>
            <w:r w:rsidR="00252FE7">
              <w:rPr>
                <w:rFonts w:eastAsia="標楷體"/>
                <w:color w:val="FF0000"/>
                <w:sz w:val="20"/>
                <w:szCs w:val="20"/>
              </w:rPr>
              <w:t>.</w:t>
            </w:r>
          </w:p>
          <w:p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w:t>
            </w:r>
            <w:r w:rsidR="000727A9" w:rsidRPr="000803AE">
              <w:rPr>
                <w:rFonts w:eastAsia="標楷體" w:hint="eastAsia"/>
                <w:sz w:val="20"/>
                <w:szCs w:val="20"/>
              </w:rPr>
              <w:lastRenderedPageBreak/>
              <w:t xml:space="preserve">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lastRenderedPageBreak/>
              <w:t>Letter No. 81-Tai-Tsai-Cheng-6-00232 dated February 11, 1992</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rsidR="00234980" w:rsidRPr="000803AE" w:rsidRDefault="00234980" w:rsidP="003716D3">
            <w:pPr>
              <w:kinsoku w:val="0"/>
              <w:overflowPunct w:val="0"/>
              <w:snapToGrid w:val="0"/>
              <w:rPr>
                <w:rFonts w:eastAsia="標楷體"/>
                <w:sz w:val="20"/>
                <w:szCs w:val="20"/>
              </w:rPr>
            </w:pPr>
          </w:p>
          <w:p w:rsidR="00A0168E" w:rsidRPr="000803AE" w:rsidRDefault="00A0168E" w:rsidP="003716D3">
            <w:pPr>
              <w:kinsoku w:val="0"/>
              <w:overflowPunct w:val="0"/>
              <w:snapToGrid w:val="0"/>
              <w:ind w:left="200" w:hanging="200"/>
              <w:rPr>
                <w:rFonts w:eastAsia="標楷體"/>
                <w:sz w:val="20"/>
                <w:szCs w:val="20"/>
              </w:rPr>
            </w:pPr>
          </w:p>
          <w:p w:rsidR="00234980" w:rsidRPr="000803AE" w:rsidRDefault="00234980" w:rsidP="005A0EA0">
            <w:pPr>
              <w:kinsoku w:val="0"/>
              <w:overflowPunct w:val="0"/>
              <w:snapToGrid w:val="0"/>
              <w:rPr>
                <w:rFonts w:eastAsia="標楷體"/>
                <w:sz w:val="20"/>
                <w:szCs w:val="20"/>
              </w:rPr>
            </w:pP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lastRenderedPageBreak/>
              <w:t>One copy of the checklist on filing of financial forecast.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to where the financial forecast is approved by a board meeting).</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lastRenderedPageBreak/>
              <w:t>Regulations Governing the Publication of Financial Forecasts of Public Companies</w:t>
            </w:r>
          </w:p>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3716D3">
            <w:pPr>
              <w:kinsoku w:val="0"/>
              <w:overflowPunct w:val="0"/>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rsidR="00CF7B66" w:rsidRPr="000803AE" w:rsidRDefault="00CF7B66" w:rsidP="003716D3">
            <w:pPr>
              <w:snapToGrid w:val="0"/>
              <w:rPr>
                <w:rFonts w:eastAsia="標楷體"/>
                <w:sz w:val="20"/>
                <w:szCs w:val="20"/>
              </w:rPr>
            </w:pPr>
          </w:p>
          <w:p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rsidR="003F25F3" w:rsidRPr="000803AE" w:rsidRDefault="003F25F3"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5A0211" w:rsidRPr="000803AE" w:rsidRDefault="005A0211"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w:t>
            </w:r>
            <w:r w:rsidR="001B6073" w:rsidRPr="000803AE">
              <w:rPr>
                <w:rFonts w:eastAsia="標楷體" w:hint="eastAsia"/>
                <w:sz w:val="20"/>
                <w:szCs w:val="20"/>
              </w:rPr>
              <w:lastRenderedPageBreak/>
              <w:t>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rsidR="00234980" w:rsidRPr="000803AE" w:rsidRDefault="00234980" w:rsidP="003716D3">
            <w:pPr>
              <w:snapToGrid w:val="0"/>
              <w:rPr>
                <w:rFonts w:eastAsia="標楷體"/>
                <w:sz w:val="20"/>
                <w:szCs w:val="20"/>
              </w:rPr>
            </w:pPr>
          </w:p>
          <w:p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rsidR="00ED1D87" w:rsidRPr="000803AE" w:rsidRDefault="00ED1D87" w:rsidP="003716D3">
            <w:pPr>
              <w:snapToGrid w:val="0"/>
              <w:rPr>
                <w:rFonts w:eastAsia="標楷體"/>
                <w:sz w:val="20"/>
                <w:szCs w:val="20"/>
              </w:rPr>
            </w:pPr>
          </w:p>
          <w:p w:rsidR="00ED1D87" w:rsidRPr="000803AE" w:rsidRDefault="00ED1D87"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FC1CE1" w:rsidRPr="000803AE" w:rsidRDefault="00FC1CE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D64DD6" w:rsidRPr="000803AE" w:rsidRDefault="00D64DD6" w:rsidP="003716D3">
            <w:pPr>
              <w:snapToGrid w:val="0"/>
              <w:rPr>
                <w:rFonts w:eastAsia="標楷體"/>
                <w:sz w:val="20"/>
                <w:szCs w:val="20"/>
              </w:rPr>
            </w:pPr>
          </w:p>
          <w:p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w:t>
            </w:r>
            <w:r w:rsidR="008C5911" w:rsidRPr="000803AE">
              <w:rPr>
                <w:rFonts w:eastAsia="標楷體" w:hint="eastAsia"/>
                <w:sz w:val="20"/>
                <w:szCs w:val="20"/>
              </w:rPr>
              <w:lastRenderedPageBreak/>
              <w:t xml:space="preserve">expiration of the period for accepting shareholders' </w:t>
            </w:r>
            <w:r w:rsidRPr="000803AE">
              <w:rPr>
                <w:rFonts w:eastAsia="標楷體" w:hint="eastAsia"/>
                <w:sz w:val="20"/>
                <w:szCs w:val="20"/>
              </w:rPr>
              <w:t>proposal</w:t>
            </w: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385E66" w:rsidRPr="000803AE" w:rsidRDefault="00385E66"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4F564D"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rPr>
                <w:rFonts w:ascii="Times New Roman" w:eastAsia="標楷體" w:hAnsi="Times New Roman" w:cs="Times New Roman"/>
                <w:color w:val="auto"/>
                <w:sz w:val="20"/>
                <w:szCs w:val="20"/>
              </w:rPr>
            </w:pPr>
          </w:p>
          <w:p w:rsidR="00300A34" w:rsidRPr="000803AE" w:rsidRDefault="00300A34" w:rsidP="003716D3">
            <w:pPr>
              <w:pStyle w:val="HTML"/>
              <w:snapToGrid w:val="0"/>
              <w:rPr>
                <w:rFonts w:ascii="Times New Roman" w:eastAsia="標楷體" w:hAnsi="Times New Roman" w:cs="Times New Roman"/>
                <w:color w:val="auto"/>
                <w:sz w:val="20"/>
                <w:szCs w:val="20"/>
              </w:rPr>
            </w:pP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rsidR="00ED1D87" w:rsidRPr="000803AE" w:rsidRDefault="00ED1D87" w:rsidP="003716D3">
            <w:pPr>
              <w:pStyle w:val="a3"/>
              <w:snapToGrid w:val="0"/>
              <w:rPr>
                <w:rFonts w:ascii="Times New Roman" w:eastAsia="標楷體" w:hAnsi="Times New Roman"/>
                <w:sz w:val="20"/>
                <w:lang w:val="en-US" w:eastAsia="zh-TW"/>
              </w:rPr>
            </w:pPr>
          </w:p>
          <w:p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rsidR="00966508" w:rsidRPr="000803AE" w:rsidRDefault="00966508" w:rsidP="00A4635E">
            <w:pPr>
              <w:pStyle w:val="a3"/>
              <w:snapToGrid w:val="0"/>
              <w:rPr>
                <w:rFonts w:ascii="Times New Roman" w:eastAsia="標楷體" w:hAnsi="Times New Roman"/>
                <w:sz w:val="20"/>
                <w:lang w:val="en-US" w:eastAsia="zh-TW"/>
              </w:rPr>
            </w:pPr>
          </w:p>
          <w:p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rsidR="00500333" w:rsidRPr="000803AE" w:rsidRDefault="00500333" w:rsidP="007F463F">
            <w:pPr>
              <w:pStyle w:val="a3"/>
              <w:snapToGrid w:val="0"/>
              <w:rPr>
                <w:rFonts w:ascii="Times New Roman" w:eastAsia="標楷體" w:hAnsi="Times New Roman"/>
                <w:sz w:val="20"/>
                <w:lang w:val="en-US" w:eastAsia="zh-TW"/>
              </w:rPr>
            </w:pPr>
          </w:p>
          <w:p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 xml:space="preserve">shall be uploaded to the Market </w:t>
            </w:r>
            <w:r w:rsidRPr="000803AE">
              <w:rPr>
                <w:rFonts w:ascii="Times New Roman" w:eastAsia="標楷體" w:hAnsi="Times New Roman"/>
                <w:sz w:val="20"/>
                <w:lang w:val="en-US" w:eastAsia="zh-TW"/>
              </w:rPr>
              <w:lastRenderedPageBreak/>
              <w:t>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Pr="000803AE">
              <w:rPr>
                <w:rFonts w:ascii="Times New Roman" w:eastAsia="標楷體" w:hAnsi="Times New Roman" w:hint="eastAsia"/>
                <w:sz w:val="20"/>
                <w:lang w:val="en-US" w:eastAsia="zh-TW"/>
              </w:rPr>
              <w:t xml:space="preserve"> from the shareholders).</w:t>
            </w:r>
          </w:p>
          <w:p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rsidR="008C5911" w:rsidRPr="000803AE" w:rsidRDefault="008C5911" w:rsidP="00A4635E">
            <w:pPr>
              <w:pStyle w:val="a3"/>
              <w:snapToGrid w:val="0"/>
              <w:rPr>
                <w:rFonts w:ascii="Times New Roman" w:eastAsia="標楷體" w:hAnsi="Times New Roman"/>
                <w:sz w:val="20"/>
                <w:lang w:val="en-US" w:eastAsia="zh-TW"/>
              </w:rPr>
            </w:pPr>
          </w:p>
          <w:p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 xml:space="preserve">filing </w:t>
            </w:r>
            <w:r w:rsidR="009D6920" w:rsidRPr="000803AE">
              <w:rPr>
                <w:rFonts w:ascii="Times New Roman" w:eastAsia="標楷體" w:hAnsi="Times New Roman" w:hint="eastAsia"/>
                <w:sz w:val="20"/>
                <w:lang w:val="en-US" w:eastAsia="zh-TW"/>
              </w:rPr>
              <w:lastRenderedPageBreak/>
              <w:t>for acceptance of shareholders' proposal for annual general shareholders' 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rsidR="004F564D" w:rsidRPr="000803AE" w:rsidRDefault="004F564D" w:rsidP="003716D3">
            <w:pPr>
              <w:pStyle w:val="a3"/>
              <w:snapToGrid w:val="0"/>
              <w:ind w:left="200" w:hanging="20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p>
          <w:p w:rsidR="00276FB8" w:rsidRPr="000803AE" w:rsidRDefault="00276FB8" w:rsidP="003716D3">
            <w:pPr>
              <w:pStyle w:val="a3"/>
              <w:snapToGrid w:val="0"/>
              <w:rPr>
                <w:rFonts w:ascii="Times New Roman" w:eastAsia="標楷體" w:hAnsi="Times New Roman"/>
                <w:sz w:val="20"/>
                <w:lang w:val="en-US" w:eastAsia="zh-TW"/>
              </w:rPr>
            </w:pPr>
          </w:p>
          <w:p w:rsidR="00766AFA" w:rsidRPr="000803AE" w:rsidRDefault="00766AFA"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0079C7" w:rsidRPr="000803AE" w:rsidRDefault="000079C7" w:rsidP="003716D3">
            <w:pPr>
              <w:pStyle w:val="a3"/>
              <w:snapToGrid w:val="0"/>
              <w:rPr>
                <w:rFonts w:ascii="Times New Roman" w:eastAsia="標楷體" w:hAnsi="Times New Roman"/>
                <w:sz w:val="20"/>
                <w:lang w:val="en-US" w:eastAsia="zh-TW"/>
              </w:rPr>
            </w:pPr>
          </w:p>
          <w:p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6C61B5" w:rsidP="003716D3">
            <w:pPr>
              <w:widowControl/>
              <w:snapToGrid w:val="0"/>
              <w:rPr>
                <w:rFonts w:eastAsia="標楷體"/>
                <w:kern w:val="0"/>
                <w:sz w:val="20"/>
                <w:szCs w:val="20"/>
              </w:rPr>
            </w:pPr>
            <w:r w:rsidRPr="000803AE">
              <w:rPr>
                <w:rFonts w:eastAsia="標楷體"/>
                <w:kern w:val="0"/>
                <w:sz w:val="20"/>
                <w:szCs w:val="20"/>
              </w:rPr>
              <w:lastRenderedPageBreak/>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D60506" w:rsidRPr="000803AE" w:rsidRDefault="00D60506" w:rsidP="003716D3">
            <w:pPr>
              <w:tabs>
                <w:tab w:val="left" w:pos="6840"/>
              </w:tabs>
              <w:snapToGrid w:val="0"/>
              <w:rPr>
                <w:rFonts w:eastAsia="標楷體"/>
                <w:sz w:val="20"/>
                <w:szCs w:val="20"/>
              </w:rPr>
            </w:pPr>
          </w:p>
          <w:p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w:t>
            </w:r>
            <w:r w:rsidRPr="000803AE">
              <w:rPr>
                <w:rFonts w:eastAsia="標楷體"/>
                <w:sz w:val="20"/>
                <w:szCs w:val="20"/>
              </w:rPr>
              <w:lastRenderedPageBreak/>
              <w:t xml:space="preserve">of </w:t>
            </w:r>
            <w:r w:rsidR="00AA1FDD" w:rsidRPr="000803AE">
              <w:rPr>
                <w:rFonts w:eastAsia="標楷體"/>
                <w:sz w:val="20"/>
                <w:szCs w:val="20"/>
              </w:rPr>
              <w:t xml:space="preserve">Taiwan Stock Exchange Corporation 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rsidR="00F32CFB" w:rsidRPr="000803AE" w:rsidRDefault="00F32CFB" w:rsidP="003716D3">
            <w:pPr>
              <w:tabs>
                <w:tab w:val="left" w:pos="6840"/>
              </w:tabs>
              <w:snapToGrid w:val="0"/>
              <w:rPr>
                <w:rFonts w:eastAsia="標楷體"/>
                <w:sz w:val="20"/>
                <w:szCs w:val="20"/>
              </w:rPr>
            </w:pP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7B7B97" w:rsidRPr="000803AE" w:rsidRDefault="007B7B97"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DE38F3" w:rsidRPr="000803AE" w:rsidRDefault="00DE38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ED1D87" w:rsidRPr="000803AE" w:rsidRDefault="00ED1D8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D64DD6" w:rsidRPr="000803AE" w:rsidRDefault="00D64DD6" w:rsidP="003716D3">
            <w:pPr>
              <w:widowControl/>
              <w:snapToGrid w:val="0"/>
              <w:ind w:left="200" w:hanging="200"/>
              <w:rPr>
                <w:rFonts w:eastAsia="標楷體"/>
                <w:kern w:val="0"/>
                <w:sz w:val="20"/>
                <w:szCs w:val="20"/>
              </w:rPr>
            </w:pPr>
          </w:p>
          <w:p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966508" w:rsidRPr="000803AE" w:rsidRDefault="00966508" w:rsidP="00966508">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D64DD6" w:rsidRPr="000803AE" w:rsidRDefault="00D64DD6" w:rsidP="003716D3">
            <w:pPr>
              <w:widowControl/>
              <w:snapToGrid w:val="0"/>
              <w:ind w:left="200" w:hanging="200"/>
              <w:rPr>
                <w:rFonts w:eastAsia="標楷體"/>
                <w:kern w:val="0"/>
                <w:sz w:val="20"/>
                <w:szCs w:val="20"/>
              </w:rPr>
            </w:pPr>
          </w:p>
          <w:p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xml:space="preserve">, Paragraph 2, Article 3 of Taiwan Stock Exchange Corporation Rules Governing Information Reporting by </w:t>
            </w:r>
            <w:r w:rsidRPr="000803AE">
              <w:rPr>
                <w:rFonts w:eastAsia="標楷體"/>
                <w:kern w:val="0"/>
                <w:sz w:val="20"/>
                <w:szCs w:val="20"/>
              </w:rPr>
              <w:lastRenderedPageBreak/>
              <w:t>Companies with Listed Securities and Offshore Fund Institutions with Listed Offshore Exchange-Traded Funds</w:t>
            </w: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200081" w:rsidRPr="000803AE" w:rsidRDefault="00200081" w:rsidP="003716D3">
            <w:pPr>
              <w:widowControl/>
              <w:snapToGrid w:val="0"/>
              <w:ind w:left="200" w:hanging="200"/>
              <w:rPr>
                <w:rFonts w:eastAsia="標楷體"/>
                <w:kern w:val="0"/>
                <w:sz w:val="20"/>
                <w:szCs w:val="20"/>
              </w:rPr>
            </w:pPr>
          </w:p>
          <w:p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D24C32" w:rsidRPr="000803AE" w:rsidRDefault="00D24C32"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lastRenderedPageBreak/>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rsidR="00276FB8" w:rsidRPr="000803AE" w:rsidRDefault="00276FB8"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234980" w:rsidRPr="000803AE" w:rsidRDefault="00234980" w:rsidP="00F86248">
            <w:pPr>
              <w:widowControl/>
              <w:snapToGrid w:val="0"/>
              <w:rPr>
                <w:rFonts w:eastAsia="標楷體"/>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 xml:space="preserve">Regulations Governing Content and </w:t>
            </w:r>
            <w:r w:rsidRPr="000803AE">
              <w:rPr>
                <w:rFonts w:eastAsia="標楷體"/>
                <w:kern w:val="0"/>
                <w:sz w:val="20"/>
                <w:szCs w:val="20"/>
              </w:rPr>
              <w:lastRenderedPageBreak/>
              <w:t>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w:t>
            </w:r>
            <w:r>
              <w:rPr>
                <w:rFonts w:eastAsia="標楷體"/>
                <w:sz w:val="20"/>
                <w:szCs w:val="20"/>
              </w:rPr>
              <w:lastRenderedPageBreak/>
              <w:t>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w:t>
            </w:r>
          </w:p>
          <w:p w:rsidR="009B1230" w:rsidRDefault="009B1230" w:rsidP="00722D5A">
            <w:pPr>
              <w:pStyle w:val="a3"/>
              <w:snapToGrid w:val="0"/>
              <w:rPr>
                <w:rFonts w:ascii="Times New Roman" w:hAnsi="Times New Roman"/>
                <w:sz w:val="20"/>
                <w:lang w:val="en-US"/>
              </w:rPr>
            </w:pPr>
          </w:p>
          <w:p w:rsidR="00960072" w:rsidRPr="000803AE" w:rsidRDefault="00960072" w:rsidP="00722D5A">
            <w:pPr>
              <w:pStyle w:val="a3"/>
              <w:snapToGrid w:val="0"/>
              <w:rPr>
                <w:rFonts w:ascii="Times New Roman" w:hAnsi="Times New Roman"/>
                <w:sz w:val="20"/>
                <w:lang w:val="en-US" w:eastAsia="zh-TW"/>
              </w:rPr>
            </w:pPr>
          </w:p>
          <w:p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rsidR="002C1C19" w:rsidRPr="000803AE" w:rsidRDefault="002C1C19" w:rsidP="009B1230">
            <w:pPr>
              <w:pStyle w:val="a3"/>
              <w:snapToGrid w:val="0"/>
              <w:rPr>
                <w:rFonts w:ascii="Times New Roman" w:hAnsi="Times New Roman"/>
                <w:sz w:val="20"/>
                <w:lang w:val="en-US"/>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872104" w:rsidRPr="000803AE" w:rsidRDefault="00872104" w:rsidP="00722D5A">
            <w:pPr>
              <w:pStyle w:val="a3"/>
              <w:snapToGrid w:val="0"/>
              <w:rPr>
                <w:rFonts w:ascii="Times New Roman" w:hAnsi="Times New Roman"/>
                <w:sz w:val="20"/>
                <w:lang w:val="en-US" w:eastAsia="zh-TW"/>
              </w:rPr>
            </w:pPr>
          </w:p>
          <w:p w:rsidR="002C1C19" w:rsidRDefault="002C1C19" w:rsidP="00722D5A">
            <w:pPr>
              <w:pStyle w:val="a3"/>
              <w:snapToGrid w:val="0"/>
              <w:rPr>
                <w:rFonts w:ascii="Times New Roman" w:hAnsi="Times New Roman"/>
                <w:sz w:val="20"/>
                <w:lang w:val="en-US" w:eastAsia="zh-TW"/>
              </w:rPr>
            </w:pPr>
          </w:p>
          <w:p w:rsidR="006504CF" w:rsidRPr="000803AE" w:rsidRDefault="006504CF" w:rsidP="00722D5A">
            <w:pPr>
              <w:pStyle w:val="a3"/>
              <w:snapToGrid w:val="0"/>
              <w:rPr>
                <w:rFonts w:ascii="Times New Roman" w:hAnsi="Times New Roman"/>
                <w:sz w:val="20"/>
                <w:lang w:val="en-US" w:eastAsia="zh-TW"/>
              </w:rPr>
            </w:pPr>
          </w:p>
          <w:p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 xml:space="preserve">2 business days prior to </w:t>
            </w:r>
            <w:r w:rsidRPr="000803AE">
              <w:rPr>
                <w:rFonts w:ascii="Times New Roman" w:hAnsi="Times New Roman"/>
                <w:sz w:val="20"/>
                <w:lang w:val="en-US"/>
              </w:rPr>
              <w:lastRenderedPageBreak/>
              <w:t>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t>annual</w:t>
            </w:r>
            <w:r w:rsidRPr="000803AE">
              <w:rPr>
                <w:rFonts w:ascii="Times New Roman" w:hAnsi="Times New Roman"/>
                <w:sz w:val="20"/>
                <w:lang w:val="en-US"/>
              </w:rPr>
              <w:t xml:space="preserve"> shareholders' meeting.</w:t>
            </w:r>
          </w:p>
          <w:p w:rsidR="00234980" w:rsidRPr="000803AE" w:rsidRDefault="00234980">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rsidR="00234980" w:rsidRDefault="00234980" w:rsidP="003716D3">
            <w:pPr>
              <w:kinsoku w:val="0"/>
              <w:overflowPunct w:val="0"/>
              <w:snapToGrid w:val="0"/>
              <w:rPr>
                <w:sz w:val="20"/>
              </w:rPr>
            </w:pPr>
          </w:p>
          <w:p w:rsidR="00CE6D7E" w:rsidRDefault="00CE6D7E" w:rsidP="003716D3">
            <w:pPr>
              <w:kinsoku w:val="0"/>
              <w:overflowPunct w:val="0"/>
              <w:snapToGrid w:val="0"/>
              <w:rPr>
                <w:sz w:val="20"/>
              </w:rPr>
            </w:pPr>
          </w:p>
          <w:p w:rsidR="00CE6D7E" w:rsidRDefault="00CE6D7E" w:rsidP="003716D3">
            <w:pPr>
              <w:kinsoku w:val="0"/>
              <w:overflowPunct w:val="0"/>
              <w:snapToGrid w:val="0"/>
              <w:rPr>
                <w:sz w:val="20"/>
              </w:rPr>
            </w:pPr>
          </w:p>
          <w:p w:rsidR="00CE6D7E" w:rsidRPr="002F7879" w:rsidRDefault="00CE6D7E" w:rsidP="003716D3">
            <w:pPr>
              <w:kinsoku w:val="0"/>
              <w:overflowPunct w:val="0"/>
              <w:snapToGrid w:val="0"/>
              <w:rPr>
                <w:sz w:val="20"/>
              </w:rPr>
            </w:pPr>
          </w:p>
          <w:p w:rsidR="00234980" w:rsidRPr="000803AE" w:rsidRDefault="00234980" w:rsidP="003716D3">
            <w:pPr>
              <w:kinsoku w:val="0"/>
              <w:overflowPunct w:val="0"/>
              <w:snapToGrid w:val="0"/>
              <w:rPr>
                <w:sz w:val="20"/>
              </w:rPr>
            </w:pPr>
          </w:p>
          <w:p w:rsidR="00234980" w:rsidRPr="000803AE" w:rsidRDefault="00234980"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Default="004272AC"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6504CF" w:rsidRPr="000803AE" w:rsidRDefault="006504CF" w:rsidP="003716D3">
            <w:pPr>
              <w:pStyle w:val="a3"/>
              <w:snapToGrid w:val="0"/>
              <w:rPr>
                <w:rFonts w:ascii="Times New Roman" w:hAnsi="Times New Roman"/>
                <w:sz w:val="20"/>
                <w:lang w:val="en-US"/>
              </w:rPr>
            </w:pPr>
          </w:p>
          <w:p w:rsidR="00666EED" w:rsidRPr="000803AE" w:rsidRDefault="00666EED" w:rsidP="003716D3">
            <w:pPr>
              <w:pStyle w:val="a3"/>
              <w:snapToGrid w:val="0"/>
              <w:rPr>
                <w:rFonts w:ascii="Times New Roman" w:hAnsi="Times New Roman"/>
                <w:sz w:val="20"/>
                <w:lang w:val="en-US"/>
              </w:rPr>
            </w:pPr>
          </w:p>
          <w:p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rsidR="002C1C19" w:rsidRDefault="002C1C19"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872104" w:rsidRDefault="00872104" w:rsidP="002C1C19">
            <w:pPr>
              <w:pStyle w:val="a3"/>
              <w:snapToGrid w:val="0"/>
              <w:rPr>
                <w:sz w:val="20"/>
                <w:lang w:eastAsia="zh-TW"/>
              </w:rPr>
            </w:pPr>
          </w:p>
          <w:p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rsidR="006E4AA6" w:rsidRPr="000803AE" w:rsidRDefault="006E4AA6"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lastRenderedPageBreak/>
              <w:t>Article 6 of the Regulations Governing Content and Compliance Requirements for Shareholders' Meeting Agenda Handbooks of Public Companies</w:t>
            </w:r>
          </w:p>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lastRenderedPageBreak/>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p w:rsidR="00AA2A3A" w:rsidRPr="000803AE" w:rsidRDefault="00AA2A3A"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Default="004272AC"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6504CF" w:rsidRDefault="006504CF"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rsidR="002C1C19" w:rsidRPr="000803AE" w:rsidRDefault="002C1C19" w:rsidP="002C1C19">
            <w:pPr>
              <w:tabs>
                <w:tab w:val="left" w:pos="6840"/>
              </w:tabs>
              <w:snapToGrid w:val="0"/>
              <w:ind w:left="360"/>
              <w:rPr>
                <w:sz w:val="20"/>
              </w:rPr>
            </w:pPr>
          </w:p>
          <w:p w:rsidR="002C1C19" w:rsidRPr="000803AE" w:rsidRDefault="002C1C19"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2C1C19" w:rsidRDefault="002C1C19"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F62778" w:rsidRDefault="00F62778"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872104" w:rsidRDefault="00872104" w:rsidP="006504CF">
            <w:pPr>
              <w:tabs>
                <w:tab w:val="left" w:pos="6840"/>
              </w:tabs>
              <w:snapToGrid w:val="0"/>
              <w:rPr>
                <w:sz w:val="20"/>
              </w:rPr>
            </w:pPr>
          </w:p>
          <w:p w:rsidR="00872104" w:rsidRDefault="00872104" w:rsidP="00722D5A">
            <w:pPr>
              <w:pStyle w:val="a3"/>
              <w:snapToGrid w:val="0"/>
              <w:rPr>
                <w:sz w:val="20"/>
                <w:lang w:eastAsia="zh-TW"/>
              </w:rPr>
            </w:pPr>
          </w:p>
          <w:p w:rsidR="00872104" w:rsidRPr="00EA2844" w:rsidRDefault="00872104" w:rsidP="00722D5A">
            <w:pPr>
              <w:pStyle w:val="a3"/>
              <w:snapToGrid w:val="0"/>
              <w:rPr>
                <w:sz w:val="20"/>
                <w:lang w:eastAsia="zh-TW"/>
              </w:rPr>
            </w:pPr>
          </w:p>
          <w:p w:rsidR="00234980" w:rsidRPr="000803AE" w:rsidRDefault="00234980" w:rsidP="002C1C19">
            <w:pPr>
              <w:numPr>
                <w:ilvl w:val="0"/>
                <w:numId w:val="409"/>
              </w:numPr>
              <w:tabs>
                <w:tab w:val="left" w:pos="6840"/>
              </w:tabs>
              <w:snapToGrid w:val="0"/>
              <w:rPr>
                <w:sz w:val="20"/>
              </w:rPr>
            </w:pPr>
            <w:r w:rsidRPr="000803AE">
              <w:rPr>
                <w:kern w:val="0"/>
                <w:sz w:val="20"/>
              </w:rPr>
              <w:t xml:space="preserve">Letter No. Tai-Cheng-85-Shang-08552 </w:t>
            </w:r>
            <w:r w:rsidRPr="000803AE">
              <w:rPr>
                <w:kern w:val="0"/>
                <w:sz w:val="20"/>
              </w:rPr>
              <w:lastRenderedPageBreak/>
              <w:t>dated May 15, 1996</w:t>
            </w:r>
          </w:p>
          <w:p w:rsidR="00234980" w:rsidRPr="000803AE" w:rsidRDefault="003907EF" w:rsidP="002C1C19">
            <w:pPr>
              <w:numPr>
                <w:ilvl w:val="0"/>
                <w:numId w:val="409"/>
              </w:numPr>
              <w:tabs>
                <w:tab w:val="left" w:pos="6840"/>
              </w:tabs>
              <w:snapToGrid w:val="0"/>
              <w:rPr>
                <w:sz w:val="20"/>
              </w:rPr>
            </w:pPr>
            <w:r w:rsidRPr="000803AE">
              <w:rPr>
                <w:sz w:val="20"/>
              </w:rPr>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w:t>
            </w:r>
            <w:r w:rsidRPr="000803AE">
              <w:rPr>
                <w:rFonts w:eastAsia="標楷體"/>
                <w:sz w:val="20"/>
                <w:szCs w:val="20"/>
              </w:rPr>
              <w:lastRenderedPageBreak/>
              <w:t xml:space="preserve">Act </w:t>
            </w:r>
            <w:r w:rsidR="00722D5A">
              <w:rPr>
                <w:rFonts w:eastAsia="標楷體"/>
                <w:sz w:val="20"/>
                <w:szCs w:val="20"/>
              </w:rPr>
              <w:t xml:space="preserve">on the same day </w:t>
            </w:r>
            <w:r w:rsidRPr="000803AE">
              <w:rPr>
                <w:rFonts w:eastAsia="標楷體"/>
                <w:sz w:val="20"/>
                <w:szCs w:val="20"/>
              </w:rPr>
              <w:t>of the election.</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rsidR="00234980" w:rsidRPr="00D74726"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C00D85" w:rsidRDefault="00C00D85" w:rsidP="003716D3">
            <w:pPr>
              <w:kinsoku w:val="0"/>
              <w:overflowPunct w:val="0"/>
              <w:snapToGrid w:val="0"/>
              <w:rPr>
                <w:rFonts w:eastAsia="標楷體"/>
                <w:sz w:val="20"/>
                <w:szCs w:val="20"/>
              </w:rPr>
            </w:pPr>
          </w:p>
          <w:p w:rsidR="005263D8" w:rsidRPr="000803AE" w:rsidRDefault="005263D8"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rsidR="00C00D85" w:rsidRPr="000803AE" w:rsidRDefault="00C00D85" w:rsidP="003716D3">
            <w:pPr>
              <w:kinsoku w:val="0"/>
              <w:overflowPunct w:val="0"/>
              <w:snapToGrid w:val="0"/>
              <w:rPr>
                <w:rFonts w:eastAsia="標楷體"/>
                <w:sz w:val="20"/>
                <w:szCs w:val="20"/>
              </w:rPr>
            </w:pPr>
          </w:p>
          <w:p w:rsidR="00C00D85" w:rsidRPr="000803AE" w:rsidRDefault="00C00D85" w:rsidP="003716D3">
            <w:pPr>
              <w:kinsoku w:val="0"/>
              <w:overflowPunct w:val="0"/>
              <w:snapToGrid w:val="0"/>
              <w:rPr>
                <w:rFonts w:eastAsia="標楷體"/>
                <w:sz w:val="20"/>
                <w:szCs w:val="20"/>
              </w:rPr>
            </w:pPr>
          </w:p>
          <w:p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rsidR="00C00D85" w:rsidRPr="000803AE" w:rsidRDefault="00C00D85" w:rsidP="00A65B02">
            <w:pPr>
              <w:kinsoku w:val="0"/>
              <w:overflowPunct w:val="0"/>
              <w:snapToGrid w:val="0"/>
              <w:rPr>
                <w:rFonts w:eastAsia="標楷體"/>
                <w:sz w:val="20"/>
                <w:szCs w:val="20"/>
              </w:rPr>
            </w:pPr>
          </w:p>
          <w:p w:rsidR="004E11E0" w:rsidRPr="000803AE" w:rsidRDefault="004E11E0" w:rsidP="00A65B02">
            <w:pPr>
              <w:kinsoku w:val="0"/>
              <w:overflowPunct w:val="0"/>
              <w:snapToGrid w:val="0"/>
              <w:rPr>
                <w:rFonts w:eastAsia="標楷體"/>
                <w:sz w:val="20"/>
                <w:szCs w:val="20"/>
              </w:rPr>
            </w:pPr>
          </w:p>
          <w:p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lastRenderedPageBreak/>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65B02" w:rsidRPr="000803AE" w:rsidRDefault="00A65B02"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A65B02" w:rsidRPr="000803AE" w:rsidRDefault="00A65B02" w:rsidP="003716D3">
            <w:pPr>
              <w:tabs>
                <w:tab w:val="left" w:pos="6840"/>
              </w:tabs>
              <w:snapToGrid w:val="0"/>
              <w:rPr>
                <w:rFonts w:eastAsia="標楷體"/>
                <w:sz w:val="20"/>
                <w:szCs w:val="20"/>
              </w:rPr>
            </w:pPr>
          </w:p>
          <w:p w:rsidR="00A65B02" w:rsidRPr="000803AE" w:rsidRDefault="00A65B02" w:rsidP="003716D3">
            <w:pPr>
              <w:tabs>
                <w:tab w:val="left" w:pos="6840"/>
              </w:tabs>
              <w:snapToGrid w:val="0"/>
              <w:rPr>
                <w:rFonts w:eastAsia="標楷體"/>
                <w:sz w:val="20"/>
                <w:szCs w:val="20"/>
              </w:rPr>
            </w:pPr>
          </w:p>
          <w:p w:rsidR="004E11E0" w:rsidRPr="000803AE" w:rsidRDefault="004E11E0" w:rsidP="003716D3">
            <w:pPr>
              <w:tabs>
                <w:tab w:val="left" w:pos="6840"/>
              </w:tabs>
              <w:snapToGrid w:val="0"/>
              <w:rPr>
                <w:rFonts w:eastAsia="標楷體"/>
                <w:sz w:val="20"/>
                <w:szCs w:val="20"/>
              </w:rPr>
            </w:pPr>
          </w:p>
          <w:p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DE3E4E" w:rsidRDefault="00DE3E4E" w:rsidP="003716D3">
            <w:pPr>
              <w:snapToGrid w:val="0"/>
              <w:rPr>
                <w:rFonts w:eastAsia="標楷體"/>
                <w:sz w:val="20"/>
                <w:szCs w:val="20"/>
              </w:rPr>
            </w:pPr>
          </w:p>
          <w:p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lastRenderedPageBreak/>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lastRenderedPageBreak/>
              <w:t>(The following documents are no longer required pursuant to the Letter No. Tai-Tsai-Cheng-3-0930123010 dated June 7, 2004:</w:t>
            </w:r>
          </w:p>
          <w:p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w:t>
            </w:r>
            <w:proofErr w:type="gramStart"/>
            <w:r w:rsidR="00D2393F" w:rsidRPr="000803AE">
              <w:rPr>
                <w:rFonts w:hint="eastAsia"/>
                <w:sz w:val="20"/>
                <w:szCs w:val="20"/>
              </w:rPr>
              <w:t>template</w:t>
            </w:r>
            <w:proofErr w:type="gramEnd"/>
            <w:r w:rsidR="00D2393F" w:rsidRPr="000803AE">
              <w:rPr>
                <w:rFonts w:hint="eastAsia"/>
                <w:sz w:val="20"/>
                <w:szCs w:val="20"/>
              </w:rPr>
              <w:t xml:space="preserv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w:t>
            </w:r>
            <w:r w:rsidR="00560F05" w:rsidRPr="000803AE">
              <w:rPr>
                <w:rFonts w:eastAsia="標楷體"/>
                <w:sz w:val="20"/>
                <w:szCs w:val="20"/>
              </w:rPr>
              <w:lastRenderedPageBreak/>
              <w:t xml:space="preserve">elected directors and supervisors (including directors and/or supervisors who </w:t>
            </w:r>
            <w:r w:rsidR="0019305E" w:rsidRPr="000803AE">
              <w:rPr>
                <w:rFonts w:eastAsia="標楷體"/>
                <w:sz w:val="20"/>
                <w:szCs w:val="20"/>
              </w:rPr>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rsidR="00DE3E4E" w:rsidRPr="000803AE" w:rsidRDefault="00DE3E4E" w:rsidP="003716D3">
            <w:pPr>
              <w:kinsoku w:val="0"/>
              <w:overflowPunct w:val="0"/>
              <w:snapToGrid w:val="0"/>
              <w:rPr>
                <w:rFonts w:eastAsia="標楷體"/>
                <w:sz w:val="20"/>
                <w:szCs w:val="20"/>
              </w:rPr>
            </w:pPr>
          </w:p>
          <w:p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Articles 183 of the Company Act</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Letter No. Tai-Cheng-86-Shang-07075 </w:t>
            </w:r>
            <w:r w:rsidRPr="000803AE">
              <w:rPr>
                <w:rFonts w:eastAsia="標楷體"/>
                <w:kern w:val="0"/>
                <w:sz w:val="20"/>
                <w:szCs w:val="20"/>
              </w:rPr>
              <w:lastRenderedPageBreak/>
              <w:t>dated March 31, 1997</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Tai-Cheng-89-Shang-101459 dated June 3, 2000</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Default="004D18B6" w:rsidP="003716D3">
            <w:pPr>
              <w:tabs>
                <w:tab w:val="left" w:pos="6840"/>
              </w:tabs>
              <w:snapToGrid w:val="0"/>
              <w:rPr>
                <w:rFonts w:eastAsia="標楷體"/>
                <w:sz w:val="20"/>
                <w:szCs w:val="20"/>
              </w:rPr>
            </w:pPr>
          </w:p>
          <w:p w:rsidR="00953282" w:rsidRPr="000803AE" w:rsidRDefault="00953282"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lastRenderedPageBreak/>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rsidR="00D86D5A" w:rsidRPr="000803AE" w:rsidRDefault="00D86D5A" w:rsidP="00171ED4">
            <w:pPr>
              <w:tabs>
                <w:tab w:val="left" w:pos="6840"/>
              </w:tabs>
              <w:snapToGrid w:val="0"/>
              <w:ind w:left="360"/>
              <w:rPr>
                <w:rFonts w:eastAsia="標楷體"/>
                <w:sz w:val="20"/>
                <w:szCs w:val="20"/>
              </w:rPr>
            </w:pPr>
          </w:p>
          <w:p w:rsidR="00FA734B" w:rsidRPr="000803AE" w:rsidRDefault="00FA734B" w:rsidP="00FA734B">
            <w:pPr>
              <w:tabs>
                <w:tab w:val="left" w:pos="6840"/>
              </w:tabs>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tc>
      </w:tr>
      <w:tr w:rsidR="00A41128"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lastRenderedPageBreak/>
              <w:t>5-1</w:t>
            </w:r>
          </w:p>
        </w:tc>
        <w:tc>
          <w:tcPr>
            <w:tcW w:w="2313" w:type="dxa"/>
            <w:gridSpan w:val="2"/>
            <w:tcBorders>
              <w:top w:val="single" w:sz="4" w:space="0" w:color="auto"/>
              <w:left w:val="single" w:sz="4" w:space="0" w:color="auto"/>
              <w:bottom w:val="single" w:sz="4" w:space="0" w:color="auto"/>
              <w:right w:val="single" w:sz="4" w:space="0" w:color="auto"/>
            </w:tcBorders>
          </w:tcPr>
          <w:p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rsidR="00234980" w:rsidRPr="000803AE" w:rsidRDefault="00234980" w:rsidP="003716D3">
            <w:pPr>
              <w:pStyle w:val="HTML"/>
              <w:snapToGrid w:val="0"/>
              <w:rPr>
                <w:rFonts w:ascii="Times New Roman" w:eastAsia="標楷體" w:hAnsi="Times New Roman" w:cs="Times New Roman"/>
                <w:color w:val="auto"/>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 xml:space="preserve">Upload the relevant </w:t>
            </w:r>
            <w:r w:rsidRPr="000803AE">
              <w:rPr>
                <w:rFonts w:eastAsia="標楷體"/>
                <w:sz w:val="20"/>
                <w:szCs w:val="20"/>
              </w:rPr>
              <w:lastRenderedPageBreak/>
              <w:t>information at least 12 business days prior to the commencement of the proposed suspension period for title transfer of shares.</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C84085" w:rsidRPr="000803AE" w:rsidRDefault="00C84085" w:rsidP="003716D3">
            <w:pPr>
              <w:snapToGrid w:val="0"/>
              <w:rPr>
                <w:rFonts w:eastAsia="標楷體"/>
                <w:sz w:val="20"/>
                <w:szCs w:val="20"/>
              </w:rPr>
            </w:pPr>
          </w:p>
          <w:p w:rsidR="00DE4C10" w:rsidRPr="000803AE" w:rsidRDefault="00DE4C10"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w:t>
            </w:r>
            <w:r w:rsidRPr="000803AE">
              <w:rPr>
                <w:rFonts w:eastAsia="標楷體" w:hint="eastAsia"/>
                <w:sz w:val="20"/>
                <w:szCs w:val="20"/>
              </w:rPr>
              <w:lastRenderedPageBreak/>
              <w:t>shareholders</w:t>
            </w:r>
            <w:r w:rsidR="006755D8" w:rsidRPr="000803AE">
              <w:rPr>
                <w:rFonts w:eastAsia="標楷體" w:hint="eastAsia"/>
                <w:sz w:val="20"/>
                <w:szCs w:val="20"/>
              </w:rPr>
              <w:t xml:space="preserve"> </w:t>
            </w:r>
            <w:r w:rsidR="006755D8" w:rsidRPr="000803AE">
              <w:rPr>
                <w:rFonts w:eastAsia="標楷體"/>
                <w:sz w:val="20"/>
                <w:szCs w:val="20"/>
              </w:rPr>
              <w:t xml:space="preserve">who 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rsidR="00720FA6" w:rsidRPr="000803AE" w:rsidRDefault="00720FA6"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176DC6" w:rsidRPr="000803AE" w:rsidRDefault="00176DC6"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6F0E43" w:rsidRPr="000803AE" w:rsidRDefault="006F0E43" w:rsidP="003716D3">
            <w:pPr>
              <w:snapToGrid w:val="0"/>
              <w:rPr>
                <w:rFonts w:eastAsia="標楷體"/>
                <w:sz w:val="20"/>
                <w:szCs w:val="20"/>
              </w:rPr>
            </w:pPr>
          </w:p>
          <w:p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tabs>
                <w:tab w:val="left" w:pos="4711"/>
              </w:tabs>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EA432E" w:rsidRPr="000803AE" w:rsidRDefault="00EA432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w:t>
            </w:r>
            <w:r w:rsidRPr="000803AE">
              <w:rPr>
                <w:rFonts w:ascii="Times New Roman" w:eastAsia="標楷體" w:hAnsi="Times New Roman"/>
                <w:sz w:val="20"/>
                <w:lang w:val="en-US" w:eastAsia="zh-TW"/>
              </w:rPr>
              <w:lastRenderedPageBreak/>
              <w:t>Post System (sii.twse.com.tw/filing of all announcements/announcement on convention of the special shareholders' meeting) for public announcement of the relevant date of such convention and matters.</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w:t>
            </w:r>
            <w:r w:rsidRPr="000803AE">
              <w:rPr>
                <w:rFonts w:eastAsia="標楷體"/>
                <w:sz w:val="20"/>
                <w:szCs w:val="20"/>
              </w:rPr>
              <w:lastRenderedPageBreak/>
              <w:t>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the document 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rsidR="006F5B90" w:rsidRPr="000803AE" w:rsidRDefault="006F5B90" w:rsidP="006F5B90">
            <w:pPr>
              <w:kinsoku w:val="0"/>
              <w:overflowPunct w:val="0"/>
              <w:snapToGrid w:val="0"/>
              <w:rPr>
                <w:rFonts w:eastAsia="標楷體"/>
                <w:sz w:val="20"/>
                <w:szCs w:val="20"/>
                <w:u w:val="single"/>
              </w:rPr>
            </w:pPr>
          </w:p>
          <w:p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rsidR="00A70652" w:rsidRPr="000803AE" w:rsidRDefault="00A70652" w:rsidP="003716D3">
            <w:pPr>
              <w:kinsoku w:val="0"/>
              <w:overflowPunct w:val="0"/>
              <w:snapToGrid w:val="0"/>
              <w:rPr>
                <w:rFonts w:eastAsia="標楷體"/>
                <w:sz w:val="20"/>
                <w:szCs w:val="20"/>
              </w:rPr>
            </w:pPr>
          </w:p>
          <w:p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w:t>
            </w:r>
            <w:r w:rsidRPr="000803AE">
              <w:rPr>
                <w:rFonts w:ascii="Times New Roman" w:eastAsia="標楷體" w:hAnsi="Times New Roman" w:hint="eastAsia"/>
                <w:sz w:val="20"/>
                <w:lang w:val="en-US" w:eastAsia="zh-TW"/>
              </w:rPr>
              <w:lastRenderedPageBreak/>
              <w:t xml:space="preserve">registered on Emerging Stock Market)/relevant </w:t>
            </w:r>
            <w:r w:rsidRPr="000803AE">
              <w:rPr>
                <w:rFonts w:ascii="Times New Roman" w:eastAsia="標楷體" w:hAnsi="Times New Roman"/>
                <w:sz w:val="20"/>
                <w:lang w:val="en-US" w:eastAsia="zh-TW"/>
              </w:rPr>
              <w:t>announcement of election of 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rsidR="003246B7" w:rsidRPr="000803AE" w:rsidRDefault="003246B7" w:rsidP="003246B7">
            <w:pPr>
              <w:pStyle w:val="a3"/>
              <w:snapToGrid w:val="0"/>
              <w:rPr>
                <w:rFonts w:ascii="Times New Roman" w:eastAsia="標楷體" w:hAnsi="Times New Roman"/>
                <w:sz w:val="20"/>
                <w:lang w:val="en-US" w:eastAsia="zh-TW"/>
              </w:rPr>
            </w:pPr>
          </w:p>
          <w:p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rsidR="00C00D85" w:rsidRPr="000803AE" w:rsidRDefault="00C00D85" w:rsidP="003716D3">
            <w:pPr>
              <w:kinsoku w:val="0"/>
              <w:overflowPunct w:val="0"/>
              <w:snapToGrid w:val="0"/>
              <w:rPr>
                <w:rFonts w:eastAsia="標楷體"/>
                <w:sz w:val="20"/>
                <w:szCs w:val="20"/>
                <w:u w:val="single"/>
              </w:rPr>
            </w:pPr>
          </w:p>
          <w:p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bCs/>
                <w:sz w:val="20"/>
                <w:lang w:val="en-US" w:eastAsia="zh-TW"/>
              </w:rPr>
            </w:pPr>
          </w:p>
          <w:p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EA432E" w:rsidRPr="000803AE" w:rsidRDefault="00EA432E" w:rsidP="003716D3">
            <w:pPr>
              <w:tabs>
                <w:tab w:val="left" w:pos="6840"/>
              </w:tabs>
              <w:snapToGrid w:val="0"/>
              <w:rPr>
                <w:rFonts w:eastAsia="標楷體"/>
                <w:sz w:val="20"/>
                <w:szCs w:val="20"/>
              </w:rPr>
            </w:pPr>
          </w:p>
          <w:p w:rsidR="00AA2A3A" w:rsidRPr="000803AE" w:rsidRDefault="00AA2A3A" w:rsidP="003716D3">
            <w:pPr>
              <w:tabs>
                <w:tab w:val="left" w:pos="6840"/>
              </w:tabs>
              <w:snapToGrid w:val="0"/>
              <w:rPr>
                <w:rFonts w:eastAsia="標楷體"/>
                <w:sz w:val="20"/>
                <w:szCs w:val="20"/>
              </w:rPr>
            </w:pP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 xml:space="preserve">Articles 165, 172, 173 and 245 of the </w:t>
            </w:r>
            <w:r w:rsidRPr="000803AE">
              <w:rPr>
                <w:rFonts w:eastAsia="標楷體"/>
                <w:kern w:val="0"/>
                <w:sz w:val="20"/>
                <w:szCs w:val="20"/>
              </w:rPr>
              <w:lastRenderedPageBreak/>
              <w:t>Company Act</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051CCE" w:rsidRPr="000803AE" w:rsidRDefault="00051CCE" w:rsidP="003716D3">
            <w:pPr>
              <w:tabs>
                <w:tab w:val="left" w:pos="6840"/>
              </w:tabs>
              <w:snapToGrid w:val="0"/>
              <w:rPr>
                <w:rFonts w:eastAsia="標楷體"/>
                <w:sz w:val="20"/>
                <w:szCs w:val="20"/>
              </w:rPr>
            </w:pP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9701CB" w:rsidRPr="000803AE" w:rsidRDefault="009701CB" w:rsidP="003716D3">
            <w:pPr>
              <w:widowControl/>
              <w:snapToGrid w:val="0"/>
              <w:ind w:left="200" w:hanging="200"/>
              <w:rPr>
                <w:rFonts w:eastAsia="標楷體"/>
                <w:kern w:val="0"/>
                <w:sz w:val="20"/>
                <w:szCs w:val="20"/>
              </w:rPr>
            </w:pPr>
          </w:p>
          <w:p w:rsidR="00176DC6" w:rsidRPr="000803AE" w:rsidRDefault="00176DC6" w:rsidP="003716D3">
            <w:pPr>
              <w:widowControl/>
              <w:snapToGrid w:val="0"/>
              <w:ind w:left="200" w:hanging="200"/>
              <w:rPr>
                <w:rFonts w:eastAsia="標楷體"/>
                <w:kern w:val="0"/>
                <w:sz w:val="20"/>
                <w:szCs w:val="20"/>
              </w:rPr>
            </w:pP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A70652" w:rsidRPr="000803AE" w:rsidRDefault="00A70652" w:rsidP="003716D3">
            <w:pPr>
              <w:widowControl/>
              <w:snapToGrid w:val="0"/>
              <w:rPr>
                <w:rFonts w:eastAsia="標楷體"/>
                <w:kern w:val="0"/>
                <w:sz w:val="20"/>
                <w:szCs w:val="20"/>
              </w:rPr>
            </w:pPr>
          </w:p>
          <w:p w:rsidR="003246B7" w:rsidRPr="000803AE" w:rsidRDefault="003246B7" w:rsidP="003716D3">
            <w:pPr>
              <w:widowControl/>
              <w:snapToGrid w:val="0"/>
              <w:rPr>
                <w:rFonts w:eastAsia="標楷體"/>
                <w:kern w:val="0"/>
                <w:sz w:val="20"/>
                <w:szCs w:val="20"/>
              </w:rPr>
            </w:pPr>
          </w:p>
          <w:p w:rsidR="00D64DD6" w:rsidRPr="000803AE" w:rsidRDefault="00D64DD6" w:rsidP="003716D3">
            <w:pPr>
              <w:widowControl/>
              <w:snapToGrid w:val="0"/>
              <w:rPr>
                <w:rFonts w:eastAsia="標楷體"/>
                <w:kern w:val="0"/>
                <w:sz w:val="20"/>
                <w:szCs w:val="20"/>
              </w:rPr>
            </w:pP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3246B7" w:rsidRPr="000803AE" w:rsidRDefault="003246B7" w:rsidP="003716D3">
            <w:pPr>
              <w:widowControl/>
              <w:snapToGrid w:val="0"/>
              <w:rPr>
                <w:rFonts w:eastAsia="標楷體"/>
                <w:kern w:val="0"/>
                <w:sz w:val="20"/>
                <w:szCs w:val="20"/>
              </w:rPr>
            </w:pP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731A17" w:rsidRDefault="00731A17" w:rsidP="003716D3">
            <w:pPr>
              <w:tabs>
                <w:tab w:val="left" w:pos="6840"/>
              </w:tabs>
              <w:snapToGrid w:val="0"/>
              <w:rPr>
                <w:rFonts w:eastAsia="標楷體"/>
                <w:sz w:val="20"/>
                <w:szCs w:val="20"/>
              </w:rPr>
            </w:pPr>
          </w:p>
          <w:p w:rsidR="00CE6D7E" w:rsidRDefault="00CE6D7E" w:rsidP="003716D3">
            <w:pPr>
              <w:tabs>
                <w:tab w:val="left" w:pos="6840"/>
              </w:tabs>
              <w:snapToGrid w:val="0"/>
              <w:rPr>
                <w:rFonts w:eastAsia="標楷體"/>
                <w:sz w:val="20"/>
                <w:szCs w:val="20"/>
              </w:rPr>
            </w:pPr>
          </w:p>
          <w:p w:rsidR="00CE6D7E" w:rsidRPr="000803AE" w:rsidRDefault="00CE6D7E"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34980" w:rsidP="003716D3">
            <w:pPr>
              <w:tabs>
                <w:tab w:val="left" w:pos="6840"/>
              </w:tabs>
              <w:snapToGrid w:val="0"/>
              <w:rPr>
                <w:rFonts w:eastAsia="標楷體"/>
                <w:sz w:val="20"/>
                <w:szCs w:val="20"/>
              </w:rPr>
            </w:pPr>
          </w:p>
          <w:p w:rsidR="003A5E23" w:rsidRPr="000803AE" w:rsidRDefault="003A5E23"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7</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01379">
            <w:pPr>
              <w:kinsoku w:val="0"/>
              <w:overflowPunct w:val="0"/>
              <w:snapToGrid w:val="0"/>
              <w:rPr>
                <w:rFonts w:eastAsia="標楷體"/>
                <w:sz w:val="20"/>
                <w:szCs w:val="20"/>
              </w:rPr>
            </w:pPr>
            <w:r w:rsidRPr="000803AE">
              <w:rPr>
                <w:rFonts w:eastAsia="標楷體"/>
                <w:sz w:val="20"/>
                <w:szCs w:val="20"/>
              </w:rPr>
              <w:t xml:space="preserve">Matters to be processed after the special </w:t>
            </w:r>
            <w:r w:rsidRPr="000803AE">
              <w:rPr>
                <w:rFonts w:eastAsia="標楷體"/>
                <w:sz w:val="20"/>
                <w:szCs w:val="20"/>
              </w:rPr>
              <w:lastRenderedPageBreak/>
              <w:t>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lastRenderedPageBreak/>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 xml:space="preserve">commencement of trading </w:t>
            </w:r>
            <w:r w:rsidR="00194558" w:rsidRPr="000803AE">
              <w:rPr>
                <w:rFonts w:eastAsia="標楷體"/>
                <w:sz w:val="20"/>
                <w:szCs w:val="20"/>
              </w:rPr>
              <w:lastRenderedPageBreak/>
              <w:t>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84C96" w:rsidRPr="000803AE" w:rsidRDefault="00184C96"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w:t>
            </w:r>
            <w:r w:rsidRPr="000803AE">
              <w:rPr>
                <w:rFonts w:eastAsia="標楷體"/>
                <w:sz w:val="20"/>
                <w:szCs w:val="20"/>
              </w:rPr>
              <w:lastRenderedPageBreak/>
              <w:t xml:space="preserve">Act </w:t>
            </w:r>
            <w:r w:rsidR="00882E1D">
              <w:rPr>
                <w:rFonts w:eastAsia="標楷體"/>
                <w:sz w:val="20"/>
                <w:szCs w:val="20"/>
              </w:rPr>
              <w:t xml:space="preserve">on the same day </w:t>
            </w:r>
            <w:r w:rsidRPr="000803AE">
              <w:rPr>
                <w:rFonts w:eastAsia="標楷體"/>
                <w:sz w:val="20"/>
                <w:szCs w:val="20"/>
              </w:rPr>
              <w:t>of the election.</w:t>
            </w:r>
          </w:p>
          <w:p w:rsidR="00514F68" w:rsidRPr="000803AE" w:rsidRDefault="00514F68" w:rsidP="003716D3">
            <w:pPr>
              <w:kinsoku w:val="0"/>
              <w:overflowPunct w:val="0"/>
              <w:snapToGrid w:val="0"/>
              <w:rPr>
                <w:rFonts w:eastAsia="標楷體"/>
                <w:sz w:val="20"/>
                <w:szCs w:val="20"/>
              </w:rPr>
            </w:pPr>
          </w:p>
          <w:p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rsidR="00184C96" w:rsidRPr="000803AE" w:rsidRDefault="00184C96" w:rsidP="003716D3">
            <w:pPr>
              <w:kinsoku w:val="0"/>
              <w:overflowPunct w:val="0"/>
              <w:snapToGrid w:val="0"/>
              <w:rPr>
                <w:rFonts w:eastAsia="標楷體"/>
                <w:sz w:val="20"/>
                <w:szCs w:val="20"/>
              </w:rPr>
            </w:pPr>
          </w:p>
          <w:p w:rsidR="0036268F" w:rsidRPr="000803AE" w:rsidRDefault="0036268F"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w:t>
            </w:r>
            <w:r w:rsidRPr="000803AE">
              <w:rPr>
                <w:rFonts w:eastAsia="標楷體"/>
                <w:sz w:val="20"/>
                <w:szCs w:val="20"/>
              </w:rPr>
              <w:lastRenderedPageBreak/>
              <w:t xml:space="preserve">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514F68" w:rsidRPr="000803AE" w:rsidRDefault="00514F68" w:rsidP="003716D3">
            <w:pPr>
              <w:kinsoku w:val="0"/>
              <w:overflowPunct w:val="0"/>
              <w:snapToGrid w:val="0"/>
              <w:rPr>
                <w:rFonts w:eastAsia="標楷體"/>
                <w:sz w:val="20"/>
                <w:szCs w:val="20"/>
              </w:rPr>
            </w:pPr>
          </w:p>
          <w:p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rsidR="00596BE8" w:rsidRPr="000803AE" w:rsidRDefault="00596BE8" w:rsidP="00184C96">
            <w:pPr>
              <w:kinsoku w:val="0"/>
              <w:overflowPunct w:val="0"/>
              <w:snapToGrid w:val="0"/>
              <w:rPr>
                <w:rFonts w:eastAsia="標楷體"/>
                <w:sz w:val="20"/>
                <w:szCs w:val="20"/>
              </w:rPr>
            </w:pPr>
          </w:p>
          <w:p w:rsidR="00596BE8" w:rsidRPr="000803AE" w:rsidRDefault="00596BE8" w:rsidP="00184C96">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 xml:space="preserve">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w:t>
            </w:r>
            <w:r w:rsidRPr="000803AE">
              <w:rPr>
                <w:rFonts w:eastAsia="標楷體"/>
                <w:sz w:val="20"/>
                <w:szCs w:val="20"/>
              </w:rPr>
              <w:lastRenderedPageBreak/>
              <w:t>1986 and Letter No. 72-Tai-Tsai-Cheng-4-2801 dated December 21, 1983 are no longer applicable).</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w:t>
            </w:r>
            <w:r w:rsidRPr="000803AE">
              <w:rPr>
                <w:rFonts w:eastAsia="標楷體"/>
                <w:kern w:val="0"/>
                <w:sz w:val="20"/>
                <w:szCs w:val="20"/>
              </w:rPr>
              <w:lastRenderedPageBreak/>
              <w:t xml:space="preserve">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234980" w:rsidRPr="000803AE" w:rsidRDefault="00234980" w:rsidP="00F86248">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184C96" w:rsidRPr="000803AE" w:rsidRDefault="00184C96" w:rsidP="003716D3">
            <w:pPr>
              <w:widowControl/>
              <w:snapToGrid w:val="0"/>
              <w:rPr>
                <w:rFonts w:eastAsia="標楷體"/>
                <w:kern w:val="0"/>
                <w:sz w:val="20"/>
                <w:szCs w:val="20"/>
              </w:rPr>
            </w:pPr>
          </w:p>
          <w:p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Default="00234980" w:rsidP="003716D3">
            <w:pPr>
              <w:snapToGrid w:val="0"/>
              <w:rPr>
                <w:rFonts w:eastAsia="標楷體"/>
                <w:kern w:val="0"/>
                <w:sz w:val="20"/>
                <w:szCs w:val="20"/>
              </w:rPr>
            </w:pPr>
          </w:p>
          <w:p w:rsidR="00514F68" w:rsidRPr="000803AE" w:rsidRDefault="00514F68" w:rsidP="003716D3">
            <w:pPr>
              <w:snapToGrid w:val="0"/>
              <w:rPr>
                <w:rFonts w:eastAsia="標楷體"/>
                <w:kern w:val="0"/>
                <w:sz w:val="20"/>
                <w:szCs w:val="20"/>
              </w:rPr>
            </w:pPr>
          </w:p>
          <w:p w:rsidR="00AA2A3A" w:rsidRPr="000803AE" w:rsidRDefault="00AA2A3A" w:rsidP="003716D3">
            <w:pPr>
              <w:snapToGrid w:val="0"/>
              <w:rPr>
                <w:rFonts w:eastAsia="標楷體"/>
                <w:kern w:val="0"/>
                <w:sz w:val="20"/>
                <w:szCs w:val="20"/>
              </w:rPr>
            </w:pPr>
          </w:p>
          <w:p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514F68" w:rsidRPr="000803AE" w:rsidRDefault="00514F68" w:rsidP="0036268F">
            <w:pPr>
              <w:widowControl/>
              <w:snapToGrid w:val="0"/>
              <w:rPr>
                <w:rFonts w:eastAsia="標楷體"/>
                <w:kern w:val="0"/>
                <w:sz w:val="20"/>
                <w:szCs w:val="20"/>
              </w:rPr>
            </w:pPr>
          </w:p>
          <w:p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 xml:space="preserve">Taiwan Stock Exchange Corporation </w:t>
            </w:r>
            <w:r w:rsidR="00140FAC" w:rsidRPr="000803AE">
              <w:rPr>
                <w:rFonts w:eastAsia="標楷體"/>
                <w:sz w:val="20"/>
                <w:szCs w:val="20"/>
              </w:rPr>
              <w:lastRenderedPageBreak/>
              <w:t>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8</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rsidR="00234980" w:rsidRPr="000803AE" w:rsidRDefault="00234980" w:rsidP="003716D3">
            <w:pPr>
              <w:kinsoku w:val="0"/>
              <w:overflowPunct w:val="0"/>
              <w:snapToGrid w:val="0"/>
              <w:ind w:left="200" w:hanging="200"/>
              <w:rPr>
                <w:rFonts w:eastAsia="標楷體"/>
                <w:sz w:val="20"/>
                <w:szCs w:val="20"/>
              </w:rPr>
            </w:pPr>
          </w:p>
          <w:p w:rsidR="00234980" w:rsidRDefault="00234980" w:rsidP="003716D3">
            <w:pPr>
              <w:kinsoku w:val="0"/>
              <w:overflowPunct w:val="0"/>
              <w:snapToGrid w:val="0"/>
              <w:ind w:left="200" w:hanging="200"/>
              <w:rPr>
                <w:rFonts w:eastAsia="標楷體"/>
                <w:sz w:val="20"/>
                <w:szCs w:val="20"/>
              </w:rPr>
            </w:pPr>
          </w:p>
          <w:p w:rsidR="008C5A5E" w:rsidRDefault="008C5A5E" w:rsidP="003716D3">
            <w:pPr>
              <w:kinsoku w:val="0"/>
              <w:overflowPunct w:val="0"/>
              <w:snapToGrid w:val="0"/>
              <w:ind w:left="200" w:hanging="200"/>
              <w:rPr>
                <w:rFonts w:eastAsia="標楷體"/>
                <w:sz w:val="20"/>
                <w:szCs w:val="20"/>
              </w:rPr>
            </w:pPr>
          </w:p>
          <w:p w:rsidR="008C5A5E" w:rsidRDefault="008C5A5E" w:rsidP="0009109D">
            <w:pPr>
              <w:kinsoku w:val="0"/>
              <w:overflowPunct w:val="0"/>
              <w:snapToGrid w:val="0"/>
              <w:rPr>
                <w:rFonts w:eastAsia="標楷體"/>
                <w:sz w:val="20"/>
                <w:szCs w:val="20"/>
              </w:rPr>
            </w:pPr>
          </w:p>
          <w:p w:rsidR="008C5A5E" w:rsidRDefault="008C5A5E" w:rsidP="0009109D">
            <w:pPr>
              <w:kinsoku w:val="0"/>
              <w:overflowPunct w:val="0"/>
              <w:snapToGrid w:val="0"/>
              <w:rPr>
                <w:rFonts w:eastAsia="標楷體"/>
                <w:sz w:val="20"/>
                <w:szCs w:val="20"/>
              </w:rPr>
            </w:pPr>
          </w:p>
          <w:p w:rsidR="008C5A5E" w:rsidRPr="000803AE" w:rsidRDefault="008C5A5E" w:rsidP="0009109D">
            <w:pPr>
              <w:kinsoku w:val="0"/>
              <w:overflowPunct w:val="0"/>
              <w:snapToGrid w:val="0"/>
              <w:rPr>
                <w:rFonts w:eastAsia="標楷體"/>
                <w:sz w:val="20"/>
                <w:szCs w:val="20"/>
              </w:rPr>
            </w:pPr>
          </w:p>
          <w:p w:rsidR="00487E7A" w:rsidRPr="000803AE" w:rsidRDefault="00487E7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rsidR="00AA2A3A" w:rsidRPr="000803AE" w:rsidRDefault="00AA2A3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9446D9" w:rsidRPr="000803AE" w:rsidRDefault="009446D9"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rsidR="00234980" w:rsidRPr="000803AE" w:rsidRDefault="00234980" w:rsidP="003716D3">
            <w:pPr>
              <w:pStyle w:val="20"/>
              <w:snapToGrid w:val="0"/>
              <w:jc w:val="left"/>
              <w:rPr>
                <w:rFonts w:ascii="Times New Roman"/>
                <w:lang w:val="en-US" w:eastAsia="zh-TW"/>
              </w:rPr>
            </w:pPr>
          </w:p>
          <w:p w:rsidR="00301379" w:rsidRDefault="00301379"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Pr="000803AE" w:rsidRDefault="008C5A5E" w:rsidP="003716D3">
            <w:pPr>
              <w:pStyle w:val="20"/>
              <w:snapToGrid w:val="0"/>
              <w:jc w:val="left"/>
              <w:rPr>
                <w:rFonts w:ascii="Times New Roman"/>
                <w:lang w:val="en-US" w:eastAsia="zh-TW"/>
              </w:rPr>
            </w:pPr>
          </w:p>
          <w:p w:rsidR="00AA6CFA" w:rsidRPr="000803AE" w:rsidRDefault="00AA6CFA" w:rsidP="003716D3">
            <w:pPr>
              <w:pStyle w:val="20"/>
              <w:snapToGrid w:val="0"/>
              <w:jc w:val="left"/>
              <w:rPr>
                <w:rFonts w:ascii="Times New Roman"/>
                <w:lang w:val="en-US" w:eastAsia="zh-TW"/>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rsidR="00234980" w:rsidRPr="000803AE" w:rsidRDefault="00234980" w:rsidP="003716D3">
            <w:pPr>
              <w:pStyle w:val="20"/>
              <w:snapToGrid w:val="0"/>
              <w:jc w:val="left"/>
              <w:rPr>
                <w:rFonts w:ascii="Times New Roman"/>
                <w:lang w:val="en-US" w:eastAsia="zh-TW"/>
              </w:rPr>
            </w:pPr>
          </w:p>
          <w:p w:rsidR="00234980" w:rsidRPr="000803AE" w:rsidRDefault="00234980" w:rsidP="003716D3">
            <w:pPr>
              <w:pStyle w:val="20"/>
              <w:snapToGrid w:val="0"/>
              <w:jc w:val="left"/>
              <w:rPr>
                <w:rFonts w:ascii="Times New Roman"/>
                <w:lang w:val="en-US" w:eastAsia="zh-TW"/>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rsidR="009446D9" w:rsidRPr="000803AE" w:rsidRDefault="009446D9" w:rsidP="003716D3">
            <w:pPr>
              <w:kinsoku w:val="0"/>
              <w:overflowPunct w:val="0"/>
              <w:snapToGrid w:val="0"/>
              <w:rPr>
                <w:rFonts w:eastAsia="標楷體"/>
                <w:sz w:val="20"/>
                <w:szCs w:val="20"/>
              </w:rPr>
            </w:pPr>
          </w:p>
          <w:p w:rsidR="009446D9" w:rsidRPr="000803AE" w:rsidRDefault="009446D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 xml:space="preserve">s website </w:t>
            </w:r>
            <w:r w:rsidR="005D2606" w:rsidRPr="000803AE">
              <w:rPr>
                <w:rFonts w:eastAsia="標楷體" w:hint="eastAsia"/>
                <w:kern w:val="0"/>
                <w:sz w:val="20"/>
                <w:szCs w:val="20"/>
              </w:rPr>
              <w:lastRenderedPageBreak/>
              <w:t>(</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rsidR="000E3C1E" w:rsidRPr="000803AE" w:rsidRDefault="000E3C1E" w:rsidP="003716D3">
            <w:pPr>
              <w:kinsoku w:val="0"/>
              <w:overflowPunct w:val="0"/>
              <w:snapToGrid w:val="0"/>
              <w:rPr>
                <w:rFonts w:eastAsia="標楷體"/>
                <w:sz w:val="20"/>
                <w:szCs w:val="20"/>
              </w:rPr>
            </w:pPr>
          </w:p>
          <w:p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 xml:space="preserve">Letter No. Tai-Cheng-Chiao-0950200853 </w:t>
            </w:r>
            <w:r w:rsidRPr="000803AE">
              <w:rPr>
                <w:rFonts w:eastAsia="標楷體"/>
                <w:kern w:val="0"/>
                <w:sz w:val="20"/>
                <w:szCs w:val="20"/>
              </w:rPr>
              <w:lastRenderedPageBreak/>
              <w:t>dated June 16, 2006</w:t>
            </w:r>
          </w:p>
          <w:p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rsidR="00B375C8" w:rsidRDefault="00B375C8" w:rsidP="003716D3">
            <w:pPr>
              <w:tabs>
                <w:tab w:val="left" w:pos="6840"/>
              </w:tabs>
              <w:snapToGrid w:val="0"/>
              <w:rPr>
                <w:rFonts w:eastAsia="標楷體"/>
                <w:kern w:val="0"/>
                <w:sz w:val="20"/>
                <w:szCs w:val="20"/>
              </w:rPr>
            </w:pPr>
          </w:p>
          <w:p w:rsidR="00B375C8" w:rsidRDefault="00B375C8" w:rsidP="003716D3">
            <w:pPr>
              <w:tabs>
                <w:tab w:val="left" w:pos="6840"/>
              </w:tabs>
              <w:snapToGrid w:val="0"/>
              <w:rPr>
                <w:rFonts w:eastAsia="標楷體"/>
                <w:kern w:val="0"/>
                <w:sz w:val="20"/>
                <w:szCs w:val="20"/>
              </w:rPr>
            </w:pPr>
          </w:p>
          <w:p w:rsidR="00B375C8" w:rsidRPr="00B375C8" w:rsidRDefault="00B375C8" w:rsidP="003716D3">
            <w:pPr>
              <w:tabs>
                <w:tab w:val="left" w:pos="6840"/>
              </w:tabs>
              <w:snapToGrid w:val="0"/>
              <w:rPr>
                <w:rFonts w:eastAsia="標楷體"/>
                <w:sz w:val="20"/>
                <w:szCs w:val="20"/>
              </w:rPr>
            </w:pPr>
          </w:p>
          <w:p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rsidR="009446D9" w:rsidRPr="000803AE" w:rsidRDefault="009446D9"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9</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rsidR="004A131B" w:rsidRPr="000803AE" w:rsidRDefault="004A131B" w:rsidP="004A131B">
            <w:pPr>
              <w:kinsoku w:val="0"/>
              <w:overflowPunct w:val="0"/>
              <w:snapToGrid w:val="0"/>
              <w:rPr>
                <w:rFonts w:eastAsia="標楷體"/>
                <w:sz w:val="20"/>
                <w:szCs w:val="20"/>
              </w:rPr>
            </w:pPr>
          </w:p>
          <w:p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rsidR="00B4580D" w:rsidRPr="000803AE" w:rsidRDefault="00B4580D" w:rsidP="00B4580D">
            <w:pPr>
              <w:kinsoku w:val="0"/>
              <w:overflowPunct w:val="0"/>
              <w:snapToGrid w:val="0"/>
              <w:rPr>
                <w:rFonts w:eastAsia="標楷體"/>
                <w:sz w:val="20"/>
                <w:szCs w:val="20"/>
              </w:rPr>
            </w:pPr>
          </w:p>
          <w:p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1. Being of the same type </w:t>
            </w:r>
            <w:r w:rsidRPr="000803AE">
              <w:rPr>
                <w:rFonts w:eastAsia="標楷體"/>
                <w:sz w:val="20"/>
                <w:szCs w:val="20"/>
              </w:rPr>
              <w:lastRenderedPageBreak/>
              <w:t>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9F6203" w:rsidRPr="000803AE" w:rsidRDefault="009F6203"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w:t>
            </w:r>
            <w:r w:rsidRPr="000803AE">
              <w:rPr>
                <w:rFonts w:eastAsia="標楷體"/>
                <w:sz w:val="20"/>
                <w:szCs w:val="20"/>
              </w:rPr>
              <w:lastRenderedPageBreak/>
              <w:t>prior to the delivery of new shares to shareholders.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9F6203" w:rsidRPr="000803AE" w:rsidRDefault="009F6203"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w:t>
            </w:r>
            <w:r w:rsidRPr="000803AE">
              <w:rPr>
                <w:rFonts w:eastAsia="標楷體"/>
                <w:sz w:val="20"/>
                <w:szCs w:val="20"/>
              </w:rPr>
              <w:lastRenderedPageBreak/>
              <w:t xml:space="preserve">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lastRenderedPageBreak/>
              <w:t xml:space="preserve">Articles 34, 35 and 139 of the </w:t>
            </w:r>
            <w:r w:rsidR="00F40BD1" w:rsidRPr="000803AE">
              <w:rPr>
                <w:rFonts w:eastAsia="標楷體"/>
                <w:sz w:val="20"/>
                <w:szCs w:val="20"/>
              </w:rPr>
              <w:t>Securities and Exchange Act</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 xml:space="preserve">Articles 62 and 63 of the Taiwan Securities Association Rules Governing Underwriting and Resale of Securities by </w:t>
            </w:r>
            <w:r w:rsidRPr="000803AE">
              <w:rPr>
                <w:rFonts w:eastAsia="標楷體"/>
                <w:kern w:val="0"/>
                <w:sz w:val="20"/>
                <w:szCs w:val="20"/>
              </w:rPr>
              <w:lastRenderedPageBreak/>
              <w:t>Securities Firms</w:t>
            </w:r>
          </w:p>
          <w:p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rsidR="00234980" w:rsidRPr="000803AE" w:rsidRDefault="00234980"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486944" w:rsidRPr="000803AE" w:rsidRDefault="00486944"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sz w:val="20"/>
                <w:szCs w:val="20"/>
              </w:rPr>
              <w:lastRenderedPageBreak/>
              <w:t>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9F5C5F" w:rsidRPr="000803AE" w:rsidRDefault="009F5C5F" w:rsidP="003716D3">
            <w:pPr>
              <w:kinsoku w:val="0"/>
              <w:overflowPunct w:val="0"/>
              <w:snapToGrid w:val="0"/>
              <w:rPr>
                <w:rFonts w:eastAsia="標楷體"/>
                <w:sz w:val="20"/>
                <w:szCs w:val="20"/>
              </w:rPr>
            </w:pPr>
          </w:p>
          <w:p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rsidR="005D1C91" w:rsidRPr="000803AE" w:rsidRDefault="005D1C91" w:rsidP="003716D3">
            <w:pPr>
              <w:kinsoku w:val="0"/>
              <w:overflowPunct w:val="0"/>
              <w:snapToGrid w:val="0"/>
              <w:rPr>
                <w:rFonts w:eastAsia="標楷體"/>
                <w:sz w:val="20"/>
                <w:szCs w:val="20"/>
              </w:rPr>
            </w:pPr>
          </w:p>
          <w:p w:rsidR="005D1C91" w:rsidRPr="000803AE" w:rsidRDefault="005D1C91"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w:t>
            </w:r>
            <w:r w:rsidRPr="000803AE">
              <w:rPr>
                <w:rFonts w:eastAsia="標楷體"/>
                <w:sz w:val="20"/>
                <w:szCs w:val="20"/>
              </w:rPr>
              <w:lastRenderedPageBreak/>
              <w:t xml:space="preserve">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rsidR="00733A1C" w:rsidRPr="000803AE" w:rsidRDefault="00733A1C"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B93409" w:rsidRPr="000803AE" w:rsidRDefault="00B93409" w:rsidP="00733A1C">
            <w:pPr>
              <w:kinsoku w:val="0"/>
              <w:overflowPunct w:val="0"/>
              <w:snapToGrid w:val="0"/>
              <w:ind w:left="200" w:hanging="200"/>
              <w:rPr>
                <w:rFonts w:eastAsia="標楷體"/>
                <w:sz w:val="20"/>
                <w:szCs w:val="20"/>
              </w:rPr>
            </w:pPr>
          </w:p>
          <w:p w:rsidR="00C514E3" w:rsidRPr="000803AE" w:rsidRDefault="00C514E3"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rsidR="0055747F" w:rsidRPr="000803AE" w:rsidRDefault="0055747F" w:rsidP="0055747F">
            <w:pPr>
              <w:kinsoku w:val="0"/>
              <w:overflowPunct w:val="0"/>
              <w:snapToGrid w:val="0"/>
              <w:ind w:left="204"/>
              <w:rPr>
                <w:rFonts w:eastAsia="標楷體"/>
                <w:sz w:val="20"/>
                <w:szCs w:val="20"/>
              </w:rPr>
            </w:pPr>
          </w:p>
          <w:p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rsidR="005D1C91" w:rsidRPr="000803AE" w:rsidRDefault="005D1C91"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486944" w:rsidRPr="000803AE" w:rsidRDefault="00486944"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Before 2 business days </w:t>
            </w:r>
            <w:r w:rsidRPr="000803AE">
              <w:rPr>
                <w:rFonts w:eastAsia="標楷體"/>
                <w:sz w:val="20"/>
                <w:szCs w:val="20"/>
              </w:rPr>
              <w:lastRenderedPageBreak/>
              <w:t>prior to the proposed listing day</w:t>
            </w:r>
            <w:r w:rsidR="007952D6" w:rsidRPr="000803AE">
              <w:rPr>
                <w:rFonts w:eastAsia="標楷體" w:hint="eastAsia"/>
                <w:sz w:val="20"/>
                <w:szCs w:val="20"/>
              </w:rPr>
              <w:t>.</w:t>
            </w:r>
          </w:p>
          <w:p w:rsidR="0012502F" w:rsidRPr="000803AE" w:rsidRDefault="0012502F"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C514E3" w:rsidRPr="000803AE" w:rsidRDefault="00C514E3" w:rsidP="003716D3">
            <w:pPr>
              <w:kinsoku w:val="0"/>
              <w:overflowPunct w:val="0"/>
              <w:snapToGrid w:val="0"/>
              <w:rPr>
                <w:rFonts w:eastAsia="標楷體"/>
                <w:sz w:val="20"/>
                <w:szCs w:val="20"/>
              </w:rPr>
            </w:pPr>
          </w:p>
          <w:p w:rsidR="00B93409" w:rsidRPr="000803AE" w:rsidRDefault="00B93409"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rsidR="00234980" w:rsidRPr="000803AE" w:rsidRDefault="00234980"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486944" w:rsidRPr="000803AE" w:rsidRDefault="00486944"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lastRenderedPageBreak/>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rsidR="0066175E" w:rsidRPr="000803AE" w:rsidRDefault="0066175E"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C514E3" w:rsidRPr="000803AE" w:rsidRDefault="00C514E3" w:rsidP="00334613">
            <w:pPr>
              <w:kinsoku w:val="0"/>
              <w:overflowPunct w:val="0"/>
              <w:snapToGrid w:val="0"/>
              <w:rPr>
                <w:rFonts w:eastAsia="標楷體"/>
                <w:sz w:val="20"/>
                <w:szCs w:val="20"/>
              </w:rPr>
            </w:pPr>
          </w:p>
          <w:p w:rsidR="00952906" w:rsidRPr="000803AE" w:rsidRDefault="00952906"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rsidR="005D1C91" w:rsidRPr="000803AE" w:rsidRDefault="005D1C91" w:rsidP="003716D3">
            <w:pPr>
              <w:tabs>
                <w:tab w:val="left" w:pos="6840"/>
              </w:tabs>
              <w:snapToGrid w:val="0"/>
              <w:rPr>
                <w:rFonts w:eastAsia="標楷體"/>
                <w:sz w:val="20"/>
                <w:szCs w:val="20"/>
              </w:rPr>
            </w:pPr>
          </w:p>
          <w:p w:rsidR="005D1C91" w:rsidRPr="000803AE" w:rsidRDefault="005D1C91" w:rsidP="003716D3">
            <w:pPr>
              <w:tabs>
                <w:tab w:val="left" w:pos="6840"/>
              </w:tabs>
              <w:snapToGrid w:val="0"/>
              <w:rPr>
                <w:rFonts w:eastAsia="標楷體"/>
                <w:sz w:val="20"/>
                <w:szCs w:val="20"/>
              </w:rPr>
            </w:pP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w:t>
            </w:r>
            <w:r w:rsidRPr="000803AE">
              <w:rPr>
                <w:rFonts w:eastAsia="標楷體"/>
                <w:sz w:val="20"/>
                <w:szCs w:val="20"/>
              </w:rPr>
              <w:lastRenderedPageBreak/>
              <w:t>Act</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rsidR="009F5C5F" w:rsidRPr="000803AE" w:rsidRDefault="009F5C5F" w:rsidP="003716D3">
            <w:pPr>
              <w:kinsoku w:val="0"/>
              <w:overflowPunct w:val="0"/>
              <w:snapToGrid w:val="0"/>
              <w:rPr>
                <w:rFonts w:eastAsia="標楷體"/>
                <w:sz w:val="20"/>
                <w:szCs w:val="20"/>
              </w:rPr>
            </w:pPr>
          </w:p>
          <w:p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rsidR="00486944" w:rsidRPr="000803AE" w:rsidRDefault="00486944" w:rsidP="003716D3">
            <w:pPr>
              <w:kinsoku w:val="0"/>
              <w:overflowPunct w:val="0"/>
              <w:snapToGrid w:val="0"/>
              <w:rPr>
                <w:rFonts w:eastAsia="標楷體"/>
                <w:sz w:val="20"/>
                <w:szCs w:val="20"/>
              </w:rPr>
            </w:pPr>
          </w:p>
          <w:p w:rsidR="00334613" w:rsidRPr="000803AE" w:rsidRDefault="00334613" w:rsidP="003716D3">
            <w:pPr>
              <w:kinsoku w:val="0"/>
              <w:overflowPunct w:val="0"/>
              <w:snapToGrid w:val="0"/>
              <w:rPr>
                <w:rFonts w:eastAsia="標楷體"/>
                <w:sz w:val="20"/>
                <w:szCs w:val="20"/>
              </w:rPr>
            </w:pPr>
          </w:p>
          <w:p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0F1ACF" w:rsidRPr="000803AE" w:rsidRDefault="000F1ACF"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rsidR="00B93409" w:rsidRPr="000803AE" w:rsidRDefault="00B93409" w:rsidP="00334613">
            <w:pPr>
              <w:tabs>
                <w:tab w:val="left" w:pos="6840"/>
              </w:tabs>
              <w:snapToGrid w:val="0"/>
              <w:rPr>
                <w:rFonts w:eastAsia="標楷體"/>
                <w:sz w:val="20"/>
                <w:szCs w:val="20"/>
              </w:rPr>
            </w:pPr>
          </w:p>
          <w:p w:rsidR="000D434F" w:rsidRPr="000803AE" w:rsidRDefault="000D434F" w:rsidP="00334613">
            <w:pPr>
              <w:tabs>
                <w:tab w:val="left" w:pos="6840"/>
              </w:tabs>
              <w:snapToGrid w:val="0"/>
              <w:rPr>
                <w:rFonts w:eastAsia="標楷體"/>
                <w:sz w:val="20"/>
                <w:szCs w:val="20"/>
              </w:rPr>
            </w:pP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11</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rFonts w:eastAsia="標楷體"/>
                <w:sz w:val="20"/>
                <w:szCs w:val="20"/>
              </w:rPr>
            </w:pPr>
          </w:p>
          <w:p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36AC9" w:rsidP="003716D3">
            <w:pPr>
              <w:kinsoku w:val="0"/>
              <w:overflowPunct w:val="0"/>
              <w:snapToGrid w:val="0"/>
              <w:rPr>
                <w:rFonts w:eastAsia="標楷體"/>
                <w:sz w:val="20"/>
                <w:szCs w:val="20"/>
              </w:rPr>
            </w:pPr>
            <w:r>
              <w:rPr>
                <w:rFonts w:eastAsia="標楷體" w:hint="eastAsia"/>
                <w:sz w:val="20"/>
                <w:szCs w:val="20"/>
              </w:rPr>
              <w:lastRenderedPageBreak/>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C96BA5" w:rsidRPr="000803AE" w:rsidRDefault="00C96BA5" w:rsidP="003716D3">
            <w:pPr>
              <w:kinsoku w:val="0"/>
              <w:overflowPunct w:val="0"/>
              <w:snapToGrid w:val="0"/>
              <w:rPr>
                <w:rFonts w:eastAsia="標楷體"/>
                <w:sz w:val="20"/>
                <w:szCs w:val="20"/>
              </w:rPr>
            </w:pPr>
          </w:p>
          <w:p w:rsidR="00234980" w:rsidRDefault="00234980"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rsidR="00E97496" w:rsidRDefault="00E97496" w:rsidP="00E97496">
            <w:pPr>
              <w:kinsoku w:val="0"/>
              <w:overflowPunct w:val="0"/>
              <w:snapToGrid w:val="0"/>
              <w:rPr>
                <w:rFonts w:eastAsia="標楷體"/>
                <w:sz w:val="20"/>
                <w:szCs w:val="20"/>
              </w:rPr>
            </w:pPr>
          </w:p>
          <w:p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E97496" w:rsidRDefault="00E97496" w:rsidP="00E97496">
            <w:pPr>
              <w:kinsoku w:val="0"/>
              <w:overflowPunct w:val="0"/>
              <w:snapToGrid w:val="0"/>
              <w:rPr>
                <w:rFonts w:eastAsia="標楷體"/>
                <w:sz w:val="20"/>
                <w:szCs w:val="20"/>
              </w:rPr>
            </w:pPr>
          </w:p>
          <w:p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lastRenderedPageBreak/>
              <w:t>Article 10 of the Taiwan Stock Exchange Corporation Procedures for Review of Securities Listings</w:t>
            </w:r>
          </w:p>
          <w:p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lastRenderedPageBreak/>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672038" w:rsidP="003716D3">
            <w:pPr>
              <w:kinsoku w:val="0"/>
              <w:overflowPunct w:val="0"/>
              <w:snapToGrid w:val="0"/>
              <w:rPr>
                <w:rFonts w:eastAsia="標楷體"/>
                <w:sz w:val="20"/>
                <w:szCs w:val="20"/>
              </w:rPr>
            </w:pPr>
            <w:r>
              <w:rPr>
                <w:rFonts w:eastAsia="標楷體" w:hint="eastAsia"/>
                <w:sz w:val="20"/>
                <w:szCs w:val="20"/>
              </w:rPr>
              <w:lastRenderedPageBreak/>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672038" w:rsidRDefault="00672038" w:rsidP="003716D3">
            <w:pPr>
              <w:kinsoku w:val="0"/>
              <w:overflowPunct w:val="0"/>
              <w:snapToGrid w:val="0"/>
              <w:rPr>
                <w:rFonts w:eastAsia="標楷體"/>
                <w:sz w:val="20"/>
                <w:szCs w:val="20"/>
              </w:rPr>
            </w:pPr>
          </w:p>
          <w:p w:rsidR="00DF7606" w:rsidRPr="000803AE" w:rsidRDefault="00DF7606"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date scheduled for the listing </w:t>
            </w:r>
            <w:r w:rsidRPr="000803AE">
              <w:rPr>
                <w:rFonts w:eastAsia="標楷體"/>
                <w:sz w:val="20"/>
                <w:szCs w:val="20"/>
              </w:rPr>
              <w:lastRenderedPageBreak/>
              <w:t>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rsidR="008A2BF8" w:rsidRDefault="008A2BF8" w:rsidP="008A2BF8">
            <w:pPr>
              <w:kinsoku w:val="0"/>
              <w:overflowPunct w:val="0"/>
              <w:snapToGrid w:val="0"/>
              <w:rPr>
                <w:rFonts w:eastAsia="標楷體"/>
                <w:sz w:val="20"/>
                <w:szCs w:val="20"/>
              </w:rPr>
            </w:pPr>
          </w:p>
          <w:p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 xml:space="preserve">Filing of the non-completion of the proposed transfer within the proposed transfer period by directors, supervisors, managerial officers, and shareholders holding 10% or more of the total </w:t>
            </w:r>
            <w:r w:rsidRPr="000803AE">
              <w:rPr>
                <w:rFonts w:eastAsia="標楷體"/>
                <w:sz w:val="20"/>
                <w:szCs w:val="20"/>
              </w:rPr>
              <w:lastRenderedPageBreak/>
              <w:t>shares of the company.</w:t>
            </w:r>
          </w:p>
          <w:p w:rsidR="00234980" w:rsidRPr="000803AE" w:rsidRDefault="00234980" w:rsidP="003716D3">
            <w:pPr>
              <w:kinsoku w:val="0"/>
              <w:overflowPunct w:val="0"/>
              <w:snapToGrid w:val="0"/>
              <w:ind w:left="198" w:hanging="198"/>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Pr>
                <w:rFonts w:eastAsia="標楷體" w:hint="eastAsia"/>
                <w:sz w:val="20"/>
                <w:szCs w:val="20"/>
              </w:rPr>
              <w:lastRenderedPageBreak/>
              <w:t>1</w:t>
            </w:r>
            <w:r>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C76B66" w:rsidRDefault="007033B0" w:rsidP="0019388D">
            <w:pPr>
              <w:kinsoku w:val="0"/>
              <w:overflowPunct w:val="0"/>
              <w:spacing w:line="260" w:lineRule="exact"/>
              <w:jc w:val="both"/>
              <w:rPr>
                <w:rFonts w:eastAsia="標楷體"/>
                <w:sz w:val="20"/>
              </w:rPr>
            </w:pPr>
            <w:r w:rsidRPr="00884CE0">
              <w:rPr>
                <w:rFonts w:eastAsia="標楷體" w:hint="eastAsia"/>
                <w:sz w:val="20"/>
              </w:rPr>
              <w:t>F</w:t>
            </w:r>
            <w:r w:rsidR="00822035" w:rsidRPr="00884CE0">
              <w:rPr>
                <w:rFonts w:eastAsia="標楷體" w:hint="eastAsia"/>
                <w:sz w:val="20"/>
              </w:rPr>
              <w:t>i</w:t>
            </w:r>
            <w:r w:rsidR="00822035" w:rsidRPr="00884CE0">
              <w:rPr>
                <w:rFonts w:eastAsia="標楷體"/>
                <w:sz w:val="20"/>
              </w:rPr>
              <w:t>ling and a</w:t>
            </w:r>
            <w:r w:rsidR="001D4C79" w:rsidRPr="00884CE0">
              <w:rPr>
                <w:rFonts w:eastAsia="標楷體"/>
                <w:sz w:val="20"/>
              </w:rPr>
              <w:t>nnouncement of acquisition of more t</w:t>
            </w:r>
            <w:r w:rsidR="00DE4007" w:rsidRPr="00884CE0">
              <w:rPr>
                <w:rFonts w:eastAsia="標楷體"/>
                <w:sz w:val="20"/>
              </w:rPr>
              <w:t xml:space="preserve">han 5% of the total issued shares of </w:t>
            </w:r>
            <w:r w:rsidR="00857A09" w:rsidRPr="00E603D8">
              <w:rPr>
                <w:rFonts w:eastAsia="標楷體"/>
                <w:sz w:val="20"/>
              </w:rPr>
              <w:t>a</w:t>
            </w:r>
            <w:r w:rsidR="00DE4007" w:rsidRPr="00E603D8">
              <w:rPr>
                <w:rFonts w:eastAsia="標楷體"/>
                <w:sz w:val="20"/>
              </w:rPr>
              <w:t xml:space="preserve"> public </w:t>
            </w:r>
            <w:r w:rsidR="00857A09" w:rsidRPr="00E603D8">
              <w:rPr>
                <w:rFonts w:eastAsia="標楷體"/>
                <w:sz w:val="20"/>
              </w:rPr>
              <w:t>company</w:t>
            </w:r>
            <w:r w:rsidR="002D5134" w:rsidRPr="00884CE0">
              <w:rPr>
                <w:rFonts w:eastAsia="標楷體"/>
                <w:sz w:val="20"/>
              </w:rPr>
              <w:t xml:space="preserve"> and filing</w:t>
            </w:r>
            <w:r w:rsidR="0019388D" w:rsidRPr="00C76B66">
              <w:rPr>
                <w:rFonts w:eastAsia="標楷體"/>
                <w:sz w:val="20"/>
              </w:rPr>
              <w:t xml:space="preserve"> and announcement of subsequent changes</w:t>
            </w:r>
            <w:r w:rsidR="0019388D" w:rsidRPr="00884CE0">
              <w:rPr>
                <w:rFonts w:ascii="新細明體" w:hAnsi="新細明體"/>
                <w:sz w:val="20"/>
              </w:rPr>
              <w:t>:</w:t>
            </w:r>
          </w:p>
          <w:p w:rsidR="003960E2" w:rsidRPr="00884CE0" w:rsidRDefault="00324F26" w:rsidP="00C76B66">
            <w:pPr>
              <w:numPr>
                <w:ilvl w:val="0"/>
                <w:numId w:val="481"/>
              </w:numPr>
              <w:kinsoku w:val="0"/>
              <w:overflowPunct w:val="0"/>
              <w:snapToGrid w:val="0"/>
              <w:ind w:left="233" w:hanging="233"/>
              <w:rPr>
                <w:rFonts w:eastAsia="標楷體"/>
                <w:sz w:val="20"/>
              </w:rPr>
            </w:pPr>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r w:rsidRPr="00884CE0">
              <w:rPr>
                <w:rFonts w:eastAsia="標楷體"/>
                <w:sz w:val="20"/>
                <w:szCs w:val="20"/>
              </w:rPr>
              <w:t>iling and announcement</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682078" w:rsidRDefault="00682078" w:rsidP="003960E2">
            <w:pPr>
              <w:kinsoku w:val="0"/>
              <w:overflowPunct w:val="0"/>
              <w:spacing w:line="260" w:lineRule="exact"/>
              <w:jc w:val="both"/>
              <w:rPr>
                <w:rFonts w:eastAsia="標楷體"/>
                <w:sz w:val="20"/>
              </w:rPr>
            </w:pPr>
          </w:p>
          <w:p w:rsidR="00960FDF" w:rsidRDefault="00960FDF" w:rsidP="003960E2">
            <w:pPr>
              <w:kinsoku w:val="0"/>
              <w:overflowPunct w:val="0"/>
              <w:spacing w:line="260" w:lineRule="exact"/>
              <w:jc w:val="both"/>
              <w:rPr>
                <w:rFonts w:eastAsia="標楷體"/>
                <w:sz w:val="20"/>
              </w:rPr>
            </w:pPr>
          </w:p>
          <w:p w:rsidR="00857A09" w:rsidRDefault="00857A09"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2F027E" w:rsidP="00C76B66">
            <w:pPr>
              <w:numPr>
                <w:ilvl w:val="0"/>
                <w:numId w:val="481"/>
              </w:numPr>
              <w:kinsoku w:val="0"/>
              <w:overflowPunct w:val="0"/>
              <w:snapToGrid w:val="0"/>
              <w:ind w:left="233" w:hanging="233"/>
              <w:rPr>
                <w:rFonts w:eastAsia="標楷體"/>
                <w:sz w:val="20"/>
              </w:rPr>
            </w:pPr>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0857B6" w:rsidRDefault="000857B6" w:rsidP="003960E2">
            <w:pPr>
              <w:kinsoku w:val="0"/>
              <w:overflowPunct w:val="0"/>
              <w:spacing w:line="260" w:lineRule="exact"/>
              <w:jc w:val="both"/>
              <w:rPr>
                <w:rFonts w:eastAsia="標楷體"/>
                <w:sz w:val="20"/>
              </w:rPr>
            </w:pPr>
          </w:p>
          <w:p w:rsidR="00D43070" w:rsidRPr="00D4734F" w:rsidRDefault="00D43070" w:rsidP="00C76B66">
            <w:pPr>
              <w:kinsoku w:val="0"/>
              <w:overflowPunct w:val="0"/>
              <w:spacing w:line="140" w:lineRule="exact"/>
              <w:jc w:val="both"/>
              <w:rPr>
                <w:rFonts w:eastAsia="標楷體"/>
                <w:sz w:val="20"/>
                <w:szCs w:val="20"/>
              </w:rPr>
            </w:pPr>
          </w:p>
          <w:p w:rsidR="003960E2" w:rsidRPr="00884CE0" w:rsidRDefault="00691E20" w:rsidP="00C76B66">
            <w:pPr>
              <w:numPr>
                <w:ilvl w:val="0"/>
                <w:numId w:val="481"/>
              </w:numPr>
              <w:kinsoku w:val="0"/>
              <w:overflowPunct w:val="0"/>
              <w:snapToGrid w:val="0"/>
              <w:ind w:left="233" w:hanging="233"/>
              <w:rPr>
                <w:rFonts w:eastAsia="標楷體"/>
                <w:sz w:val="20"/>
              </w:rPr>
            </w:pPr>
            <w:r w:rsidRPr="00884CE0">
              <w:rPr>
                <w:rFonts w:eastAsia="標楷體"/>
                <w:sz w:val="20"/>
              </w:rPr>
              <w:t>Special</w:t>
            </w:r>
            <w:r w:rsidR="008F37B0" w:rsidRPr="00884CE0">
              <w:t xml:space="preserve"> </w:t>
            </w:r>
            <w:r w:rsidR="008F37B0" w:rsidRPr="00884CE0">
              <w:rPr>
                <w:rFonts w:eastAsia="標楷體"/>
                <w:sz w:val="20"/>
              </w:rPr>
              <w:t>filing and announcement</w:t>
            </w:r>
          </w:p>
          <w:p w:rsidR="003960E2" w:rsidRDefault="003960E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857A09" w:rsidRDefault="00857A09" w:rsidP="003960E2">
            <w:pPr>
              <w:kinsoku w:val="0"/>
              <w:overflowPunct w:val="0"/>
              <w:snapToGrid w:val="0"/>
              <w:rPr>
                <w:rFonts w:eastAsia="標楷體"/>
                <w:sz w:val="20"/>
                <w:szCs w:val="20"/>
              </w:rPr>
            </w:pPr>
          </w:p>
          <w:p w:rsidR="003960E2" w:rsidRPr="00884CE0" w:rsidRDefault="005342FA" w:rsidP="003960E2">
            <w:pPr>
              <w:kinsoku w:val="0"/>
              <w:overflowPunct w:val="0"/>
              <w:snapToGrid w:val="0"/>
              <w:rPr>
                <w:rFonts w:eastAsia="標楷體"/>
                <w:sz w:val="20"/>
                <w:szCs w:val="20"/>
              </w:rPr>
            </w:pPr>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C76B66">
            <w:pPr>
              <w:kinsoku w:val="0"/>
              <w:overflowPunct w:val="0"/>
              <w:spacing w:line="200" w:lineRule="exact"/>
              <w:jc w:val="both"/>
              <w:rPr>
                <w:rFonts w:eastAsia="標楷體"/>
                <w:sz w:val="20"/>
              </w:rPr>
            </w:pPr>
          </w:p>
          <w:p w:rsidR="003960E2" w:rsidRPr="00884CE0" w:rsidRDefault="004400C3"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after</w:t>
            </w:r>
            <w:r w:rsidR="0045472E" w:rsidRPr="00884CE0">
              <w:rPr>
                <w:rFonts w:eastAsia="標楷體"/>
                <w:sz w:val="20"/>
              </w:rPr>
              <w:t xml:space="preserve"> the date of acquisition.</w:t>
            </w:r>
          </w:p>
          <w:p w:rsidR="003960E2" w:rsidRPr="00884CE0" w:rsidRDefault="00395E2A"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r w:rsidR="006668B9" w:rsidRPr="00884CE0">
              <w:rPr>
                <w:rFonts w:eastAsia="標楷體"/>
                <w:sz w:val="20"/>
              </w:rPr>
              <w:t>ithin tw</w:t>
            </w:r>
            <w:r w:rsidR="00DE528E" w:rsidRPr="00884CE0">
              <w:rPr>
                <w:rFonts w:eastAsia="標楷體"/>
                <w:sz w:val="20"/>
              </w:rPr>
              <w:t xml:space="preserve">o days </w:t>
            </w:r>
            <w:r w:rsidR="00C45CF4" w:rsidRPr="00884CE0">
              <w:rPr>
                <w:rFonts w:eastAsia="標楷體"/>
                <w:sz w:val="20"/>
              </w:rPr>
              <w:t>after the delivery</w:t>
            </w:r>
            <w:r w:rsidR="00857A09">
              <w:rPr>
                <w:rFonts w:eastAsia="標楷體"/>
                <w:sz w:val="20"/>
              </w:rPr>
              <w:t xml:space="preserve"> </w:t>
            </w:r>
            <w:r w:rsidR="00857A09" w:rsidRPr="00E603D8">
              <w:rPr>
                <w:rFonts w:eastAsia="標楷體"/>
                <w:sz w:val="20"/>
              </w:rPr>
              <w:t>of notice</w:t>
            </w:r>
            <w:r w:rsidR="00C45CF4" w:rsidRPr="00884CE0">
              <w:rPr>
                <w:rFonts w:eastAsia="標楷體"/>
                <w:sz w:val="20"/>
              </w:rPr>
              <w:t xml:space="preserve"> by</w:t>
            </w:r>
            <w:r w:rsidR="00E1098F" w:rsidRPr="00884CE0">
              <w:rPr>
                <w:rFonts w:eastAsia="標楷體"/>
                <w:sz w:val="20"/>
              </w:rPr>
              <w:t xml:space="preserve"> the</w:t>
            </w:r>
            <w:r w:rsidR="00DE528E" w:rsidRPr="00884CE0">
              <w:rPr>
                <w:rFonts w:eastAsia="標楷體"/>
                <w:sz w:val="20"/>
              </w:rPr>
              <w:t xml:space="preserve"> non-public</w:t>
            </w:r>
            <w:r w:rsidR="006668B9" w:rsidRPr="00884CE0">
              <w:rPr>
                <w:rFonts w:eastAsia="標楷體"/>
                <w:sz w:val="20"/>
              </w:rPr>
              <w:t xml:space="preserve"> </w:t>
            </w:r>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r w:rsidR="008E7C01">
              <w:rPr>
                <w:rFonts w:eastAsia="標楷體"/>
                <w:sz w:val="20"/>
              </w:rPr>
              <w:t>company</w:t>
            </w:r>
            <w:r w:rsidR="006668B9" w:rsidRPr="00884CE0">
              <w:rPr>
                <w:rFonts w:eastAsia="標楷體"/>
                <w:sz w:val="20"/>
              </w:rPr>
              <w:t>.</w:t>
            </w:r>
          </w:p>
          <w:p w:rsidR="003960E2" w:rsidRPr="00884CE0" w:rsidRDefault="003960E2" w:rsidP="003960E2">
            <w:pPr>
              <w:kinsoku w:val="0"/>
              <w:overflowPunct w:val="0"/>
              <w:spacing w:line="260" w:lineRule="exact"/>
              <w:ind w:left="174" w:hangingChars="87" w:hanging="174"/>
              <w:jc w:val="both"/>
              <w:rPr>
                <w:rFonts w:eastAsia="標楷體"/>
                <w:sz w:val="20"/>
              </w:rPr>
            </w:pPr>
          </w:p>
          <w:p w:rsidR="003960E2" w:rsidRPr="00884CE0" w:rsidRDefault="00C90BE1" w:rsidP="00C76B66">
            <w:pPr>
              <w:numPr>
                <w:ilvl w:val="0"/>
                <w:numId w:val="480"/>
              </w:numPr>
              <w:kinsoku w:val="0"/>
              <w:overflowPunct w:val="0"/>
              <w:snapToGrid w:val="0"/>
              <w:ind w:left="211" w:hanging="211"/>
              <w:rPr>
                <w:rFonts w:eastAsia="標楷體"/>
                <w:sz w:val="20"/>
              </w:rPr>
            </w:pPr>
            <w:r>
              <w:rPr>
                <w:rFonts w:eastAsia="標楷體"/>
                <w:sz w:val="20"/>
              </w:rPr>
              <w:t>I</w:t>
            </w:r>
            <w:r w:rsidRPr="00AD7007">
              <w:rPr>
                <w:rFonts w:eastAsia="標楷體"/>
                <w:sz w:val="20"/>
              </w:rPr>
              <w:t>n the case of an acquirer</w:t>
            </w:r>
            <w:r>
              <w:rPr>
                <w:rFonts w:eastAsia="標楷體"/>
                <w:sz w:val="20"/>
              </w:rPr>
              <w:t>, w</w:t>
            </w:r>
            <w:r w:rsidR="00F66DE6">
              <w:rPr>
                <w:rFonts w:eastAsia="標楷體"/>
                <w:sz w:val="20"/>
              </w:rPr>
              <w:t>ithin two days after</w:t>
            </w:r>
            <w:r w:rsidR="00AD7007" w:rsidRPr="00AD7007">
              <w:rPr>
                <w:rFonts w:eastAsia="標楷體"/>
                <w:sz w:val="20"/>
              </w:rPr>
              <w:t xml:space="preserve"> the date of the occurrence of</w:t>
            </w:r>
            <w:r w:rsidR="00461779" w:rsidRPr="009C76F4">
              <w:rPr>
                <w:rFonts w:eastAsia="標楷體"/>
                <w:sz w:val="20"/>
              </w:rPr>
              <w:t xml:space="preserve"> the event</w:t>
            </w:r>
            <w:r w:rsidR="00AD7007">
              <w:rPr>
                <w:rFonts w:eastAsia="標楷體"/>
                <w:sz w:val="20"/>
              </w:rPr>
              <w:t>.</w:t>
            </w:r>
          </w:p>
          <w:p w:rsidR="003960E2" w:rsidRPr="00884CE0" w:rsidRDefault="00960FDF" w:rsidP="00C76B66">
            <w:pPr>
              <w:numPr>
                <w:ilvl w:val="0"/>
                <w:numId w:val="480"/>
              </w:numPr>
              <w:kinsoku w:val="0"/>
              <w:overflowPunct w:val="0"/>
              <w:snapToGrid w:val="0"/>
              <w:ind w:left="211" w:hanging="211"/>
              <w:rPr>
                <w:rFonts w:eastAsia="標楷體"/>
                <w:sz w:val="20"/>
              </w:rPr>
            </w:pPr>
            <w:r>
              <w:rPr>
                <w:rFonts w:eastAsia="標楷體"/>
                <w:sz w:val="20"/>
              </w:rPr>
              <w:t>I</w:t>
            </w:r>
            <w:r w:rsidRPr="00884CE0">
              <w:rPr>
                <w:rFonts w:eastAsia="標楷體"/>
                <w:sz w:val="20"/>
              </w:rPr>
              <w:t>n the case of an acquiree</w:t>
            </w:r>
            <w:r>
              <w:rPr>
                <w:rFonts w:eastAsia="標楷體"/>
                <w:sz w:val="20"/>
              </w:rPr>
              <w:t>,</w:t>
            </w:r>
            <w:r w:rsidR="001D56C0">
              <w:rPr>
                <w:rFonts w:eastAsia="標楷體" w:hint="eastAsia"/>
                <w:sz w:val="20"/>
              </w:rPr>
              <w:t xml:space="preserve"> t</w:t>
            </w:r>
            <w:r w:rsidR="009C76F4" w:rsidRPr="009C76F4">
              <w:rPr>
                <w:rFonts w:eastAsia="標楷體"/>
                <w:sz w:val="20"/>
              </w:rPr>
              <w:t xml:space="preserve">wo hours prior to the commencement of the </w:t>
            </w:r>
            <w:r w:rsidR="009C76F4" w:rsidRPr="009C76F4">
              <w:rPr>
                <w:rFonts w:eastAsia="標楷體"/>
                <w:sz w:val="20"/>
              </w:rPr>
              <w:lastRenderedPageBreak/>
              <w:t>trading hours of the next business day following the day of the</w:t>
            </w:r>
            <w:r w:rsidR="001D56C0">
              <w:t xml:space="preserve"> </w:t>
            </w:r>
            <w:r w:rsidR="001D56C0" w:rsidRPr="001D56C0">
              <w:rPr>
                <w:rFonts w:eastAsia="標楷體"/>
                <w:sz w:val="20"/>
              </w:rPr>
              <w:t>delivery</w:t>
            </w:r>
            <w:r w:rsidR="00857A09">
              <w:rPr>
                <w:rFonts w:eastAsia="標楷體"/>
                <w:sz w:val="20"/>
              </w:rPr>
              <w:t xml:space="preserve"> </w:t>
            </w:r>
            <w:r w:rsidR="00857A09" w:rsidRPr="00E603D8">
              <w:rPr>
                <w:rFonts w:eastAsia="標楷體"/>
                <w:sz w:val="20"/>
              </w:rPr>
              <w:t>of notice</w:t>
            </w:r>
            <w:r w:rsidR="001D56C0" w:rsidRPr="001D56C0">
              <w:rPr>
                <w:rFonts w:eastAsia="標楷體"/>
                <w:sz w:val="20"/>
              </w:rPr>
              <w:t xml:space="preserve"> by the non-public offering company</w:t>
            </w:r>
            <w:r w:rsidR="009C76F4" w:rsidRPr="009C76F4">
              <w:rPr>
                <w:rFonts w:eastAsia="標楷體"/>
                <w:sz w:val="20"/>
              </w:rPr>
              <w:t>.</w:t>
            </w:r>
          </w:p>
          <w:p w:rsidR="00232D17" w:rsidRPr="00596E22" w:rsidRDefault="00232D17" w:rsidP="00C76B66">
            <w:pPr>
              <w:kinsoku w:val="0"/>
              <w:overflowPunct w:val="0"/>
              <w:spacing w:line="260" w:lineRule="exact"/>
              <w:jc w:val="both"/>
              <w:rPr>
                <w:rFonts w:eastAsia="標楷體"/>
                <w:sz w:val="20"/>
                <w:szCs w:val="20"/>
              </w:rPr>
            </w:pPr>
          </w:p>
          <w:p w:rsidR="003960E2" w:rsidRDefault="00526ABE" w:rsidP="000857B6">
            <w:pPr>
              <w:kinsoku w:val="0"/>
              <w:overflowPunct w:val="0"/>
              <w:snapToGrid w:val="0"/>
              <w:rPr>
                <w:rFonts w:eastAsia="標楷體"/>
                <w:sz w:val="20"/>
              </w:rPr>
            </w:pPr>
            <w:r>
              <w:rPr>
                <w:rFonts w:eastAsia="標楷體"/>
                <w:sz w:val="20"/>
                <w:szCs w:val="20"/>
              </w:rPr>
              <w:t xml:space="preserve">Within </w:t>
            </w:r>
            <w:r w:rsidR="00857A09" w:rsidRPr="00E603D8">
              <w:rPr>
                <w:rFonts w:eastAsia="標楷體"/>
                <w:sz w:val="20"/>
                <w:szCs w:val="20"/>
              </w:rPr>
              <w:t>two</w:t>
            </w:r>
            <w:r w:rsidRPr="000803AE">
              <w:rPr>
                <w:rFonts w:eastAsia="標楷體"/>
                <w:sz w:val="20"/>
                <w:szCs w:val="20"/>
              </w:rPr>
              <w:t xml:space="preserve"> days after receipt of</w:t>
            </w:r>
            <w:r w:rsidRPr="000803AE">
              <w:rPr>
                <w:rFonts w:eastAsia="標楷體" w:hint="eastAsia"/>
                <w:sz w:val="20"/>
                <w:szCs w:val="20"/>
              </w:rPr>
              <w:t xml:space="preserve"> the</w:t>
            </w:r>
            <w:r w:rsidR="00857A09">
              <w:rPr>
                <w:rFonts w:eastAsia="標楷體"/>
                <w:sz w:val="20"/>
                <w:szCs w:val="20"/>
              </w:rPr>
              <w:t xml:space="preserve"> </w:t>
            </w:r>
            <w:r w:rsidR="00857A09" w:rsidRPr="00E603D8">
              <w:rPr>
                <w:rFonts w:eastAsia="標楷體"/>
                <w:sz w:val="20"/>
                <w:szCs w:val="20"/>
              </w:rPr>
              <w:t>notice from</w:t>
            </w:r>
            <w:r w:rsidRPr="000803AE">
              <w:rPr>
                <w:rFonts w:eastAsia="標楷體" w:hint="eastAsia"/>
                <w:sz w:val="20"/>
                <w:szCs w:val="20"/>
              </w:rPr>
              <w:t xml:space="preserve"> </w:t>
            </w:r>
            <w:r w:rsidR="00857A09">
              <w:rPr>
                <w:rFonts w:eastAsia="標楷體"/>
                <w:sz w:val="20"/>
                <w:szCs w:val="20"/>
              </w:rPr>
              <w:t xml:space="preserve">the </w:t>
            </w:r>
            <w:r w:rsidR="0053007A" w:rsidRPr="0053007A">
              <w:rPr>
                <w:rFonts w:eastAsia="標楷體"/>
                <w:sz w:val="20"/>
              </w:rPr>
              <w:t>pension or insurance fund managed by the government</w:t>
            </w:r>
            <w:r w:rsidR="004522C3">
              <w:rPr>
                <w:rFonts w:eastAsia="標楷體"/>
                <w:sz w:val="20"/>
              </w:rPr>
              <w:t>.</w:t>
            </w:r>
          </w:p>
          <w:p w:rsidR="00587392" w:rsidRDefault="00587392" w:rsidP="00D4734F">
            <w:pPr>
              <w:kinsoku w:val="0"/>
              <w:overflowPunct w:val="0"/>
              <w:snapToGrid w:val="0"/>
              <w:rPr>
                <w:rFonts w:eastAsia="標楷體"/>
                <w:sz w:val="20"/>
              </w:rPr>
            </w:pPr>
          </w:p>
          <w:p w:rsidR="00587392" w:rsidRPr="00884CE0" w:rsidRDefault="00587392" w:rsidP="00D4734F">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794A36" w:rsidRDefault="003960E2" w:rsidP="003960E2">
            <w:pPr>
              <w:kinsoku w:val="0"/>
              <w:overflowPunct w:val="0"/>
              <w:spacing w:line="260" w:lineRule="exact"/>
              <w:jc w:val="both"/>
              <w:rPr>
                <w:rFonts w:eastAsia="標楷體"/>
                <w:sz w:val="20"/>
              </w:rPr>
            </w:pPr>
          </w:p>
          <w:p w:rsidR="003960E2" w:rsidRPr="00794A36" w:rsidRDefault="003960E2"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885D66" w:rsidRDefault="00885D66" w:rsidP="00C76B66">
            <w:pPr>
              <w:kinsoku w:val="0"/>
              <w:overflowPunct w:val="0"/>
              <w:spacing w:line="200" w:lineRule="exact"/>
              <w:jc w:val="both"/>
              <w:rPr>
                <w:rFonts w:eastAsia="標楷體"/>
                <w:sz w:val="20"/>
              </w:rPr>
            </w:pPr>
          </w:p>
          <w:p w:rsidR="003960E2" w:rsidRPr="00794A36" w:rsidRDefault="005C7068" w:rsidP="00857A09">
            <w:pPr>
              <w:kinsoku w:val="0"/>
              <w:overflowPunct w:val="0"/>
              <w:snapToGrid w:val="0"/>
              <w:rPr>
                <w:rFonts w:eastAsia="標楷體"/>
                <w:sz w:val="20"/>
                <w:szCs w:val="20"/>
              </w:rPr>
            </w:pPr>
            <w:r>
              <w:rPr>
                <w:rFonts w:eastAsia="標楷體"/>
                <w:sz w:val="20"/>
                <w:szCs w:val="20"/>
              </w:rPr>
              <w:t>T</w:t>
            </w:r>
            <w:r w:rsidR="00885D66" w:rsidRPr="00D163BA">
              <w:rPr>
                <w:rFonts w:eastAsia="標楷體"/>
                <w:sz w:val="20"/>
                <w:szCs w:val="20"/>
              </w:rPr>
              <w:t>he</w:t>
            </w:r>
            <w:r w:rsidR="00885D66" w:rsidRPr="00590D30">
              <w:rPr>
                <w:rFonts w:eastAsia="標楷體"/>
                <w:sz w:val="20"/>
              </w:rPr>
              <w:t xml:space="preserve"> </w:t>
            </w:r>
            <w:r w:rsidR="003A3052" w:rsidRPr="003A3052">
              <w:rPr>
                <w:rFonts w:eastAsia="標楷體"/>
                <w:sz w:val="20"/>
              </w:rPr>
              <w:t xml:space="preserve">filed </w:t>
            </w:r>
            <w:r w:rsidR="00857A09" w:rsidRPr="00E603D8">
              <w:rPr>
                <w:rFonts w:eastAsia="標楷體"/>
                <w:sz w:val="20"/>
              </w:rPr>
              <w:t>documents</w:t>
            </w:r>
            <w:r w:rsidR="003960E2" w:rsidRPr="00794A36">
              <w:rPr>
                <w:rFonts w:eastAsia="標楷體" w:hint="eastAsia"/>
                <w:sz w:val="20"/>
              </w:rPr>
              <w:t xml:space="preserve"> </w:t>
            </w:r>
            <w:r w:rsidR="00885D66" w:rsidRPr="00D163BA">
              <w:rPr>
                <w:rFonts w:eastAsia="標楷體"/>
                <w:sz w:val="20"/>
                <w:szCs w:val="20"/>
              </w:rPr>
              <w:t>(declaration, schedules and related attachments)</w:t>
            </w:r>
            <w:r>
              <w:rPr>
                <w:rFonts w:eastAsia="標楷體"/>
                <w:sz w:val="20"/>
                <w:szCs w:val="20"/>
              </w:rPr>
              <w:t xml:space="preserve"> shall </w:t>
            </w:r>
            <w:r w:rsidR="00857A09" w:rsidRPr="00E603D8">
              <w:rPr>
                <w:rFonts w:eastAsia="標楷體"/>
                <w:sz w:val="20"/>
                <w:szCs w:val="20"/>
              </w:rPr>
              <w:t>be uploaded to</w:t>
            </w:r>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r w:rsidR="003960E2" w:rsidRPr="00C76B66">
              <w:rPr>
                <w:rFonts w:eastAsia="標楷體" w:hint="eastAsia"/>
                <w:sz w:val="20"/>
              </w:rPr>
              <w:t>(</w:t>
            </w:r>
            <w:r w:rsidR="003960E2" w:rsidRPr="00794A36">
              <w:rPr>
                <w:rFonts w:eastAsia="標楷體" w:hint="eastAsia"/>
                <w:sz w:val="20"/>
              </w:rPr>
              <w:t>sii.twse.com.tw/</w:t>
            </w:r>
            <w:r w:rsidR="00BD7705" w:rsidRPr="00BD7705">
              <w:rPr>
                <w:rFonts w:eastAsia="標楷體"/>
                <w:sz w:val="20"/>
              </w:rPr>
              <w:t xml:space="preserve">announcement </w:t>
            </w:r>
            <w:r w:rsidR="00BD7705">
              <w:rPr>
                <w:rFonts w:eastAsia="標楷體" w:hint="eastAsia"/>
                <w:sz w:val="20"/>
              </w:rPr>
              <w:t>a</w:t>
            </w:r>
            <w:r w:rsidR="00BD7705">
              <w:rPr>
                <w:rFonts w:eastAsia="標楷體"/>
                <w:sz w:val="20"/>
              </w:rPr>
              <w:t>nd f</w:t>
            </w:r>
            <w:r w:rsidR="00BD7705" w:rsidRPr="00BD7705">
              <w:rPr>
                <w:rFonts w:eastAsia="標楷體"/>
                <w:sz w:val="20"/>
              </w:rPr>
              <w:t>iling required to be made</w:t>
            </w:r>
            <w:r w:rsidR="00C96EDF">
              <w:rPr>
                <w:rFonts w:eastAsia="標楷體"/>
                <w:sz w:val="20"/>
              </w:rPr>
              <w:t xml:space="preserve"> under</w:t>
            </w:r>
            <w:r w:rsidR="00BD7705" w:rsidRPr="00BD7705">
              <w:rPr>
                <w:rFonts w:eastAsia="標楷體"/>
                <w:sz w:val="20"/>
              </w:rPr>
              <w:t xml:space="preserve"> </w:t>
            </w:r>
            <w:r w:rsidR="001B1606" w:rsidRPr="006D5F18">
              <w:rPr>
                <w:rFonts w:eastAsia="標楷體"/>
                <w:sz w:val="20"/>
              </w:rPr>
              <w:t>Regulations Governing the Declaration of Acquisition of Shares in Accordance with Article 43-1, Paragraph 1 of the Securities and Exchange Ac</w:t>
            </w:r>
            <w:r w:rsidR="00C96EDF">
              <w:rPr>
                <w:rFonts w:eastAsia="標楷體"/>
                <w:sz w:val="20"/>
              </w:rPr>
              <w:t>t</w:t>
            </w:r>
            <w:r w:rsidR="003960E2" w:rsidRPr="00794A36">
              <w:rPr>
                <w:rFonts w:eastAsia="標楷體" w:hint="eastAsia"/>
                <w:sz w:val="20"/>
              </w:rPr>
              <w:t>)</w:t>
            </w:r>
            <w:r w:rsidR="00D163BA" w:rsidRPr="00D163BA">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794A36" w:rsidRDefault="006D5F18" w:rsidP="00C76B66">
            <w:pPr>
              <w:numPr>
                <w:ilvl w:val="0"/>
                <w:numId w:val="482"/>
              </w:numPr>
              <w:tabs>
                <w:tab w:val="left" w:pos="6840"/>
              </w:tabs>
              <w:snapToGrid w:val="0"/>
              <w:rPr>
                <w:rFonts w:eastAsia="標楷體"/>
                <w:sz w:val="20"/>
              </w:rPr>
            </w:pPr>
            <w:r w:rsidRPr="006D5F18">
              <w:rPr>
                <w:rFonts w:eastAsia="標楷體"/>
                <w:sz w:val="20"/>
              </w:rPr>
              <w:t>Regulations Governing the Declaration of Acquisition of Shares in Accordance with Article 43-1, Paragraph 1 of the Securities and Exchange Act</w:t>
            </w:r>
          </w:p>
          <w:p w:rsidR="003960E2" w:rsidRPr="00D4734F" w:rsidRDefault="004C1B88" w:rsidP="00C76B66">
            <w:pPr>
              <w:numPr>
                <w:ilvl w:val="0"/>
                <w:numId w:val="482"/>
              </w:numPr>
              <w:tabs>
                <w:tab w:val="left" w:pos="6840"/>
              </w:tabs>
              <w:snapToGrid w:val="0"/>
              <w:rPr>
                <w:rFonts w:eastAsia="標楷體"/>
                <w:sz w:val="20"/>
              </w:rPr>
            </w:pPr>
            <w:r w:rsidRPr="004C1B88">
              <w:rPr>
                <w:rFonts w:eastAsia="標楷體"/>
                <w:sz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r w:rsidR="00D671A9">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to the content of the share certificates (including changes in the </w:t>
            </w:r>
            <w:r w:rsidRPr="000803AE">
              <w:rPr>
                <w:rFonts w:eastAsia="標楷體"/>
                <w:sz w:val="20"/>
                <w:szCs w:val="20"/>
              </w:rPr>
              <w:lastRenderedPageBreak/>
              <w:t>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 xml:space="preserve">After the change to the content of the share certificates has been </w:t>
            </w:r>
            <w:r w:rsidRPr="000803AE">
              <w:rPr>
                <w:rFonts w:eastAsia="標楷體"/>
                <w:sz w:val="20"/>
                <w:szCs w:val="20"/>
              </w:rPr>
              <w:lastRenderedPageBreak/>
              <w:t>approved.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lastRenderedPageBreak/>
              <w:t>Three copies of the application for change to the content of the listed shares and its attachment.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 xml:space="preserve">Two copies of the plan for the procedure to exchange the share </w:t>
            </w:r>
            <w:r w:rsidRPr="000803AE">
              <w:rPr>
                <w:rFonts w:eastAsia="標楷體"/>
                <w:sz w:val="20"/>
                <w:szCs w:val="20"/>
              </w:rPr>
              <w:lastRenderedPageBreak/>
              <w:t>certificates (specifying the details of procedures for exchanging the share certificates).</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lastRenderedPageBreak/>
              <w:t>Article 45 of the Operating Rules of the Taiwan Stock Exchange Corporation,</w:t>
            </w:r>
          </w:p>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 xml:space="preserve">Article 1 of the Taiwan Stock Exchange </w:t>
            </w:r>
            <w:r w:rsidRPr="000803AE">
              <w:rPr>
                <w:rFonts w:eastAsia="標楷體"/>
                <w:sz w:val="20"/>
                <w:szCs w:val="20"/>
              </w:rPr>
              <w:lastRenderedPageBreak/>
              <w:t>Securities Agreement</w:t>
            </w:r>
          </w:p>
          <w:p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rsidR="003960E2" w:rsidRDefault="003960E2" w:rsidP="003960E2">
            <w:pPr>
              <w:kinsoku w:val="0"/>
              <w:overflowPunct w:val="0"/>
              <w:snapToGrid w:val="0"/>
              <w:ind w:left="360"/>
              <w:rPr>
                <w:rFonts w:eastAsia="標楷體"/>
                <w:sz w:val="20"/>
                <w:szCs w:val="20"/>
              </w:rPr>
            </w:pPr>
          </w:p>
          <w:p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w:t>
            </w:r>
            <w:r w:rsidRPr="000803AE">
              <w:rPr>
                <w:rFonts w:eastAsia="標楷體"/>
                <w:sz w:val="20"/>
                <w:szCs w:val="20"/>
              </w:rPr>
              <w:lastRenderedPageBreak/>
              <w:t xml:space="preserve">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Within 2 days from the completion of amendment to corporate registration.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company/filing of basic information of the company).</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lastRenderedPageBreak/>
              <w:t xml:space="preserve">Subparagraph 2, Paragraph 2, Article 3 of Taiwan Stock Exchange Corporation Rules Governing Information Reporting </w:t>
            </w:r>
            <w:r w:rsidRPr="000803AE">
              <w:rPr>
                <w:rFonts w:eastAsia="標楷體"/>
                <w:kern w:val="0"/>
                <w:sz w:val="20"/>
                <w:szCs w:val="20"/>
              </w:rPr>
              <w:lastRenderedPageBreak/>
              <w:t>by Companies with Listed Securities and Offshore Fund Institutions with Listed Offshore Exchange-Traded Funds</w:t>
            </w:r>
          </w:p>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tabs>
                <w:tab w:val="left" w:pos="6840"/>
              </w:tabs>
              <w:snapToGrid w:val="0"/>
              <w:ind w:left="360"/>
              <w:rPr>
                <w:rFonts w:eastAsia="標楷體"/>
                <w:kern w:val="0"/>
                <w:sz w:val="20"/>
                <w:szCs w:val="20"/>
              </w:rPr>
            </w:pP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day of receiving permission from the competent </w:t>
            </w:r>
            <w:r w:rsidRPr="000803AE">
              <w:rPr>
                <w:rFonts w:eastAsia="標楷體"/>
                <w:sz w:val="20"/>
                <w:szCs w:val="20"/>
              </w:rPr>
              <w:lastRenderedPageBreak/>
              <w:t>authority.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3960E2" w:rsidRPr="000803AE" w:rsidTr="008F3B58">
        <w:tc>
          <w:tcPr>
            <w:tcW w:w="447" w:type="dxa"/>
            <w:tcBorders>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w:t>
            </w:r>
            <w:r w:rsidRPr="000803AE">
              <w:rPr>
                <w:rFonts w:eastAsia="標楷體"/>
                <w:sz w:val="20"/>
                <w:szCs w:val="20"/>
              </w:rPr>
              <w:lastRenderedPageBreak/>
              <w:t xml:space="preserve">title transfer of corporate bonds.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 xml:space="preserve">Letter No. Tai-Cheng-79-Shang-0704 </w:t>
            </w:r>
            <w:r w:rsidRPr="000803AE">
              <w:rPr>
                <w:rFonts w:eastAsia="標楷體"/>
                <w:kern w:val="0"/>
                <w:sz w:val="20"/>
                <w:szCs w:val="20"/>
              </w:rPr>
              <w:lastRenderedPageBreak/>
              <w:t>dated January 19, 1990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w:t>
            </w:r>
            <w:r w:rsidRPr="000803AE">
              <w:rPr>
                <w:rFonts w:eastAsia="標楷體"/>
                <w:sz w:val="20"/>
                <w:szCs w:val="20"/>
              </w:rPr>
              <w:lastRenderedPageBreak/>
              <w:t xml:space="preserve">be submitted.)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kinsoku w:val="0"/>
              <w:overflowPunct w:val="0"/>
              <w:snapToGrid w:val="0"/>
              <w:ind w:left="154" w:hanging="154"/>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regarding overseas depositary receipts traded on the foreign over-the-counter market shall be simultaneously uploaded </w:t>
            </w:r>
            <w:r w:rsidRPr="000803AE">
              <w:rPr>
                <w:rFonts w:eastAsia="標楷體"/>
                <w:sz w:val="20"/>
                <w:szCs w:val="20"/>
              </w:rPr>
              <w:lastRenderedPageBreak/>
              <w:t>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lastRenderedPageBreak/>
              <w:t>Letter No. 91-Tai-Tsai-Cheng-1-106134 dated March 25,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Taiwan Stock Exchange Corporation shall be notified within 2 days of the day of occurrence or the day </w:t>
            </w:r>
            <w:r w:rsidRPr="000803AE">
              <w:rPr>
                <w:rFonts w:eastAsia="標楷體"/>
                <w:sz w:val="20"/>
                <w:szCs w:val="20"/>
              </w:rPr>
              <w:lastRenderedPageBreak/>
              <w:t>when it becomes legally effective.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lastRenderedPageBreak/>
              <w:t>Notices of maturity or repurchase of listed convertible bonds.</w:t>
            </w:r>
          </w:p>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nil"/>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Prior to the initial conversion to common shares and prior to the fifth day of each month (information regarding the current conversion or the conversion in the </w:t>
            </w:r>
            <w:r w:rsidRPr="000803AE">
              <w:rPr>
                <w:rFonts w:eastAsia="標楷體"/>
                <w:sz w:val="20"/>
                <w:szCs w:val="20"/>
              </w:rPr>
              <w:lastRenderedPageBreak/>
              <w:t>preceding month).</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w:t>
            </w:r>
            <w:r w:rsidRPr="000803AE">
              <w:rPr>
                <w:rFonts w:eastAsia="標楷體"/>
                <w:sz w:val="20"/>
                <w:szCs w:val="20"/>
              </w:rPr>
              <w:lastRenderedPageBreak/>
              <w:t xml:space="preserve">of approval.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photocopies of supporting documents in relation to the conversion </w:t>
            </w:r>
            <w:r w:rsidRPr="000803AE">
              <w:rPr>
                <w:rFonts w:eastAsia="標楷體"/>
                <w:sz w:val="20"/>
                <w:szCs w:val="20"/>
              </w:rPr>
              <w:lastRenderedPageBreak/>
              <w:t>process.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Article 14 of the Taiwan Stock Exchange Corporation Rules Governing Review of Securities Listings</w:t>
            </w:r>
          </w:p>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rsidR="003960E2" w:rsidRPr="000803AE" w:rsidRDefault="003960E2" w:rsidP="003960E2">
            <w:pPr>
              <w:kinsoku w:val="0"/>
              <w:overflowPunct w:val="0"/>
              <w:snapToGrid w:val="0"/>
              <w:ind w:left="140" w:hanging="14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w:t>
            </w:r>
            <w:r w:rsidRPr="000803AE">
              <w:rPr>
                <w:sz w:val="20"/>
                <w:szCs w:val="20"/>
              </w:rPr>
              <w:lastRenderedPageBreak/>
              <w:t xml:space="preserve">of </w:t>
            </w:r>
            <w:r w:rsidRPr="000803AE">
              <w:rPr>
                <w:rFonts w:hint="eastAsia"/>
                <w:sz w:val="20"/>
                <w:szCs w:val="20"/>
              </w:rPr>
              <w:t>real property for construction use or its right-of-use assets by a public company operating construction business,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 xml:space="preserve">contemplated in the abovementioned </w:t>
            </w:r>
            <w:r w:rsidRPr="000803AE">
              <w:rPr>
                <w:rFonts w:hint="eastAsia"/>
                <w:sz w:val="20"/>
                <w:szCs w:val="20"/>
              </w:rPr>
              <w:lastRenderedPageBreak/>
              <w:t>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w:t>
            </w:r>
            <w:r w:rsidRPr="000803AE">
              <w:rPr>
                <w:rFonts w:eastAsia="標楷體" w:hint="eastAsia"/>
                <w:sz w:val="20"/>
                <w:szCs w:val="20"/>
              </w:rPr>
              <w:lastRenderedPageBreak/>
              <w:t>the</w:t>
            </w:r>
            <w:r w:rsidRPr="000803AE">
              <w:rPr>
                <w:rFonts w:eastAsia="標楷體"/>
                <w:sz w:val="20"/>
                <w:szCs w:val="20"/>
              </w:rPr>
              <w:t xml:space="preserve"> press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pPr>
            <w:r w:rsidRPr="000803AE">
              <w:rPr>
                <w:rFonts w:ascii="Times New Roman"/>
                <w:lang w:val="en-US" w:eastAsia="zh-TW"/>
              </w:rPr>
              <w:t xml:space="preserve">If not completed by the date specified in the </w:t>
            </w:r>
            <w:r w:rsidRPr="000803AE">
              <w:rPr>
                <w:rFonts w:ascii="Times New Roman"/>
                <w:lang w:val="en-US" w:eastAsia="zh-TW"/>
              </w:rPr>
              <w:lastRenderedPageBreak/>
              <w:t>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sz w:val="20"/>
                <w:szCs w:val="20"/>
              </w:rPr>
              <w:lastRenderedPageBreak/>
              <w:t>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w:t>
            </w:r>
            <w:r w:rsidRPr="000803AE">
              <w:rPr>
                <w:sz w:val="20"/>
                <w:szCs w:val="20"/>
              </w:rPr>
              <w:lastRenderedPageBreak/>
              <w:t>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w:t>
            </w:r>
            <w:r w:rsidRPr="000803AE">
              <w:rPr>
                <w:sz w:val="20"/>
                <w:szCs w:val="20"/>
              </w:rPr>
              <w:lastRenderedPageBreak/>
              <w:t xml:space="preserve">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w:t>
            </w:r>
            <w:r w:rsidRPr="000803AE">
              <w:rPr>
                <w:rFonts w:eastAsia="標楷體"/>
                <w:sz w:val="20"/>
                <w:szCs w:val="20"/>
              </w:rPr>
              <w:lastRenderedPageBreak/>
              <w:t>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lastRenderedPageBreak/>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lastRenderedPageBreak/>
              <w:t>Letter No. Tai-Tsai-Cheng-1-0910003639 dated June 28,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lastRenderedPageBreak/>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 xml:space="preserve">Taiwan Stock Exchange Corporation </w:t>
            </w:r>
            <w:r w:rsidRPr="000803AE">
              <w:rPr>
                <w:rFonts w:eastAsia="標楷體"/>
                <w:kern w:val="0"/>
                <w:sz w:val="20"/>
                <w:szCs w:val="20"/>
              </w:rPr>
              <w:lastRenderedPageBreak/>
              <w:t>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w:t>
            </w:r>
            <w:r w:rsidRPr="000803AE">
              <w:rPr>
                <w:rFonts w:eastAsia="標楷體" w:hint="eastAsia"/>
                <w:sz w:val="20"/>
                <w:szCs w:val="20"/>
              </w:rPr>
              <w:lastRenderedPageBreak/>
              <w:t>event.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w:t>
            </w:r>
            <w:r w:rsidRPr="000803AE">
              <w:rPr>
                <w:rFonts w:eastAsia="標楷體" w:hint="eastAsia"/>
                <w:sz w:val="20"/>
                <w:szCs w:val="20"/>
              </w:rPr>
              <w:lastRenderedPageBreak/>
              <w:t xml:space="preserve">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lastRenderedPageBreak/>
              <w:t>Halt of trading</w:t>
            </w:r>
          </w:p>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 xml:space="preserve">of the Taiwan Stock Exchange Corporation </w:t>
            </w:r>
            <w:r w:rsidRPr="000803AE">
              <w:rPr>
                <w:rFonts w:eastAsia="標楷體"/>
                <w:kern w:val="0"/>
                <w:sz w:val="20"/>
                <w:szCs w:val="20"/>
              </w:rPr>
              <w:lastRenderedPageBreak/>
              <w:t>Procedures for Verification and Public Disclosure of Material Information of Companies with Listed Securities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lastRenderedPageBreak/>
              <w:t xml:space="preserve">1. Filing of basic information of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Upload the relevant information within the next day of receiving the approval by the competent authority and update the information within one day after any change.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rsidR="003960E2" w:rsidRPr="000803AE" w:rsidRDefault="003960E2" w:rsidP="003960E2">
            <w:pPr>
              <w:pStyle w:val="a3"/>
              <w:snapToGrid w:val="0"/>
              <w:rPr>
                <w:rFonts w:ascii="Times New Roman"/>
                <w:sz w:val="20"/>
                <w:lang w:val="en-US"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Post the relevant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rsidR="003960E2" w:rsidRPr="000803AE" w:rsidRDefault="003960E2" w:rsidP="003960E2">
            <w:pPr>
              <w:pStyle w:val="a3"/>
              <w:snapToGrid w:val="0"/>
              <w:rPr>
                <w:sz w:val="20"/>
                <w:lang w:eastAsia="zh-TW"/>
              </w:rPr>
            </w:pPr>
          </w:p>
          <w:p w:rsidR="003960E2" w:rsidRPr="000803AE" w:rsidRDefault="003960E2" w:rsidP="003960E2">
            <w:pPr>
              <w:pStyle w:val="a3"/>
              <w:snapToGrid w:val="0"/>
              <w:rPr>
                <w:sz w:val="20"/>
                <w:lang w:eastAsia="zh-TW"/>
              </w:rPr>
            </w:pPr>
          </w:p>
          <w:p w:rsidR="003960E2" w:rsidRPr="000803AE" w:rsidRDefault="003960E2" w:rsidP="003960E2">
            <w:pPr>
              <w:pStyle w:val="a3"/>
              <w:snapToGrid w:val="0"/>
              <w:spacing w:beforeLines="40" w:before="144"/>
              <w:rPr>
                <w:sz w:val="20"/>
                <w:lang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lastRenderedPageBreak/>
              <w:t xml:space="preserve">1. </w:t>
            </w:r>
            <w:r w:rsidRPr="000803AE">
              <w:rPr>
                <w:rFonts w:eastAsia="標楷體"/>
                <w:kern w:val="0"/>
                <w:sz w:val="20"/>
                <w:szCs w:val="20"/>
              </w:rPr>
              <w:t>Paragraph 1, Article 57 of the Regulations Governing the Offering and Issuance of Securities by Securities Issuers</w:t>
            </w:r>
          </w:p>
          <w:p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pacing w:val="-4"/>
                <w:sz w:val="20"/>
                <w:szCs w:val="20"/>
              </w:rPr>
            </w:pP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kern w:val="0"/>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lastRenderedPageBreak/>
              <w:t>Paragraph 4, Article 57 of the Regulations Governing the Offering and Issuance of Securities by Securities Issuers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Changes to issue method resolved by the board of directors or shareholders' </w:t>
            </w:r>
            <w:r w:rsidRPr="000803AE">
              <w:rPr>
                <w:rFonts w:eastAsia="標楷體"/>
                <w:sz w:val="20"/>
                <w:szCs w:val="20"/>
              </w:rPr>
              <w:lastRenderedPageBreak/>
              <w:t>meeting</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rsidR="003960E2" w:rsidRPr="000803AE" w:rsidRDefault="003960E2" w:rsidP="003960E2">
            <w:pPr>
              <w:autoSpaceDE w:val="0"/>
              <w:autoSpaceDN w:val="0"/>
              <w:adjustRightInd w:val="0"/>
              <w:snapToGrid w:val="0"/>
              <w:ind w:left="36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effective registration date with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delivery of approval by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issue date of new shares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employees satisfying the vested conditions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redemption or buy-back</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w:t>
            </w:r>
            <w:r w:rsidRPr="000803AE">
              <w:rPr>
                <w:rFonts w:eastAsia="標楷體"/>
                <w:sz w:val="20"/>
                <w:szCs w:val="20"/>
              </w:rPr>
              <w:lastRenderedPageBreak/>
              <w:t xml:space="preserve">employee stock options: </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rsidR="003960E2" w:rsidRPr="000803AE" w:rsidRDefault="003960E2" w:rsidP="003960E2">
            <w:pPr>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Article 59 of the Regulations Governing the Offering and Issuance of Securities by Securities Issuers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2. Letter No. 91-Tai-Tsai-Cheng-1-106134 dated March 25,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rsidR="003960E2" w:rsidRPr="000803AE" w:rsidRDefault="003960E2" w:rsidP="003960E2">
            <w:pPr>
              <w:snapToGrid w:val="0"/>
              <w:ind w:left="100" w:hanging="100"/>
              <w:rPr>
                <w:rFonts w:eastAsia="標楷體"/>
                <w:sz w:val="20"/>
                <w:szCs w:val="20"/>
              </w:rPr>
            </w:pPr>
            <w:r w:rsidRPr="000803AE">
              <w:rPr>
                <w:rFonts w:eastAsia="標楷體"/>
                <w:sz w:val="20"/>
                <w:szCs w:val="20"/>
              </w:rPr>
              <w:t xml:space="preserve">1. Filing of overseas shares, </w:t>
            </w:r>
            <w:r w:rsidRPr="000803AE">
              <w:rPr>
                <w:rFonts w:eastAsia="標楷體"/>
                <w:sz w:val="20"/>
                <w:szCs w:val="20"/>
              </w:rPr>
              <w:lastRenderedPageBreak/>
              <w:t>depositary receipts, or corporate bonds.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w:t>
            </w:r>
            <w:r w:rsidRPr="000803AE">
              <w:rPr>
                <w:rFonts w:ascii="Times New Roman"/>
                <w:lang w:val="en-US" w:eastAsia="zh-TW"/>
              </w:rPr>
              <w:lastRenderedPageBreak/>
              <w:t xml:space="preserve">shall be uploaded within one day following the approval by the competent authorities and be updated upon any changes. </w:t>
            </w: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overseas securities).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Regulations Governing the Offering and </w:t>
            </w:r>
            <w:r w:rsidRPr="000803AE">
              <w:rPr>
                <w:rFonts w:eastAsia="標楷體"/>
                <w:sz w:val="20"/>
                <w:szCs w:val="20"/>
              </w:rPr>
              <w:lastRenderedPageBreak/>
              <w:t>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w:t>
            </w:r>
            <w:r w:rsidRPr="000803AE">
              <w:rPr>
                <w:sz w:val="20"/>
                <w:szCs w:val="20"/>
              </w:rPr>
              <w:lastRenderedPageBreak/>
              <w:t>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rsidR="003960E2" w:rsidRPr="000803AE" w:rsidRDefault="003960E2" w:rsidP="003960E2">
            <w:pPr>
              <w:snapToGrid w:val="0"/>
              <w:ind w:left="200" w:hanging="200"/>
              <w:rPr>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lastRenderedPageBreak/>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sz w:val="20"/>
                <w:szCs w:val="20"/>
              </w:rPr>
              <w:lastRenderedPageBreak/>
              <w:t xml:space="preserve">The information shall be uploaded within 2 days of issuance of the overseas depositary receipts or </w:t>
            </w:r>
            <w:r w:rsidRPr="000803AE">
              <w:rPr>
                <w:sz w:val="20"/>
                <w:szCs w:val="20"/>
              </w:rPr>
              <w:lastRenderedPageBreak/>
              <w:t>shares.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w:t>
            </w:r>
            <w:r w:rsidRPr="000803AE">
              <w:rPr>
                <w:rFonts w:eastAsia="標楷體"/>
                <w:sz w:val="20"/>
                <w:szCs w:val="20"/>
              </w:rPr>
              <w:lastRenderedPageBreak/>
              <w:t xml:space="preserve">the day of occurrence of the event.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overseas securities/overseas depositary receipts/basic information and information on follow-on issues).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Articles 21 and 36 of the Regulations Governing the Offering and Issuance of Overseas Securities by Issuers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 xml:space="preserve">Overseas </w:t>
            </w:r>
            <w:r w:rsidRPr="000803AE">
              <w:rPr>
                <w:rFonts w:eastAsia="標楷體"/>
                <w:sz w:val="20"/>
                <w:szCs w:val="20"/>
              </w:rPr>
              <w:lastRenderedPageBreak/>
              <w:t>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numPr>
                <w:ilvl w:val="0"/>
                <w:numId w:val="171"/>
              </w:numPr>
              <w:kinsoku/>
              <w:wordWrap/>
              <w:overflowPunct/>
              <w:snapToGrid w:val="0"/>
              <w:ind w:firstLineChars="0"/>
              <w:jc w:val="left"/>
            </w:pPr>
            <w:r w:rsidRPr="000803AE">
              <w:lastRenderedPageBreak/>
              <w:t>Regulations Governing Offering and the Issuance of Securities by Securities Issuers</w:t>
            </w:r>
          </w:p>
          <w:p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rsidR="003960E2" w:rsidRPr="000803AE" w:rsidRDefault="003960E2" w:rsidP="003960E2">
            <w:pPr>
              <w:pStyle w:val="22"/>
              <w:numPr>
                <w:ilvl w:val="0"/>
                <w:numId w:val="171"/>
              </w:numPr>
              <w:kinsoku/>
              <w:wordWrap/>
              <w:overflowPunct/>
              <w:snapToGrid w:val="0"/>
              <w:ind w:firstLineChars="0"/>
              <w:jc w:val="left"/>
            </w:pPr>
            <w:r w:rsidRPr="000803AE">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The amount of the corporate bonds issued, the repayment period, the interest rate, and the rules for repayment of the principal.</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File within 2 days of official issuance.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rsidTr="008F3B58">
        <w:tc>
          <w:tcPr>
            <w:tcW w:w="447" w:type="dxa"/>
            <w:vMerge w:val="restart"/>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 xml:space="preserve">the </w:t>
            </w:r>
            <w:r w:rsidRPr="000803AE">
              <w:rPr>
                <w:rFonts w:eastAsia="標楷體" w:hint="eastAsia"/>
                <w:sz w:val="20"/>
                <w:szCs w:val="20"/>
              </w:rPr>
              <w:lastRenderedPageBreak/>
              <w:t>board resolution</w:t>
            </w:r>
            <w:r w:rsidRPr="000803AE">
              <w:rPr>
                <w:rFonts w:eastAsia="標楷體"/>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of the </w:t>
            </w:r>
            <w:r w:rsidRPr="000803AE">
              <w:rPr>
                <w:rFonts w:ascii="Times New Roman" w:eastAsia="標楷體" w:hAnsi="Times New Roman"/>
                <w:sz w:val="20"/>
                <w:lang w:val="en-US" w:eastAsia="zh-TW"/>
              </w:rPr>
              <w:lastRenderedPageBreak/>
              <w:t>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w:t>
            </w:r>
            <w:r w:rsidRPr="000803AE">
              <w:rPr>
                <w:rFonts w:ascii="Times New Roman" w:eastAsia="標楷體" w:hAnsi="Times New Roman"/>
                <w:sz w:val="20"/>
                <w:lang w:val="en-US" w:eastAsia="zh-TW"/>
              </w:rPr>
              <w:lastRenderedPageBreak/>
              <w:t>System (sii.twse.com.tw/filing of basic information of the company/capital stock formation procedure)</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kinsoku/>
              <w:wordWrap/>
              <w:overflowPunct/>
              <w:snapToGrid w:val="0"/>
              <w:ind w:left="43"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w:t>
            </w:r>
            <w:r w:rsidRPr="000803AE">
              <w:lastRenderedPageBreak/>
              <w:t>Exchange Corporation Procedures for Verification and Public Disclosure of Material Information of Companies with Listed Securities</w:t>
            </w:r>
          </w:p>
          <w:p w:rsidR="003960E2" w:rsidRPr="000803AE" w:rsidRDefault="003960E2" w:rsidP="003960E2">
            <w:pPr>
              <w:pStyle w:val="22"/>
              <w:kinsoku/>
              <w:wordWrap/>
              <w:overflowPunct/>
              <w:snapToGrid w:val="0"/>
              <w:ind w:left="0"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 xml:space="preserve">Subparagraph 2, Paragraph 2,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rsidTr="008F3B58">
        <w:tc>
          <w:tcPr>
            <w:tcW w:w="447" w:type="dxa"/>
            <w:vMerge/>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xml:space="preserve">.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w:t>
            </w:r>
            <w:r w:rsidRPr="000803AE">
              <w:rPr>
                <w:rFonts w:ascii="Times New Roman"/>
                <w:color w:val="auto"/>
                <w:sz w:val="20"/>
              </w:rPr>
              <w:lastRenderedPageBreak/>
              <w:t>the suspension of listing or trading of the old share certificates, and commencement of exchange and listing and trading of the new share certificates.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At least 12 business days prior to the commencement of the period of suspension of title transfer of shares.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Report on the announcement of </w:t>
            </w:r>
            <w:r w:rsidRPr="000803AE">
              <w:rPr>
                <w:rFonts w:ascii="Times New Roman" w:hAnsi="Times New Roman"/>
                <w:sz w:val="20"/>
                <w:lang w:val="en-US" w:eastAsia="zh-TW"/>
              </w:rPr>
              <w:t>exchange of new shares due to capital reduction, and the attachments.</w:t>
            </w:r>
          </w:p>
          <w:p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lastRenderedPageBreak/>
              <w:t>Article 165 of the Company Act</w:t>
            </w:r>
          </w:p>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Holding or participating in an investor conference (during the conference, the </w:t>
            </w:r>
            <w:r w:rsidRPr="000803AE">
              <w:rPr>
                <w:rFonts w:ascii="Times New Roman"/>
                <w:color w:val="auto"/>
                <w:sz w:val="20"/>
              </w:rPr>
              <w:lastRenderedPageBreak/>
              <w:t>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lastRenderedPageBreak/>
              <w:t xml:space="preserve">1. </w:t>
            </w:r>
            <w:r w:rsidRPr="000803AE">
              <w:rPr>
                <w:rFonts w:ascii="Times New Roman" w:eastAsia="標楷體" w:hAnsi="Times New Roman"/>
                <w:sz w:val="20"/>
                <w:lang w:val="en-US" w:eastAsia="zh-TW"/>
              </w:rPr>
              <w:t xml:space="preserve">Where the relevant matter is conducted prior to the commencement of </w:t>
            </w:r>
            <w:r w:rsidRPr="000803AE">
              <w:rPr>
                <w:rFonts w:ascii="Times New Roman" w:eastAsia="標楷體" w:hAnsi="Times New Roman"/>
                <w:sz w:val="20"/>
                <w:lang w:val="en-US" w:eastAsia="zh-TW"/>
              </w:rPr>
              <w:lastRenderedPageBreak/>
              <w:t>trading hours on the same day:</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w:t>
            </w:r>
            <w:r w:rsidRPr="000803AE">
              <w:rPr>
                <w:rFonts w:ascii="Times New Roman" w:eastAsia="標楷體" w:hAnsi="Times New Roman" w:hint="eastAsia"/>
                <w:sz w:val="20"/>
                <w:lang w:val="en-US" w:eastAsia="zh-TW"/>
              </w:rPr>
              <w:lastRenderedPageBreak/>
              <w:t>of convening or attending the investor conference at the latest)</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w:t>
            </w:r>
            <w:r w:rsidRPr="000803AE">
              <w:rPr>
                <w:rFonts w:ascii="Times New Roman" w:eastAsia="標楷體" w:hAnsi="Times New Roman" w:hint="eastAsia"/>
                <w:sz w:val="20"/>
                <w:lang w:val="en-US" w:eastAsia="zh-TW"/>
              </w:rPr>
              <w:lastRenderedPageBreak/>
              <w:t>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rsidR="003960E2" w:rsidRPr="000803AE" w:rsidRDefault="003960E2" w:rsidP="003960E2">
            <w:pPr>
              <w:kinsoku w:val="0"/>
              <w:overflowPunct w:val="0"/>
              <w:snapToGrid w:val="0"/>
              <w:rPr>
                <w:rFonts w:eastAsia="標楷體"/>
                <w:sz w:val="20"/>
                <w:szCs w:val="20"/>
              </w:rPr>
            </w:pPr>
          </w:p>
          <w:p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rsidR="003960E2" w:rsidRPr="00D915D6"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disclosure of corporate governance </w:t>
            </w:r>
            <w:r w:rsidRPr="000803AE">
              <w:rPr>
                <w:rFonts w:eastAsia="標楷體"/>
                <w:sz w:val="20"/>
                <w:szCs w:val="20"/>
              </w:rPr>
              <w:lastRenderedPageBreak/>
              <w:t>information/filing of holding of the investor conference) to be publicly announced as material information.</w:t>
            </w:r>
          </w:p>
          <w:p w:rsidR="003960E2" w:rsidRPr="000803AE" w:rsidRDefault="003960E2" w:rsidP="003960E2">
            <w:pPr>
              <w:kinsoku w:val="0"/>
              <w:overflowPunct w:val="0"/>
              <w:snapToGrid w:val="0"/>
              <w:ind w:left="1"/>
              <w:rPr>
                <w:rFonts w:eastAsia="標楷體"/>
                <w:sz w:val="20"/>
                <w:szCs w:val="20"/>
              </w:rPr>
            </w:pPr>
          </w:p>
          <w:p w:rsidR="003960E2"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xml:space="preserve">; those who are invited to attend an investor conference shall select at </w:t>
            </w:r>
            <w:r w:rsidRPr="00E200D8">
              <w:rPr>
                <w:rFonts w:eastAsia="標楷體"/>
                <w:sz w:val="20"/>
              </w:rPr>
              <w:lastRenderedPageBreak/>
              <w:t>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lastRenderedPageBreak/>
              <w:t xml:space="preserve">Subparagraph 14, Paragraph 2, Article 3 of </w:t>
            </w:r>
            <w:r w:rsidRPr="000803AE">
              <w:rPr>
                <w:rFonts w:ascii="Times New Roman"/>
                <w:color w:val="auto"/>
                <w:sz w:val="20"/>
              </w:rPr>
              <w:t xml:space="preserve">Taiwan Stock Exchange Corporation Rules Governing Information Reporting </w:t>
            </w:r>
            <w:r w:rsidRPr="000803AE">
              <w:rPr>
                <w:rFonts w:ascii="Times New Roman"/>
                <w:color w:val="auto"/>
                <w:sz w:val="20"/>
              </w:rPr>
              <w:lastRenderedPageBreak/>
              <w:t>by Companies with Listed Securities and Offshore Fund Institutions with Listed Offshore Exchange-Traded Funds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rsidR="003960E2" w:rsidRPr="000803AE" w:rsidRDefault="003960E2" w:rsidP="003960E2">
            <w:pPr>
              <w:pStyle w:val="a3"/>
              <w:snapToGrid w:val="0"/>
              <w:ind w:left="92" w:hanging="92"/>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rsidR="003960E2" w:rsidRPr="000803AE" w:rsidRDefault="003960E2" w:rsidP="003960E2">
            <w:pPr>
              <w:snapToGrid w:val="0"/>
              <w:rPr>
                <w:rFonts w:eastAsia="標楷體"/>
                <w:sz w:val="20"/>
                <w:szCs w:val="20"/>
              </w:rPr>
            </w:pPr>
            <w:r w:rsidRPr="000803AE">
              <w:rPr>
                <w:rFonts w:eastAsia="標楷體"/>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the setting of the private </w:t>
            </w:r>
            <w:r w:rsidRPr="000803AE">
              <w:rPr>
                <w:rFonts w:eastAsia="標楷體"/>
                <w:sz w:val="20"/>
                <w:szCs w:val="20"/>
              </w:rPr>
              <w:lastRenderedPageBreak/>
              <w:t>placement price.</w:t>
            </w:r>
          </w:p>
          <w:p w:rsidR="003960E2" w:rsidRPr="000803AE" w:rsidRDefault="003960E2" w:rsidP="003960E2">
            <w:pPr>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2 days of setting of the actual private placement </w:t>
            </w:r>
            <w:r w:rsidRPr="000803AE">
              <w:rPr>
                <w:rFonts w:ascii="Times New Roman" w:eastAsia="標楷體" w:hAnsi="Times New Roman"/>
                <w:sz w:val="20"/>
                <w:lang w:val="en-US" w:eastAsia="zh-TW"/>
              </w:rPr>
              <w:lastRenderedPageBreak/>
              <w:t>price).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5"/>
              <w:tabs>
                <w:tab w:val="clear" w:pos="4153"/>
                <w:tab w:val="clear" w:pos="8306"/>
              </w:tabs>
              <w:kinsoku w:val="0"/>
              <w:overflowPunct w:val="0"/>
              <w:ind w:left="36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 xml:space="preserve">2. Announcement of the adjustment of duties due to the non-qualification of </w:t>
            </w:r>
            <w:r w:rsidRPr="000803AE">
              <w:rPr>
                <w:rFonts w:ascii="Times New Roman"/>
                <w:color w:val="auto"/>
                <w:sz w:val="20"/>
              </w:rPr>
              <w:lastRenderedPageBreak/>
              <w:t>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 xml:space="preserve">announcement of the </w:t>
            </w:r>
            <w:r w:rsidRPr="000803AE">
              <w:rPr>
                <w:sz w:val="20"/>
                <w:szCs w:val="20"/>
              </w:rPr>
              <w:lastRenderedPageBreak/>
              <w:t>adjustment of duties of the accounting officers who does not meet the qualification requirements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lastRenderedPageBreak/>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rsidR="003960E2" w:rsidRPr="000803AE" w:rsidRDefault="003960E2" w:rsidP="003960E2">
            <w:pPr>
              <w:pStyle w:val="a5"/>
              <w:tabs>
                <w:tab w:val="clear" w:pos="4153"/>
                <w:tab w:val="clear" w:pos="8306"/>
              </w:tabs>
              <w:kinsoku w:val="0"/>
              <w:overflowPunct w:val="0"/>
              <w:rPr>
                <w:rFonts w:eastAsia="標楷體"/>
                <w:lang w:val="it-IT"/>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lastRenderedPageBreak/>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rPr>
                <w:sz w:val="20"/>
                <w:szCs w:val="20"/>
              </w:rPr>
            </w:pPr>
          </w:p>
          <w:p w:rsidR="003960E2"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0C0CBB" w:rsidP="003960E2">
            <w:pPr>
              <w:snapToGrid w:val="0"/>
              <w:ind w:leftChars="42" w:left="101"/>
              <w:rPr>
                <w:rFonts w:eastAsia="標楷體"/>
                <w:sz w:val="20"/>
                <w:szCs w:val="20"/>
              </w:rPr>
            </w:pPr>
            <w:r>
              <w:rPr>
                <w:sz w:val="20"/>
                <w:szCs w:val="20"/>
              </w:rPr>
              <w:t>4</w:t>
            </w:r>
            <w:r w:rsidR="003960E2"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w:t>
            </w:r>
            <w:r w:rsidRPr="000803AE">
              <w:rPr>
                <w:rFonts w:ascii="Times New Roman" w:eastAsia="標楷體" w:hAnsi="Times New Roman"/>
                <w:sz w:val="20"/>
                <w:lang w:val="en-US" w:eastAsia="zh-TW"/>
              </w:rPr>
              <w:lastRenderedPageBreak/>
              <w:t xml:space="preserve">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F12FD7" w:rsidP="00F565C0">
            <w:pPr>
              <w:pStyle w:val="a5"/>
              <w:rPr>
                <w:rFonts w:eastAsia="標楷體"/>
              </w:rPr>
            </w:pPr>
            <w:r w:rsidRPr="00DA7938">
              <w:rPr>
                <w:rFonts w:eastAsia="標楷體"/>
                <w:color w:val="FF0000"/>
              </w:rPr>
              <w:t>B</w:t>
            </w:r>
            <w:r w:rsidR="00F565C0" w:rsidRPr="00DA7938">
              <w:rPr>
                <w:rFonts w:eastAsia="標楷體"/>
                <w:color w:val="FF0000"/>
              </w:rPr>
              <w:t>efore January 10 each year</w:t>
            </w:r>
            <w:r w:rsidR="003960E2" w:rsidRPr="00DA7938">
              <w:rPr>
                <w:rFonts w:eastAsia="標楷體"/>
                <w:color w:val="FF000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sz w:val="20"/>
                <w:szCs w:val="20"/>
              </w:rPr>
              <w:lastRenderedPageBreak/>
              <w:t>Subparagraph 20, Paragraph 2,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lastRenderedPageBreak/>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of the change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rPr>
                <w:rFonts w:eastAsia="標楷體"/>
              </w:rPr>
            </w:pPr>
            <w:r w:rsidRPr="000803AE">
              <w:rPr>
                <w:rFonts w:eastAsia="標楷體"/>
              </w:rPr>
              <w:lastRenderedPageBreak/>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FA4F46"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4000AF">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r w:rsidR="008F07A8">
              <w:rPr>
                <w:rFonts w:eastAsia="標楷體" w:hint="eastAsia"/>
                <w:sz w:val="20"/>
                <w:szCs w:val="20"/>
              </w:rPr>
              <w:t>,</w:t>
            </w:r>
            <w:r w:rsidR="008F07A8">
              <w:rPr>
                <w:rFonts w:eastAsia="標楷體"/>
                <w:sz w:val="20"/>
                <w:szCs w:val="20"/>
              </w:rPr>
              <w:t xml:space="preserve"> a</w:t>
            </w:r>
            <w:r w:rsidR="00FA4F46">
              <w:rPr>
                <w:rFonts w:eastAsia="標楷體"/>
                <w:sz w:val="20"/>
                <w:szCs w:val="20"/>
              </w:rPr>
              <w:t>n</w:t>
            </w:r>
            <w:r w:rsidR="008F07A8">
              <w:rPr>
                <w:rFonts w:eastAsia="標楷體"/>
                <w:sz w:val="20"/>
                <w:szCs w:val="20"/>
              </w:rPr>
              <w:t>d</w:t>
            </w:r>
            <w:r w:rsidR="008F07A8" w:rsidRPr="008F07A8">
              <w:rPr>
                <w:rFonts w:eastAsia="標楷體"/>
                <w:sz w:val="20"/>
                <w:szCs w:val="20"/>
              </w:rPr>
              <w:t xml:space="preserve"> the</w:t>
            </w:r>
            <w:r w:rsidR="00823D9F" w:rsidRPr="000803AE">
              <w:rPr>
                <w:rFonts w:eastAsia="標楷體"/>
                <w:sz w:val="20"/>
                <w:szCs w:val="20"/>
              </w:rPr>
              <w:t xml:space="preserve"> relevant</w:t>
            </w:r>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r w:rsidR="00F80D19" w:rsidRPr="00C15645">
              <w:rPr>
                <w:rFonts w:eastAsia="標楷體"/>
                <w:sz w:val="20"/>
                <w:szCs w:val="20"/>
              </w:rPr>
              <w:t>the</w:t>
            </w:r>
            <w:r w:rsidR="00F80D19">
              <w:rPr>
                <w:rFonts w:eastAsia="標楷體"/>
                <w:sz w:val="20"/>
                <w:szCs w:val="20"/>
              </w:rPr>
              <w:t xml:space="preserve"> </w:t>
            </w:r>
            <w:r w:rsidR="00D4734F" w:rsidRPr="000803AE">
              <w:rPr>
                <w:rFonts w:eastAsia="標楷體" w:hint="eastAsia"/>
                <w:sz w:val="20"/>
                <w:szCs w:val="20"/>
              </w:rPr>
              <w:t>corporate governance officer</w:t>
            </w:r>
            <w:r w:rsidR="008F07A8" w:rsidRPr="000803AE">
              <w:rPr>
                <w:rFonts w:eastAsia="標楷體"/>
                <w:sz w:val="20"/>
                <w:szCs w:val="20"/>
              </w:rPr>
              <w:t xml:space="preserve"> shall be uploaded</w:t>
            </w:r>
            <w:r w:rsidR="008F07A8" w:rsidRPr="008F07A8">
              <w:rPr>
                <w:rFonts w:eastAsia="標楷體"/>
                <w:sz w:val="20"/>
                <w:szCs w:val="20"/>
              </w:rPr>
              <w:t xml:space="preserve"> and confirm</w:t>
            </w:r>
            <w:r w:rsidR="004F1FEF">
              <w:rPr>
                <w:rFonts w:eastAsia="標楷體"/>
                <w:sz w:val="20"/>
                <w:szCs w:val="20"/>
              </w:rPr>
              <w:t>ed</w:t>
            </w:r>
            <w:r w:rsidRPr="000803AE">
              <w:rPr>
                <w:rFonts w:eastAsia="標楷體"/>
                <w:sz w:val="20"/>
                <w:szCs w:val="20"/>
              </w:rPr>
              <w:t>.</w:t>
            </w: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3960E2" w:rsidRPr="000803AE" w:rsidRDefault="003960E2" w:rsidP="004000AF">
            <w:pPr>
              <w:kinsoku w:val="0"/>
              <w:overflowPunct w:val="0"/>
              <w:snapToGrid w:val="0"/>
              <w:rPr>
                <w:rFonts w:eastAsia="標楷體"/>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sz w:val="20"/>
                <w:szCs w:val="20"/>
              </w:rPr>
            </w:pPr>
            <w:r w:rsidRPr="000803AE">
              <w:rPr>
                <w:sz w:val="20"/>
                <w:szCs w:val="20"/>
              </w:rPr>
              <w:t xml:space="preserve">Correction of or supplementation to the financial report: If there is any matter that is required to be corrected or supplemented in the CPA-audited (or reviewed) financial report publicly announced and reported by a listed company, such matter shall be made public </w:t>
            </w:r>
            <w:r w:rsidRPr="000803AE">
              <w:rPr>
                <w:sz w:val="20"/>
                <w:szCs w:val="20"/>
              </w:rPr>
              <w:lastRenderedPageBreak/>
              <w:t>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lastRenderedPageBreak/>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rsidTr="005172AF">
        <w:tc>
          <w:tcPr>
            <w:tcW w:w="447" w:type="dxa"/>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11, Paragraph 2, Article 3 of 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aggregate number of shares repurchased by the </w:t>
            </w:r>
            <w:r w:rsidRPr="000803AE">
              <w:rPr>
                <w:rFonts w:ascii="Times New Roman" w:eastAsia="標楷體" w:hAnsi="Times New Roman"/>
                <w:sz w:val="20"/>
                <w:lang w:val="en-US" w:eastAsia="zh-TW"/>
              </w:rPr>
              <w:lastRenderedPageBreak/>
              <w:t>company has reached 2% of the company's paid-in capital or NTD300</w:t>
            </w:r>
            <w:proofErr w:type="gramStart"/>
            <w:r w:rsidRPr="000803AE">
              <w:rPr>
                <w:rFonts w:ascii="Times New Roman" w:eastAsia="標楷體" w:hAnsi="Times New Roman"/>
                <w:sz w:val="20"/>
                <w:lang w:val="en-US" w:eastAsia="zh-TW"/>
              </w:rPr>
              <w:t>,000,000</w:t>
            </w:r>
            <w:proofErr w:type="gramEnd"/>
            <w:r w:rsidRPr="000803AE">
              <w:rPr>
                <w:rFonts w:ascii="Times New Roman" w:eastAsia="標楷體" w:hAnsi="Times New Roman"/>
                <w:sz w:val="20"/>
                <w:lang w:val="en-US" w:eastAsia="zh-TW"/>
              </w:rPr>
              <w:t xml:space="preserve">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(sii.twse.com.tw/filing of treasury stocks/filing of treasury stocks </w:t>
            </w:r>
            <w:r w:rsidRPr="000803AE">
              <w:rPr>
                <w:rFonts w:ascii="Times New Roman" w:eastAsia="標楷體" w:hAnsi="Times New Roman" w:cs="Times New Roman"/>
                <w:color w:val="auto"/>
                <w:sz w:val="20"/>
                <w:szCs w:val="20"/>
              </w:rPr>
              <w:lastRenderedPageBreak/>
              <w:t>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560"/>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3168"/>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sz w:val="20"/>
                <w:szCs w:val="20"/>
              </w:rPr>
            </w:pPr>
            <w:r w:rsidRPr="000803AE">
              <w:rPr>
                <w:sz w:val="20"/>
                <w:szCs w:val="20"/>
              </w:rPr>
              <w:t>Information of accounting changes</w:t>
            </w:r>
          </w:p>
          <w:p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w:t>
            </w:r>
            <w:r w:rsidRPr="000803AE">
              <w:rPr>
                <w:rFonts w:ascii="Times New Roman" w:eastAsia="標楷體" w:hAnsi="Times New Roman"/>
                <w:sz w:val="20"/>
                <w:lang w:val="en-US" w:eastAsia="zh-TW"/>
              </w:rPr>
              <w:lastRenderedPageBreak/>
              <w:t>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w:t>
            </w:r>
            <w:r w:rsidRPr="000803AE">
              <w:rPr>
                <w:rFonts w:ascii="Times New Roman" w:eastAsia="標楷體" w:hAnsi="Times New Roman" w:cs="Times New Roman" w:hint="eastAsia"/>
                <w:color w:val="auto"/>
                <w:sz w:val="20"/>
                <w:szCs w:val="20"/>
              </w:rPr>
              <w:lastRenderedPageBreak/>
              <w:t>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lastRenderedPageBreak/>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w:t>
            </w:r>
            <w:r w:rsidRPr="000803AE">
              <w:rPr>
                <w:rFonts w:eastAsia="標楷體" w:hint="eastAsia"/>
                <w:sz w:val="20"/>
                <w:szCs w:val="20"/>
              </w:rPr>
              <w:lastRenderedPageBreak/>
              <w:t>Futures Commission Merchants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rsidR="003960E2" w:rsidRPr="000803AE" w:rsidRDefault="003960E2" w:rsidP="003960E2">
            <w:pPr>
              <w:kinsoku w:val="0"/>
              <w:overflowPunct w:val="0"/>
              <w:snapToGrid w:val="0"/>
              <w:ind w:left="285"/>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 xml:space="preserve">pplication for resuming trading after ownership change and material change in business scope leading to suspension </w:t>
            </w:r>
            <w:r w:rsidRPr="000803AE">
              <w:rPr>
                <w:sz w:val="20"/>
                <w:szCs w:val="20"/>
              </w:rPr>
              <w:lastRenderedPageBreak/>
              <w:t>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rsidR="003960E2" w:rsidRPr="000803AE" w:rsidRDefault="003960E2" w:rsidP="003960E2">
            <w:pPr>
              <w:pStyle w:val="a3"/>
              <w:snapToGrid w:val="0"/>
              <w:rPr>
                <w:rFonts w:ascii="Times New Roman" w:hAnsi="Times New Roman"/>
                <w:sz w:val="20"/>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lastRenderedPageBreak/>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I</w:t>
            </w:r>
            <w:r w:rsidRPr="000803AE">
              <w:rPr>
                <w:rFonts w:ascii="Times New Roman" w:eastAsia="標楷體" w:hAnsi="Times New Roman" w:hint="eastAsia"/>
                <w:sz w:val="20"/>
                <w:lang w:val="en-US" w:eastAsia="zh-TW"/>
              </w:rPr>
              <w:t xml:space="preserve">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w:t>
            </w:r>
            <w:r w:rsidRPr="000803AE">
              <w:rPr>
                <w:rFonts w:ascii="Times New Roman" w:eastAsia="標楷體" w:hAnsi="Times New Roman" w:hint="eastAsia"/>
                <w:sz w:val="20"/>
                <w:lang w:val="en-US" w:eastAsia="zh-TW"/>
              </w:rPr>
              <w:lastRenderedPageBreak/>
              <w:t>approves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Appointment by primary listed companies of its litigious and non-litigious agent in the Republic of </w:t>
            </w:r>
            <w:r w:rsidRPr="000803AE">
              <w:rPr>
                <w:rFonts w:eastAsia="標楷體"/>
                <w:sz w:val="20"/>
                <w:szCs w:val="20"/>
              </w:rPr>
              <w:lastRenderedPageBreak/>
              <w:t>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lastRenderedPageBreak/>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 xml:space="preserve">s are </w:t>
            </w:r>
            <w:r w:rsidRPr="000803AE">
              <w:rPr>
                <w:rFonts w:ascii="Times New Roman" w:eastAsia="標楷體" w:hAnsi="Times New Roman"/>
                <w:kern w:val="0"/>
                <w:sz w:val="20"/>
                <w:lang w:eastAsia="zh-TW"/>
              </w:rPr>
              <w:lastRenderedPageBreak/>
              <w:t>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lastRenderedPageBreak/>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rFonts w:eastAsia="標楷體"/>
                <w:sz w:val="20"/>
                <w:szCs w:val="20"/>
              </w:rPr>
            </w:pPr>
            <w:r w:rsidRPr="000803AE">
              <w:rPr>
                <w:rFonts w:eastAsia="標楷體"/>
                <w:sz w:val="20"/>
                <w:szCs w:val="20"/>
              </w:rPr>
              <w:lastRenderedPageBreak/>
              <w:t>Article 165-3 of the Securities and Exchange Act</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D528A" w:rsidRDefault="003960E2" w:rsidP="009E1DA5">
            <w:pPr>
              <w:pStyle w:val="a3"/>
              <w:snapToGrid w:val="0"/>
              <w:rPr>
                <w:rFonts w:ascii="Times New Roman" w:eastAsia="標楷體" w:hAnsi="Times New Roman"/>
                <w:color w:val="333333"/>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r w:rsidR="00375139"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75139" w:rsidRPr="000803AE" w:rsidRDefault="00375139" w:rsidP="00375139">
            <w:pPr>
              <w:kinsoku w:val="0"/>
              <w:overflowPunct w:val="0"/>
              <w:snapToGrid w:val="0"/>
              <w:jc w:val="center"/>
              <w:rPr>
                <w:rFonts w:eastAsia="標楷體"/>
                <w:sz w:val="20"/>
                <w:szCs w:val="20"/>
              </w:rPr>
            </w:pPr>
            <w:r>
              <w:rPr>
                <w:rFonts w:eastAsia="標楷體" w:hint="eastAsia"/>
                <w:sz w:val="20"/>
                <w:szCs w:val="20"/>
              </w:rPr>
              <w:t>5</w:t>
            </w:r>
            <w:r>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75139" w:rsidRPr="00DC55F5" w:rsidRDefault="00375139" w:rsidP="00375139">
            <w:pPr>
              <w:spacing w:line="260" w:lineRule="exact"/>
              <w:ind w:left="2"/>
              <w:jc w:val="both"/>
              <w:rPr>
                <w:rFonts w:eastAsia="標楷體"/>
                <w:sz w:val="20"/>
                <w:szCs w:val="20"/>
              </w:rPr>
            </w:pPr>
            <w:r w:rsidRPr="00375139">
              <w:rPr>
                <w:rFonts w:eastAsia="標楷體"/>
                <w:sz w:val="20"/>
                <w:szCs w:val="20"/>
              </w:rPr>
              <w:t>Amendments to the</w:t>
            </w:r>
            <w:r>
              <w:rPr>
                <w:rFonts w:eastAsia="標楷體"/>
                <w:sz w:val="20"/>
                <w:szCs w:val="20"/>
              </w:rPr>
              <w:t xml:space="preserve"> i</w:t>
            </w:r>
            <w:r w:rsidRPr="00375139">
              <w:rPr>
                <w:rFonts w:eastAsia="標楷體"/>
                <w:sz w:val="20"/>
                <w:szCs w:val="20"/>
              </w:rPr>
              <w:t>nternal control statement</w:t>
            </w:r>
            <w:r>
              <w:rPr>
                <w:rFonts w:eastAsia="標楷體"/>
                <w:sz w:val="20"/>
                <w:szCs w:val="20"/>
              </w:rPr>
              <w:t>:</w:t>
            </w:r>
          </w:p>
          <w:p w:rsidR="00375139" w:rsidRDefault="0038501E" w:rsidP="006F699C">
            <w:pPr>
              <w:pStyle w:val="a3"/>
              <w:numPr>
                <w:ilvl w:val="0"/>
                <w:numId w:val="483"/>
              </w:numPr>
              <w:snapToGrid w:val="0"/>
              <w:rPr>
                <w:rFonts w:eastAsia="標楷體"/>
                <w:sz w:val="20"/>
              </w:rPr>
            </w:pPr>
            <w:r w:rsidRPr="0038501E">
              <w:rPr>
                <w:rFonts w:ascii="Times New Roman" w:eastAsia="標楷體" w:hAnsi="Times New Roman"/>
                <w:sz w:val="20"/>
                <w:lang w:val="en-US" w:eastAsia="zh-TW"/>
              </w:rPr>
              <w:t>Public</w:t>
            </w:r>
            <w:r>
              <w:rPr>
                <w:rFonts w:ascii="Times New Roman" w:eastAsia="標楷體" w:hAnsi="Times New Roman"/>
                <w:sz w:val="20"/>
                <w:lang w:val="en-US" w:eastAsia="zh-TW"/>
              </w:rPr>
              <w:t xml:space="preserve"> a</w:t>
            </w:r>
            <w:r w:rsidRPr="0038501E">
              <w:rPr>
                <w:rFonts w:ascii="Times New Roman" w:eastAsia="標楷體" w:hAnsi="Times New Roman"/>
                <w:sz w:val="20"/>
                <w:lang w:val="en-US" w:eastAsia="zh-TW"/>
              </w:rPr>
              <w:t>nnouncement</w:t>
            </w:r>
            <w:r>
              <w:rPr>
                <w:rFonts w:ascii="Times New Roman" w:eastAsia="標楷體" w:hAnsi="Times New Roman"/>
                <w:sz w:val="20"/>
                <w:lang w:val="en-US" w:eastAsia="zh-TW"/>
              </w:rPr>
              <w:t xml:space="preserve"> and </w:t>
            </w:r>
            <w:r w:rsidR="00DA1853">
              <w:rPr>
                <w:rFonts w:ascii="Times New Roman" w:eastAsia="標楷體" w:hAnsi="Times New Roman"/>
                <w:sz w:val="20"/>
                <w:lang w:val="en-US" w:eastAsia="zh-TW"/>
              </w:rPr>
              <w:t>filing</w:t>
            </w:r>
            <w:r w:rsidRPr="0038501E">
              <w:rPr>
                <w:rFonts w:ascii="Times New Roman" w:eastAsia="標楷體" w:hAnsi="Times New Roman"/>
                <w:sz w:val="20"/>
                <w:lang w:val="en-US" w:eastAsia="zh-TW"/>
              </w:rPr>
              <w:t xml:space="preserve"> of the reasons for and contents of the amendment to the </w:t>
            </w:r>
            <w:r w:rsidR="00AD094A" w:rsidRPr="00AD094A">
              <w:rPr>
                <w:rFonts w:ascii="Times New Roman" w:eastAsia="標楷體" w:hAnsi="Times New Roman"/>
                <w:sz w:val="20"/>
                <w:lang w:val="en-US" w:eastAsia="zh-TW"/>
              </w:rPr>
              <w:t>internal control statement</w:t>
            </w:r>
            <w:r w:rsidRPr="0038501E">
              <w:rPr>
                <w:rFonts w:ascii="Times New Roman" w:eastAsia="標楷體" w:hAnsi="Times New Roman"/>
                <w:sz w:val="20"/>
                <w:lang w:val="en-US" w:eastAsia="zh-TW"/>
              </w:rPr>
              <w:t>.</w:t>
            </w:r>
          </w:p>
          <w:p w:rsidR="00397392" w:rsidRDefault="00397392" w:rsidP="006F699C">
            <w:pPr>
              <w:pStyle w:val="a3"/>
              <w:snapToGrid w:val="0"/>
              <w:rPr>
                <w:rFonts w:eastAsia="標楷體"/>
                <w:sz w:val="20"/>
              </w:rPr>
            </w:pPr>
          </w:p>
          <w:p w:rsidR="00397392" w:rsidRPr="00AD094A" w:rsidRDefault="00397392" w:rsidP="006F699C">
            <w:pPr>
              <w:pStyle w:val="a3"/>
              <w:snapToGrid w:val="0"/>
              <w:rPr>
                <w:rFonts w:eastAsia="標楷體"/>
                <w:sz w:val="20"/>
              </w:rPr>
            </w:pPr>
          </w:p>
          <w:p w:rsidR="00375139" w:rsidRPr="00AD094A" w:rsidRDefault="00AD094A" w:rsidP="00397392">
            <w:pPr>
              <w:pStyle w:val="a3"/>
              <w:numPr>
                <w:ilvl w:val="0"/>
                <w:numId w:val="483"/>
              </w:numPr>
              <w:snapToGrid w:val="0"/>
              <w:rPr>
                <w:rFonts w:ascii="Times New Roman" w:eastAsia="標楷體" w:hAnsi="Times New Roman"/>
                <w:sz w:val="20"/>
                <w:lang w:val="en-US" w:eastAsia="zh-TW"/>
              </w:rPr>
            </w:pPr>
            <w:r w:rsidRPr="00AD094A">
              <w:rPr>
                <w:rFonts w:ascii="Times New Roman" w:eastAsia="標楷體" w:hAnsi="Times New Roman"/>
                <w:sz w:val="20"/>
                <w:lang w:val="en-US" w:eastAsia="zh-TW"/>
              </w:rPr>
              <w:t>Upload the amended internal control statement.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pStyle w:val="a3"/>
              <w:spacing w:line="260" w:lineRule="exact"/>
              <w:jc w:val="both"/>
              <w:rPr>
                <w:rFonts w:ascii="Times New Roman" w:eastAsia="標楷體" w:hAnsi="Times New Roman"/>
                <w:sz w:val="20"/>
              </w:rPr>
            </w:pPr>
          </w:p>
          <w:p w:rsidR="00934006" w:rsidRDefault="00934006" w:rsidP="00375139">
            <w:pPr>
              <w:pStyle w:val="a3"/>
              <w:spacing w:line="260" w:lineRule="exact"/>
              <w:jc w:val="both"/>
              <w:rPr>
                <w:rFonts w:ascii="Times New Roman" w:eastAsia="標楷體" w:hAnsi="Times New Roman"/>
                <w:sz w:val="20"/>
              </w:rPr>
            </w:pPr>
          </w:p>
          <w:p w:rsidR="00934006" w:rsidRDefault="00C27265" w:rsidP="006F699C">
            <w:pPr>
              <w:pStyle w:val="a3"/>
              <w:numPr>
                <w:ilvl w:val="0"/>
                <w:numId w:val="484"/>
              </w:numPr>
              <w:snapToGrid w:val="0"/>
              <w:rPr>
                <w:rFonts w:ascii="Times New Roman" w:eastAsia="標楷體" w:hAnsi="Times New Roman"/>
                <w:sz w:val="20"/>
              </w:rPr>
            </w:pPr>
            <w:r>
              <w:rPr>
                <w:rFonts w:ascii="Times New Roman" w:eastAsia="標楷體" w:hAnsi="Times New Roman"/>
                <w:sz w:val="20"/>
              </w:rPr>
              <w:t>W</w:t>
            </w:r>
            <w:r w:rsidR="002154C9" w:rsidRPr="00DA1853">
              <w:rPr>
                <w:rFonts w:ascii="Times New Roman" w:eastAsia="標楷體" w:hAnsi="Times New Roman"/>
                <w:sz w:val="20"/>
              </w:rPr>
              <w:t>ithin</w:t>
            </w:r>
            <w:r w:rsidR="002154C9">
              <w:rPr>
                <w:rFonts w:ascii="Times New Roman" w:eastAsia="標楷體" w:hAnsi="Times New Roman"/>
                <w:sz w:val="20"/>
              </w:rPr>
              <w:t xml:space="preserve"> 2 hours prior to the</w:t>
            </w:r>
            <w:r>
              <w:rPr>
                <w:rFonts w:ascii="Times New Roman" w:eastAsia="標楷體" w:hAnsi="Times New Roman"/>
                <w:sz w:val="20"/>
              </w:rPr>
              <w:t xml:space="preserve"> </w:t>
            </w:r>
            <w:r w:rsidR="00A051AB" w:rsidRPr="00A051AB">
              <w:rPr>
                <w:rFonts w:ascii="Times New Roman" w:eastAsia="標楷體" w:hAnsi="Times New Roman"/>
                <w:sz w:val="20"/>
              </w:rPr>
              <w:t>commencement of trading hours of the next business day fol</w:t>
            </w:r>
            <w:r w:rsidR="00A051AB">
              <w:rPr>
                <w:rFonts w:ascii="Times New Roman" w:eastAsia="標楷體" w:hAnsi="Times New Roman"/>
                <w:sz w:val="20"/>
              </w:rPr>
              <w:t>lowing the board resolution day</w:t>
            </w:r>
            <w:r w:rsidR="00934006" w:rsidRPr="00934006">
              <w:rPr>
                <w:rFonts w:ascii="Times New Roman" w:eastAsia="標楷體" w:hAnsi="Times New Roman"/>
                <w:sz w:val="20"/>
              </w:rPr>
              <w:t>.</w:t>
            </w:r>
          </w:p>
          <w:p w:rsidR="00934006" w:rsidRDefault="00934006" w:rsidP="006F699C">
            <w:pPr>
              <w:pStyle w:val="a3"/>
              <w:snapToGrid w:val="0"/>
              <w:ind w:left="360"/>
              <w:rPr>
                <w:rFonts w:ascii="Times New Roman" w:eastAsia="標楷體" w:hAnsi="Times New Roman"/>
                <w:sz w:val="20"/>
              </w:rPr>
            </w:pPr>
          </w:p>
          <w:p w:rsidR="00F43486" w:rsidRDefault="00F43486" w:rsidP="006F699C">
            <w:pPr>
              <w:pStyle w:val="a3"/>
              <w:snapToGrid w:val="0"/>
              <w:ind w:left="360"/>
              <w:rPr>
                <w:rFonts w:ascii="Times New Roman" w:eastAsia="標楷體" w:hAnsi="Times New Roman"/>
                <w:sz w:val="20"/>
              </w:rPr>
            </w:pPr>
          </w:p>
          <w:p w:rsidR="00375139" w:rsidRPr="00397392" w:rsidRDefault="00C27265" w:rsidP="006F699C">
            <w:pPr>
              <w:pStyle w:val="a3"/>
              <w:numPr>
                <w:ilvl w:val="0"/>
                <w:numId w:val="484"/>
              </w:numPr>
              <w:snapToGrid w:val="0"/>
              <w:rPr>
                <w:rFonts w:ascii="Times New Roman" w:eastAsia="標楷體" w:hAnsi="Times New Roman"/>
                <w:kern w:val="0"/>
                <w:sz w:val="20"/>
                <w:lang w:val="en-US" w:eastAsia="zh-TW"/>
              </w:rPr>
            </w:pPr>
            <w:r>
              <w:rPr>
                <w:rFonts w:ascii="Times New Roman" w:eastAsia="標楷體" w:hAnsi="Times New Roman"/>
                <w:sz w:val="20"/>
              </w:rPr>
              <w:t>W</w:t>
            </w:r>
            <w:r w:rsidR="00DA1853" w:rsidRPr="00DA1853">
              <w:rPr>
                <w:rFonts w:ascii="Times New Roman" w:eastAsia="標楷體" w:hAnsi="Times New Roman"/>
                <w:sz w:val="20"/>
              </w:rPr>
              <w:t xml:space="preserve">ithin 2 days </w:t>
            </w:r>
            <w:r w:rsidR="00261F51">
              <w:rPr>
                <w:rFonts w:ascii="Times New Roman" w:eastAsia="標楷體" w:hAnsi="Times New Roman"/>
                <w:sz w:val="20"/>
              </w:rPr>
              <w:t>of</w:t>
            </w:r>
            <w:r w:rsidR="00DA1853" w:rsidRPr="00DA1853">
              <w:rPr>
                <w:rFonts w:ascii="Times New Roman" w:eastAsia="標楷體" w:hAnsi="Times New Roman"/>
                <w:sz w:val="20"/>
              </w:rPr>
              <w:t xml:space="preserve"> the </w:t>
            </w:r>
            <w:r>
              <w:rPr>
                <w:rFonts w:ascii="Times New Roman" w:eastAsia="標楷體" w:hAnsi="Times New Roman"/>
                <w:sz w:val="20"/>
              </w:rPr>
              <w:t xml:space="preserve">approval of </w:t>
            </w:r>
            <w:r w:rsidR="001115B9" w:rsidRPr="00807869">
              <w:rPr>
                <w:rFonts w:ascii="Times New Roman" w:eastAsia="標楷體" w:hAnsi="Times New Roman"/>
                <w:sz w:val="20"/>
              </w:rPr>
              <w:t>the board meeting</w:t>
            </w:r>
            <w:r w:rsidR="0093064F">
              <w:rPr>
                <w:rFonts w:ascii="Times New Roman" w:eastAsia="標楷體"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kinsoku w:val="0"/>
              <w:overflowPunct w:val="0"/>
              <w:spacing w:line="260" w:lineRule="exact"/>
              <w:jc w:val="both"/>
              <w:rPr>
                <w:rFonts w:eastAsia="標楷體"/>
                <w:sz w:val="20"/>
              </w:rPr>
            </w:pPr>
          </w:p>
          <w:p w:rsidR="00397392" w:rsidRDefault="00397392" w:rsidP="00375139">
            <w:pPr>
              <w:kinsoku w:val="0"/>
              <w:overflowPunct w:val="0"/>
              <w:spacing w:line="260" w:lineRule="exact"/>
              <w:jc w:val="both"/>
              <w:rPr>
                <w:rFonts w:eastAsia="標楷體"/>
                <w:sz w:val="20"/>
              </w:rPr>
            </w:pPr>
          </w:p>
          <w:p w:rsidR="00375139" w:rsidRDefault="00397392" w:rsidP="006F699C">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material information) for public announcement of the material information.</w:t>
            </w: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97392" w:rsidRDefault="00397392" w:rsidP="006F699C">
            <w:pPr>
              <w:kinsoku w:val="0"/>
              <w:overflowPunct w:val="0"/>
              <w:snapToGrid w:val="0"/>
              <w:rPr>
                <w:rFonts w:eastAsia="標楷體"/>
                <w:sz w:val="20"/>
              </w:rPr>
            </w:pPr>
          </w:p>
          <w:p w:rsidR="00375139" w:rsidRPr="00397392" w:rsidRDefault="00397392" w:rsidP="006F699C">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internal audit/announcement of the internal control system statement).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75139" w:rsidRDefault="00397392" w:rsidP="006F699C">
            <w:pPr>
              <w:numPr>
                <w:ilvl w:val="0"/>
                <w:numId w:val="486"/>
              </w:numPr>
              <w:snapToGrid w:val="0"/>
              <w:rPr>
                <w:rFonts w:eastAsia="標楷體"/>
                <w:sz w:val="20"/>
              </w:rPr>
            </w:pPr>
            <w:r w:rsidRPr="00397392">
              <w:rPr>
                <w:rFonts w:eastAsia="標楷體"/>
                <w:sz w:val="20"/>
              </w:rPr>
              <w:t xml:space="preserve">Article 24 of the Regulations Governing </w:t>
            </w:r>
            <w:r w:rsidRPr="00261F51">
              <w:rPr>
                <w:sz w:val="20"/>
                <w:szCs w:val="20"/>
              </w:rPr>
              <w:t>Establishment</w:t>
            </w:r>
            <w:r w:rsidRPr="00397392">
              <w:rPr>
                <w:rFonts w:eastAsia="標楷體"/>
                <w:sz w:val="20"/>
              </w:rPr>
              <w:t xml:space="preserve"> of Internal Control Systems by Public Companies</w:t>
            </w:r>
          </w:p>
          <w:p w:rsidR="00397392" w:rsidRDefault="00397392" w:rsidP="006F699C">
            <w:pPr>
              <w:numPr>
                <w:ilvl w:val="0"/>
                <w:numId w:val="486"/>
              </w:numPr>
              <w:snapToGrid w:val="0"/>
              <w:rPr>
                <w:rFonts w:eastAsia="標楷體"/>
                <w:sz w:val="20"/>
              </w:rPr>
            </w:pPr>
            <w:r w:rsidRPr="00397392">
              <w:rPr>
                <w:rFonts w:eastAsia="標楷體"/>
                <w:sz w:val="20"/>
              </w:rPr>
              <w:t xml:space="preserve">Subparagraph 29, Paragraph </w:t>
            </w:r>
            <w:r w:rsidRPr="00807869">
              <w:rPr>
                <w:rFonts w:eastAsia="標楷體"/>
                <w:sz w:val="20"/>
              </w:rPr>
              <w:t>1,</w:t>
            </w:r>
            <w:r w:rsidR="006B3DA4">
              <w:rPr>
                <w:rFonts w:eastAsia="標楷體"/>
                <w:sz w:val="20"/>
              </w:rPr>
              <w:t xml:space="preserve"> </w:t>
            </w:r>
            <w:r w:rsidRPr="00397392">
              <w:rPr>
                <w:rFonts w:eastAsia="標楷體"/>
                <w:sz w:val="20"/>
              </w:rPr>
              <w:t>Article 3 of Taiwan Stock Exchange Corporation Rules Governing Information Reporting by Companies with Listed Securities and Offshore Fund Institutions with Listed Offshore</w:t>
            </w:r>
          </w:p>
          <w:p w:rsidR="00375139" w:rsidRPr="00261F51" w:rsidRDefault="00397392" w:rsidP="006F699C">
            <w:pPr>
              <w:numPr>
                <w:ilvl w:val="0"/>
                <w:numId w:val="486"/>
              </w:numPr>
              <w:snapToGrid w:val="0"/>
              <w:rPr>
                <w:rFonts w:eastAsia="標楷體"/>
                <w:sz w:val="20"/>
              </w:rPr>
            </w:pPr>
            <w:r w:rsidRPr="00397392">
              <w:rPr>
                <w:rFonts w:eastAsia="標楷體"/>
                <w:sz w:val="20"/>
              </w:rPr>
              <w:t>Subparagraph 29, Paragraph 1, Article 4 of Taiwan Stock Exchange Corporation Procedures for Verification and Public Disclosure of Material Information of Companies with Listed Securities</w:t>
            </w:r>
          </w:p>
        </w:tc>
      </w:tr>
    </w:tbl>
    <w:p w:rsidR="00310791" w:rsidRDefault="00310791">
      <w:pPr>
        <w:widowControl/>
        <w:rPr>
          <w:rFonts w:eastAsia="標楷體"/>
          <w:sz w:val="20"/>
          <w:szCs w:val="20"/>
        </w:rPr>
      </w:pPr>
      <w:r>
        <w:rPr>
          <w:rFonts w:eastAsia="標楷體"/>
          <w:sz w:val="20"/>
          <w:szCs w:val="20"/>
        </w:rPr>
        <w:br w:type="page"/>
      </w:r>
    </w:p>
    <w:p w:rsidR="00234980" w:rsidRPr="000803AE" w:rsidRDefault="00234980" w:rsidP="003716D3">
      <w:pPr>
        <w:snapToGrid w:val="0"/>
        <w:rPr>
          <w:rFonts w:eastAsia="標楷體"/>
          <w:sz w:val="20"/>
          <w:szCs w:val="20"/>
        </w:rPr>
      </w:pP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rsidR="00306569" w:rsidRPr="000803AE" w:rsidRDefault="00306569" w:rsidP="003716D3">
            <w:pPr>
              <w:kinsoku w:val="0"/>
              <w:overflowPunct w:val="0"/>
              <w:adjustRightInd w:val="0"/>
              <w:snapToGrid w:val="0"/>
              <w:jc w:val="center"/>
              <w:rPr>
                <w:rFonts w:eastAsia="標楷體"/>
                <w:b/>
                <w:sz w:val="20"/>
                <w:szCs w:val="20"/>
              </w:rPr>
            </w:pPr>
          </w:p>
          <w:p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B61323">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r w:rsidR="00310791">
              <w:rPr>
                <w:rFonts w:eastAsia="標楷體"/>
                <w:sz w:val="20"/>
                <w:szCs w:val="20"/>
              </w:rPr>
              <w:t>May 5</w:t>
            </w:r>
            <w:r w:rsidR="007A31B0">
              <w:rPr>
                <w:rFonts w:eastAsia="標楷體"/>
                <w:sz w:val="20"/>
                <w:szCs w:val="20"/>
              </w:rPr>
              <w:t>, 202</w:t>
            </w:r>
            <w:r w:rsidR="00310791">
              <w:rPr>
                <w:rFonts w:eastAsia="標楷體"/>
                <w:sz w:val="20"/>
                <w:szCs w:val="20"/>
              </w:rPr>
              <w:t>5</w:t>
            </w:r>
          </w:p>
        </w:tc>
      </w:tr>
      <w:tr w:rsidR="00234980" w:rsidRPr="000803AE"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rsidR="00234980" w:rsidRPr="000803AE" w:rsidRDefault="00234980" w:rsidP="00F82740">
            <w:pPr>
              <w:kinsoku w:val="0"/>
              <w:overflowPunct w:val="0"/>
              <w:snapToGrid w:val="0"/>
              <w:ind w:left="360"/>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investments by overseas Chinese and </w:t>
            </w:r>
            <w:r w:rsidRPr="000803AE">
              <w:rPr>
                <w:rFonts w:eastAsia="標楷體"/>
                <w:sz w:val="20"/>
                <w:szCs w:val="20"/>
              </w:rPr>
              <w:lastRenderedPageBreak/>
              <w:t>foreign nationals.</w:t>
            </w:r>
          </w:p>
          <w:p w:rsidR="00234980" w:rsidRPr="000803AE" w:rsidRDefault="00234980" w:rsidP="000C45CF">
            <w:pPr>
              <w:kinsoku w:val="0"/>
              <w:overflowPunct w:val="0"/>
              <w:snapToGrid w:val="0"/>
              <w:rPr>
                <w:rFonts w:eastAsia="標楷體"/>
                <w:sz w:val="20"/>
                <w:szCs w:val="20"/>
              </w:rPr>
            </w:pPr>
            <w:r w:rsidRPr="000803AE">
              <w:rPr>
                <w:rFonts w:eastAsia="標楷體"/>
                <w:sz w:val="20"/>
                <w:szCs w:val="20"/>
              </w:rPr>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 filing of overseas Chinese or foreign investors’ </w:t>
            </w:r>
            <w:r w:rsidRPr="000803AE">
              <w:rPr>
                <w:rFonts w:eastAsia="標楷體"/>
                <w:sz w:val="20"/>
                <w:szCs w:val="20"/>
              </w:rPr>
              <w:lastRenderedPageBreak/>
              <w:t>shareholding).</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lastRenderedPageBreak/>
              <w:t xml:space="preserve">Taiwan Stock Exchange Corporation Rules Governing Information </w:t>
            </w:r>
            <w:r w:rsidRPr="000803AE">
              <w:rPr>
                <w:rFonts w:eastAsia="標楷體"/>
                <w:sz w:val="20"/>
                <w:szCs w:val="20"/>
              </w:rPr>
              <w:lastRenderedPageBreak/>
              <w:t>Reporting by Companies with Listed Securities and Offshore Fund Institutions with Listed Offshore Exchange-Traded Funds</w:t>
            </w:r>
          </w:p>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lastRenderedPageBreak/>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t>current and the past two fiscal years.</w:t>
            </w:r>
          </w:p>
          <w:p w:rsidR="000B1821" w:rsidRPr="00317845" w:rsidRDefault="000B1821" w:rsidP="00E32C40">
            <w:pPr>
              <w:kinsoku w:val="0"/>
              <w:overflowPunct w:val="0"/>
              <w:snapToGrid w:val="0"/>
              <w:rPr>
                <w:sz w:val="20"/>
              </w:rPr>
            </w:pPr>
          </w:p>
          <w:p w:rsidR="000B1821" w:rsidRPr="000803AE" w:rsidRDefault="000B1821" w:rsidP="00E32C40">
            <w:pPr>
              <w:kinsoku w:val="0"/>
              <w:overflowPunct w:val="0"/>
              <w:snapToGrid w:val="0"/>
              <w:rPr>
                <w:rFonts w:eastAsia="標楷體"/>
                <w:sz w:val="20"/>
                <w:szCs w:val="20"/>
              </w:rPr>
            </w:pPr>
            <w:r w:rsidRPr="000803AE">
              <w:rPr>
                <w:rFonts w:hint="eastAsia"/>
                <w:sz w:val="20"/>
              </w:rPr>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rsidR="000B1821" w:rsidRPr="000803AE" w:rsidRDefault="000B1821" w:rsidP="00E32C40">
            <w:pPr>
              <w:kinsoku w:val="0"/>
              <w:overflowPunct w:val="0"/>
              <w:snapToGrid w:val="0"/>
              <w:rPr>
                <w:sz w:val="20"/>
                <w:szCs w:val="20"/>
              </w:rPr>
            </w:pPr>
          </w:p>
          <w:p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140FAC">
            <w:pPr>
              <w:kinsoku w:val="0"/>
              <w:overflowPunct w:val="0"/>
              <w:snapToGrid w:val="0"/>
              <w:rPr>
                <w:rFonts w:eastAsia="標楷體"/>
                <w:sz w:val="20"/>
                <w:szCs w:val="20"/>
              </w:rPr>
            </w:pPr>
          </w:p>
          <w:p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0B1821" w:rsidRPr="000803AE" w:rsidRDefault="000B1821" w:rsidP="002A6E95">
            <w:pPr>
              <w:snapToGrid w:val="0"/>
              <w:rPr>
                <w:rFonts w:eastAsia="標楷體"/>
                <w:sz w:val="20"/>
                <w:szCs w:val="20"/>
              </w:rPr>
            </w:pP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rsidR="000B1821" w:rsidRPr="000803AE" w:rsidRDefault="000B1821" w:rsidP="002A6E95">
            <w:pPr>
              <w:snapToGrid w:val="0"/>
              <w:ind w:left="360"/>
              <w:rPr>
                <w:rFonts w:eastAsia="標楷體"/>
                <w:sz w:val="20"/>
                <w:szCs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w:t>
            </w:r>
            <w:r w:rsidR="00EF0C7F">
              <w:rPr>
                <w:rFonts w:eastAsia="標楷體"/>
                <w:sz w:val="20"/>
                <w:szCs w:val="20"/>
              </w:rPr>
              <w:t>7</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rPr>
            </w:pPr>
            <w:r w:rsidRPr="000803AE">
              <w:rPr>
                <w:rFonts w:eastAsia="標楷體" w:hint="eastAsia"/>
                <w:sz w:val="20"/>
                <w:szCs w:val="20"/>
              </w:rPr>
              <w:t xml:space="preserve">2. </w:t>
            </w:r>
            <w:r w:rsidRPr="000803AE">
              <w:rPr>
                <w:rFonts w:eastAsia="標楷體" w:hint="eastAsia"/>
                <w:sz w:val="20"/>
              </w:rPr>
              <w:t>Details</w:t>
            </w:r>
            <w:r w:rsidRPr="000803AE">
              <w:rPr>
                <w:rFonts w:eastAsia="標楷體"/>
                <w:sz w:val="20"/>
              </w:rPr>
              <w:t xml:space="preserve"> of investments in </w:t>
            </w:r>
            <w:r w:rsidRPr="000803AE">
              <w:rPr>
                <w:rFonts w:eastAsia="標楷體"/>
                <w:sz w:val="20"/>
              </w:rPr>
              <w:lastRenderedPageBreak/>
              <w:t>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rPr>
            </w:pPr>
            <w:r w:rsidRPr="000803AE">
              <w:rPr>
                <w:rFonts w:eastAsia="標楷體"/>
                <w:sz w:val="20"/>
              </w:rPr>
              <w:t>The relevant information shall be uploaded to the Market Observation Post System (sii.twse.com.tw/information on monthly revenues, endorsements and guarantee, and funds lending and statistics of revenues of respective products/reporting of details of funds lending, and endorsements and guarantee).</w:t>
            </w:r>
          </w:p>
          <w:p w:rsidR="000B1821" w:rsidRPr="000803AE" w:rsidRDefault="000B1821" w:rsidP="00186D29">
            <w:pPr>
              <w:kinsoku w:val="0"/>
              <w:overflowPunct w:val="0"/>
              <w:snapToGrid w:val="0"/>
              <w:rPr>
                <w:rFonts w:eastAsia="標楷體"/>
                <w:sz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investments in mainland China/filing of the actual amount of investments in mainland China in the current quarter).</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rsidR="000B1821" w:rsidRPr="000803AE" w:rsidRDefault="000B1821" w:rsidP="00186D29">
            <w:pPr>
              <w:kinsoku w:val="0"/>
              <w:overflowPunct w:val="0"/>
              <w:snapToGrid w:val="0"/>
              <w:rPr>
                <w:sz w:val="20"/>
                <w:szCs w:val="20"/>
              </w:rPr>
            </w:pP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w:t>
            </w:r>
            <w:r w:rsidR="00EF0C7F">
              <w:rPr>
                <w:rFonts w:eastAsia="標楷體"/>
                <w:sz w:val="20"/>
                <w:szCs w:val="20"/>
              </w:rPr>
              <w:t>8</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w:t>
            </w:r>
            <w:r w:rsidR="002A5A3D">
              <w:rPr>
                <w:rFonts w:eastAsia="標楷體"/>
                <w:sz w:val="20"/>
                <w:szCs w:val="20"/>
              </w:rPr>
              <w:t>9</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sz w:val="20"/>
              </w:rPr>
            </w:pPr>
            <w:r w:rsidRPr="000803AE">
              <w:rPr>
                <w:sz w:val="20"/>
              </w:rPr>
              <w:t>The relevant information shall be uploaded to the Market Observatio</w:t>
            </w:r>
            <w:r w:rsidR="003A679A" w:rsidRPr="000803AE">
              <w:rPr>
                <w:sz w:val="20"/>
              </w:rPr>
              <w:t>n Post System (sii.twse.com.tw/</w:t>
            </w:r>
            <w:r w:rsidRPr="000803AE">
              <w:rPr>
                <w:sz w:val="20"/>
              </w:rPr>
              <w:t>filing using non-formatted electronic files/filing of financial forecast)</w:t>
            </w:r>
            <w:r w:rsidRPr="000803AE">
              <w:rPr>
                <w:rFonts w:hint="eastAsia"/>
                <w:sz w:val="20"/>
              </w:rPr>
              <w:t xml:space="preserve"> (exempt if there is none).</w:t>
            </w:r>
          </w:p>
          <w:p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lastRenderedPageBreak/>
              <w:t>2-1</w:t>
            </w:r>
            <w:r w:rsidR="002A5A3D">
              <w:rPr>
                <w:rFonts w:eastAsia="標楷體"/>
                <w:sz w:val="20"/>
                <w:szCs w:val="20"/>
              </w:rPr>
              <w:t>0</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r w:rsidR="002A5A3D">
              <w:rPr>
                <w:rFonts w:eastAsia="標楷體"/>
                <w:sz w:val="20"/>
                <w:szCs w:val="20"/>
              </w:rPr>
              <w:t>1</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rsidR="000B1821" w:rsidRPr="000803AE" w:rsidRDefault="000B1821" w:rsidP="002A6E95">
            <w:pPr>
              <w:pStyle w:val="a3"/>
              <w:snapToGrid w:val="0"/>
              <w:rPr>
                <w:rFonts w:ascii="Times New Roman" w:eastAsia="新細明體" w:hAnsi="Times New Roman"/>
                <w:sz w:val="20"/>
                <w:lang w:val="en-US" w:eastAsia="zh-TW"/>
              </w:rPr>
            </w:pPr>
          </w:p>
          <w:p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r</w:t>
            </w:r>
            <w:r w:rsidRPr="000803AE">
              <w:rPr>
                <w:sz w:val="20"/>
              </w:rPr>
              <w:t>.</w:t>
            </w:r>
          </w:p>
          <w:p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rFonts w:eastAsia="標楷體"/>
                <w:sz w:val="20"/>
                <w:szCs w:val="20"/>
              </w:rPr>
            </w:pPr>
          </w:p>
          <w:p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r w:rsidR="002A5A3D">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in shareholding of insiders</w:t>
            </w:r>
            <w:r w:rsidRPr="000803AE">
              <w:rPr>
                <w:rFonts w:eastAsia="標楷體" w:hint="eastAsia"/>
              </w:rPr>
              <w:t xml:space="preserve"> </w:t>
            </w:r>
            <w:r w:rsidRPr="000803AE">
              <w:rPr>
                <w:rFonts w:eastAsia="標楷體"/>
              </w:rPr>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weeks after 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C45CF">
            <w:pPr>
              <w:adjustRightInd w:val="0"/>
              <w:snapToGrid w:val="0"/>
              <w:rPr>
                <w:rFonts w:eastAsia="標楷體"/>
                <w:sz w:val="20"/>
                <w:szCs w:val="20"/>
              </w:rPr>
            </w:pPr>
            <w:r w:rsidRPr="000803AE">
              <w:rPr>
                <w:rFonts w:eastAsia="標楷體"/>
                <w:sz w:val="20"/>
                <w:szCs w:val="20"/>
              </w:rPr>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Market Observation Post System (sii.twse.com.tw/filing of changes in equities 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w:t>
            </w:r>
            <w:r w:rsidR="00B97310">
              <w:rPr>
                <w:rFonts w:eastAsia="標楷體"/>
                <w:sz w:val="20"/>
                <w:szCs w:val="20"/>
              </w:rPr>
              <w:t>3</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Where any matter undertaken has not yet been performed, the 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rsidTr="004D4733">
        <w:trPr>
          <w:tblHeader/>
        </w:trPr>
        <w:tc>
          <w:tcPr>
            <w:tcW w:w="15148" w:type="dxa"/>
            <w:gridSpan w:val="5"/>
            <w:tcBorders>
              <w:top w:val="nil"/>
              <w:left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B61323">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r w:rsidR="00DD6B07">
              <w:rPr>
                <w:rFonts w:eastAsia="標楷體"/>
                <w:sz w:val="20"/>
                <w:szCs w:val="20"/>
              </w:rPr>
              <w:t>May 5</w:t>
            </w:r>
            <w:r w:rsidR="007A31B0">
              <w:rPr>
                <w:rFonts w:eastAsia="標楷體"/>
                <w:sz w:val="20"/>
                <w:szCs w:val="20"/>
              </w:rPr>
              <w:t>, 20</w:t>
            </w:r>
            <w:r w:rsidR="00AC2275">
              <w:rPr>
                <w:rFonts w:eastAsia="標楷體"/>
                <w:sz w:val="20"/>
                <w:szCs w:val="20"/>
              </w:rPr>
              <w:t>2</w:t>
            </w:r>
            <w:r w:rsidR="00DD6B07">
              <w:rPr>
                <w:rFonts w:eastAsia="標楷體"/>
                <w:sz w:val="20"/>
                <w:szCs w:val="20"/>
              </w:rPr>
              <w:t>5</w:t>
            </w:r>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6</w:t>
            </w:r>
          </w:p>
        </w:tc>
        <w:tc>
          <w:tcPr>
            <w:tcW w:w="2340" w:type="dxa"/>
          </w:tcPr>
          <w:p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t>
            </w:r>
            <w:r>
              <w:rPr>
                <w:rFonts w:eastAsia="標楷體"/>
                <w:color w:val="000000" w:themeColor="text1"/>
                <w:sz w:val="20"/>
              </w:rPr>
              <w:lastRenderedPageBreak/>
              <w:t xml:space="preserve">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rsidR="00AC2275" w:rsidRDefault="00612F29" w:rsidP="004D4733">
            <w:pPr>
              <w:kinsoku w:val="0"/>
              <w:overflowPunct w:val="0"/>
              <w:snapToGrid w:val="0"/>
              <w:rPr>
                <w:sz w:val="20"/>
                <w:szCs w:val="20"/>
              </w:rPr>
            </w:pPr>
            <w:r>
              <w:rPr>
                <w:sz w:val="20"/>
                <w:szCs w:val="20"/>
              </w:rPr>
              <w:lastRenderedPageBreak/>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rsidR="00306569" w:rsidRPr="000803AE" w:rsidRDefault="00306569" w:rsidP="004D4733">
            <w:pPr>
              <w:kinsoku w:val="0"/>
              <w:overflowPunct w:val="0"/>
              <w:snapToGrid w:val="0"/>
              <w:ind w:left="295"/>
              <w:rPr>
                <w:sz w:val="20"/>
                <w:szCs w:val="20"/>
              </w:rPr>
            </w:pPr>
          </w:p>
        </w:tc>
        <w:tc>
          <w:tcPr>
            <w:tcW w:w="3600" w:type="dxa"/>
          </w:tcPr>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Paragraph 3,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bl>
    <w:p w:rsidR="00306569" w:rsidRPr="000803AE" w:rsidRDefault="00306569" w:rsidP="003716D3">
      <w:pPr>
        <w:snapToGrid w:val="0"/>
        <w:rPr>
          <w:sz w:val="20"/>
          <w:szCs w:val="20"/>
        </w:rPr>
      </w:pPr>
    </w:p>
    <w:p w:rsidR="00306569" w:rsidRPr="000803AE" w:rsidRDefault="00306569" w:rsidP="003716D3">
      <w:pPr>
        <w:snapToGrid w:val="0"/>
        <w:rPr>
          <w:sz w:val="20"/>
          <w:szCs w:val="20"/>
        </w:rPr>
      </w:pPr>
    </w:p>
    <w:p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rsidTr="006B3BC5">
        <w:trPr>
          <w:trHeight w:val="397"/>
          <w:tblHeader/>
        </w:trPr>
        <w:tc>
          <w:tcPr>
            <w:tcW w:w="15148" w:type="dxa"/>
            <w:gridSpan w:val="5"/>
            <w:tcBorders>
              <w:top w:val="nil"/>
              <w:left w:val="nil"/>
              <w:bottom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4C7F0E">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4C7F0E">
              <w:rPr>
                <w:rFonts w:eastAsia="標楷體"/>
                <w:sz w:val="20"/>
                <w:szCs w:val="20"/>
              </w:rPr>
              <w:t>May 5</w:t>
            </w:r>
            <w:r w:rsidR="007A31B0">
              <w:rPr>
                <w:rFonts w:eastAsia="標楷體"/>
                <w:sz w:val="20"/>
                <w:szCs w:val="20"/>
              </w:rPr>
              <w:t>, 20</w:t>
            </w:r>
            <w:r w:rsidR="00C54D4D">
              <w:rPr>
                <w:rFonts w:eastAsia="標楷體"/>
                <w:sz w:val="20"/>
                <w:szCs w:val="20"/>
              </w:rPr>
              <w:t>2</w:t>
            </w:r>
            <w:r w:rsidR="004C7F0E">
              <w:rPr>
                <w:rFonts w:eastAsia="標楷體"/>
                <w:sz w:val="20"/>
                <w:szCs w:val="20"/>
              </w:rPr>
              <w:t>5</w:t>
            </w:r>
          </w:p>
        </w:tc>
      </w:tr>
      <w:tr w:rsidR="00306569" w:rsidRPr="000803AE" w:rsidTr="006B3BC5">
        <w:trPr>
          <w:trHeight w:val="397"/>
          <w:tblHeader/>
        </w:trPr>
        <w:tc>
          <w:tcPr>
            <w:tcW w:w="568"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 xml:space="preserve">Within 3 days upon the approval by the competent authority for </w:t>
            </w:r>
            <w:r w:rsidRPr="000803AE">
              <w:rPr>
                <w:sz w:val="20"/>
                <w:szCs w:val="20"/>
              </w:rPr>
              <w:lastRenderedPageBreak/>
              <w:t>the termination of the trust agreement.</w:t>
            </w:r>
          </w:p>
        </w:tc>
        <w:tc>
          <w:tcPr>
            <w:tcW w:w="6300" w:type="dxa"/>
          </w:tcPr>
          <w:p w:rsidR="00306569" w:rsidRPr="000803AE" w:rsidRDefault="00306569" w:rsidP="00FF048F">
            <w:pPr>
              <w:numPr>
                <w:ilvl w:val="0"/>
                <w:numId w:val="210"/>
              </w:numPr>
              <w:kinsoku w:val="0"/>
              <w:overflowPunct w:val="0"/>
              <w:snapToGrid w:val="0"/>
              <w:rPr>
                <w:sz w:val="20"/>
                <w:szCs w:val="20"/>
              </w:rPr>
            </w:pPr>
            <w:r w:rsidRPr="000803AE">
              <w:rPr>
                <w:sz w:val="20"/>
                <w:szCs w:val="20"/>
              </w:rPr>
              <w:lastRenderedPageBreak/>
              <w:t>Letter</w:t>
            </w:r>
          </w:p>
          <w:p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11"/>
              </w:numPr>
              <w:kinsoku w:val="0"/>
              <w:overflowPunct w:val="0"/>
              <w:snapToGrid w:val="0"/>
              <w:rPr>
                <w:sz w:val="20"/>
                <w:szCs w:val="20"/>
              </w:rPr>
            </w:pPr>
            <w:r w:rsidRPr="000803AE">
              <w:rPr>
                <w:sz w:val="20"/>
                <w:szCs w:val="20"/>
              </w:rPr>
              <w:t xml:space="preserve">Articles 41 and 50-2 of Operating Rules </w:t>
            </w:r>
            <w:r w:rsidRPr="000803AE">
              <w:rPr>
                <w:sz w:val="20"/>
                <w:szCs w:val="20"/>
              </w:rPr>
              <w:lastRenderedPageBreak/>
              <w:t>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lastRenderedPageBreak/>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rsidR="00306569" w:rsidRPr="000803AE" w:rsidRDefault="00306569" w:rsidP="003716D3">
      <w:pPr>
        <w:snapToGrid w:val="0"/>
        <w:jc w:val="center"/>
        <w:rPr>
          <w:b/>
          <w:sz w:val="20"/>
          <w:szCs w:val="20"/>
        </w:rPr>
      </w:pPr>
    </w:p>
    <w:p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bottom w:val="single" w:sz="4" w:space="0" w:color="auto"/>
              <w:right w:val="nil"/>
            </w:tcBorders>
            <w:vAlign w:val="center"/>
          </w:tcPr>
          <w:p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rsidR="00AB4DEC" w:rsidRPr="000803AE" w:rsidRDefault="00AB4DEC" w:rsidP="003716D3">
            <w:pPr>
              <w:kinsoku w:val="0"/>
              <w:overflowPunct w:val="0"/>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w:t>
            </w:r>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r w:rsidR="00A95789">
              <w:rPr>
                <w:rFonts w:hint="eastAsia"/>
                <w:sz w:val="20"/>
                <w:szCs w:val="20"/>
              </w:rPr>
              <w:t xml:space="preserve"> </w:t>
            </w:r>
            <w:r w:rsidR="00AA1770" w:rsidRPr="000803AE">
              <w:rPr>
                <w:sz w:val="20"/>
                <w:szCs w:val="20"/>
              </w:rPr>
              <w:t>(</w:t>
            </w:r>
            <w:r w:rsidR="00AA1770">
              <w:rPr>
                <w:rFonts w:hint="eastAsia"/>
                <w:sz w:val="20"/>
                <w:szCs w:val="20"/>
              </w:rPr>
              <w:t>c</w:t>
            </w:r>
            <w:r w:rsidR="00AA1770">
              <w:rPr>
                <w:sz w:val="20"/>
                <w:szCs w:val="20"/>
              </w:rPr>
              <w:t xml:space="preserve">ollectively, </w:t>
            </w:r>
            <w:r w:rsidR="00AA1770" w:rsidRPr="000803AE">
              <w:rPr>
                <w:sz w:val="20"/>
                <w:szCs w:val="20"/>
              </w:rPr>
              <w:t>"ETF")</w:t>
            </w:r>
            <w:r w:rsidR="00A95789" w:rsidRPr="000B331B">
              <w:rPr>
                <w:rFonts w:eastAsia="標楷體"/>
                <w:sz w:val="20"/>
                <w:szCs w:val="20"/>
              </w:rPr>
              <w:t xml:space="preserve">, or </w:t>
            </w:r>
            <w:r w:rsidR="001C0C58" w:rsidRPr="00EF75D4">
              <w:rPr>
                <w:rFonts w:eastAsia="標楷體"/>
                <w:sz w:val="20"/>
                <w:szCs w:val="20"/>
              </w:rPr>
              <w:t>Active Exchange-Traded Securities Investment Trust Fund</w:t>
            </w:r>
            <w:r w:rsidR="00E22BD3">
              <w:rPr>
                <w:rFonts w:eastAsia="標楷體"/>
                <w:sz w:val="20"/>
                <w:szCs w:val="20"/>
              </w:rPr>
              <w:t xml:space="preserve"> </w:t>
            </w:r>
            <w:r w:rsidR="00E22BD3" w:rsidRPr="000803AE">
              <w:rPr>
                <w:sz w:val="20"/>
                <w:szCs w:val="20"/>
              </w:rPr>
              <w:t>(</w:t>
            </w:r>
            <w:r w:rsidR="00E22BD3">
              <w:rPr>
                <w:sz w:val="20"/>
                <w:szCs w:val="20"/>
              </w:rPr>
              <w:t>"</w:t>
            </w:r>
            <w:r w:rsidR="00E22BD3" w:rsidRPr="00EF75D4">
              <w:rPr>
                <w:rFonts w:eastAsia="標楷體"/>
                <w:sz w:val="20"/>
                <w:szCs w:val="20"/>
              </w:rPr>
              <w:t>Active Exchange-Traded Fund</w:t>
            </w:r>
            <w:r w:rsidR="00E22BD3" w:rsidRPr="000803AE">
              <w:rPr>
                <w:sz w:val="20"/>
                <w:szCs w:val="20"/>
              </w:rPr>
              <w:t>")</w:t>
            </w:r>
          </w:p>
          <w:p w:rsidR="00AB4DEC" w:rsidRPr="000803AE" w:rsidRDefault="00AB4DEC" w:rsidP="00A95789">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495244">
              <w:rPr>
                <w:rFonts w:eastAsia="標楷體"/>
                <w:sz w:val="20"/>
                <w:szCs w:val="20"/>
              </w:rPr>
              <w:t>May 5</w:t>
            </w:r>
            <w:r w:rsidR="007A31B0">
              <w:rPr>
                <w:rFonts w:eastAsia="標楷體"/>
                <w:sz w:val="20"/>
                <w:szCs w:val="20"/>
              </w:rPr>
              <w:t>, 20</w:t>
            </w:r>
            <w:r w:rsidR="00AC2275">
              <w:rPr>
                <w:rFonts w:eastAsia="標楷體"/>
                <w:sz w:val="20"/>
                <w:szCs w:val="20"/>
              </w:rPr>
              <w:t>2</w:t>
            </w:r>
            <w:r w:rsidR="00495244">
              <w:rPr>
                <w:rFonts w:eastAsia="標楷體"/>
                <w:sz w:val="20"/>
                <w:szCs w:val="20"/>
              </w:rPr>
              <w:t>5</w:t>
            </w:r>
          </w:p>
        </w:tc>
      </w:tr>
      <w:tr w:rsidR="00306569" w:rsidRPr="000803AE" w:rsidTr="004D4733">
        <w:trPr>
          <w:trHeight w:val="397"/>
          <w:tblHeader/>
        </w:trPr>
        <w:tc>
          <w:tcPr>
            <w:tcW w:w="568"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ETF</w:t>
            </w:r>
            <w:r w:rsidR="00D80CAF">
              <w:rPr>
                <w:sz w:val="20"/>
                <w:szCs w:val="20"/>
              </w:rPr>
              <w:t xml:space="preserve"> </w:t>
            </w:r>
            <w:r w:rsidR="00601CF1">
              <w:rPr>
                <w:sz w:val="20"/>
                <w:szCs w:val="20"/>
              </w:rPr>
              <w:t xml:space="preserve">or the </w:t>
            </w:r>
            <w:r w:rsidR="00601CF1" w:rsidRPr="00601CF1">
              <w:rPr>
                <w:sz w:val="20"/>
                <w:szCs w:val="20"/>
              </w:rPr>
              <w:t>Active Exchange-Traded Fund</w:t>
            </w:r>
            <w:r w:rsidRPr="000803AE">
              <w:rPr>
                <w:sz w:val="20"/>
                <w:szCs w:val="20"/>
              </w:rPr>
              <w:t>,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rsidTr="004D4733">
        <w:tc>
          <w:tcPr>
            <w:tcW w:w="568" w:type="dxa"/>
            <w:vAlign w:val="center"/>
          </w:tcPr>
          <w:p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rsidR="00536173" w:rsidRPr="000803AE" w:rsidRDefault="00536173" w:rsidP="003716D3">
            <w:pPr>
              <w:kinsoku w:val="0"/>
              <w:overflowPunct w:val="0"/>
              <w:snapToGrid w:val="0"/>
              <w:rPr>
                <w:sz w:val="20"/>
                <w:szCs w:val="20"/>
              </w:rPr>
            </w:pPr>
            <w:r w:rsidRPr="000803AE">
              <w:rPr>
                <w:sz w:val="20"/>
                <w:szCs w:val="20"/>
              </w:rPr>
              <w:t xml:space="preserve">Intraday estimated net asset value per beneficiary unit of the ETF </w:t>
            </w:r>
            <w:r w:rsidR="00D80CAF">
              <w:rPr>
                <w:sz w:val="20"/>
                <w:szCs w:val="20"/>
              </w:rPr>
              <w:t xml:space="preserve">or the </w:t>
            </w:r>
            <w:r w:rsidR="00D80CAF" w:rsidRPr="00601CF1">
              <w:rPr>
                <w:sz w:val="20"/>
                <w:szCs w:val="20"/>
              </w:rPr>
              <w:t>Active Exchange-Traded Fund</w:t>
            </w:r>
            <w:r w:rsidR="00D80CAF" w:rsidRPr="000803AE">
              <w:rPr>
                <w:sz w:val="20"/>
                <w:szCs w:val="20"/>
              </w:rPr>
              <w:t xml:space="preserve"> </w:t>
            </w:r>
            <w:r w:rsidRPr="000803AE">
              <w:rPr>
                <w:sz w:val="20"/>
                <w:szCs w:val="20"/>
              </w:rPr>
              <w:t>during market trading hours</w:t>
            </w:r>
          </w:p>
        </w:tc>
        <w:tc>
          <w:tcPr>
            <w:tcW w:w="2160" w:type="dxa"/>
          </w:tcPr>
          <w:p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w:t>
            </w:r>
            <w:r w:rsidR="008D575C">
              <w:rPr>
                <w:sz w:val="20"/>
                <w:szCs w:val="20"/>
              </w:rPr>
              <w:t xml:space="preserve"> or the </w:t>
            </w:r>
            <w:r w:rsidR="008D575C" w:rsidRPr="00601CF1">
              <w:rPr>
                <w:sz w:val="20"/>
                <w:szCs w:val="20"/>
              </w:rPr>
              <w:t>Active Exchange-Traded Fund</w:t>
            </w:r>
            <w:r w:rsidR="008D575C">
              <w:rPr>
                <w:sz w:val="20"/>
                <w:szCs w:val="20"/>
              </w:rPr>
              <w:t>'s</w:t>
            </w:r>
            <w:r w:rsidRPr="000803AE">
              <w:rPr>
                <w:sz w:val="20"/>
                <w:szCs w:val="20"/>
              </w:rPr>
              <w:t xml:space="preserve">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lastRenderedPageBreak/>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may be reported at the same frequency as stipulated above</w:t>
            </w:r>
            <w:r w:rsidR="00536173" w:rsidRPr="000803AE">
              <w:rPr>
                <w:sz w:val="20"/>
                <w:szCs w:val="20"/>
              </w:rPr>
              <w:t>.</w:t>
            </w:r>
          </w:p>
        </w:tc>
        <w:tc>
          <w:tcPr>
            <w:tcW w:w="6300" w:type="dxa"/>
          </w:tcPr>
          <w:p w:rsidR="00536173" w:rsidRPr="000803AE" w:rsidRDefault="00536173"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r w:rsidR="00BC4939">
              <w:rPr>
                <w:sz w:val="20"/>
                <w:szCs w:val="20"/>
              </w:rPr>
              <w:t xml:space="preserve"> or the </w:t>
            </w:r>
            <w:r w:rsidR="00BC4939" w:rsidRPr="00601CF1">
              <w:rPr>
                <w:sz w:val="20"/>
                <w:szCs w:val="20"/>
              </w:rPr>
              <w:t>Active Exchange-Traded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w:t>
            </w:r>
            <w:r w:rsidR="006E6BD1">
              <w:rPr>
                <w:sz w:val="20"/>
                <w:szCs w:val="20"/>
              </w:rPr>
              <w:t xml:space="preserve">or the </w:t>
            </w:r>
            <w:r w:rsidR="006E6BD1" w:rsidRPr="00601CF1">
              <w:rPr>
                <w:sz w:val="20"/>
                <w:szCs w:val="20"/>
              </w:rPr>
              <w:t>Active Exchange-Traded Fund</w:t>
            </w:r>
            <w:r w:rsidR="006E6BD1" w:rsidRPr="000803AE">
              <w:rPr>
                <w:sz w:val="20"/>
                <w:szCs w:val="20"/>
              </w:rPr>
              <w:t xml:space="preserve"> </w:t>
            </w:r>
            <w:r w:rsidRPr="000803AE">
              <w:rPr>
                <w:sz w:val="20"/>
                <w:szCs w:val="20"/>
              </w:rPr>
              <w:t xml:space="preserve">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r w:rsidR="001F01F2">
              <w:rPr>
                <w:sz w:val="20"/>
                <w:szCs w:val="20"/>
              </w:rPr>
              <w:t xml:space="preserve"> or the </w:t>
            </w:r>
            <w:r w:rsidR="001F01F2" w:rsidRPr="00601CF1">
              <w:rPr>
                <w:sz w:val="20"/>
                <w:szCs w:val="20"/>
              </w:rPr>
              <w:t>Active Exchange-Traded Fund</w:t>
            </w:r>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rsidTr="004D4733">
        <w:tc>
          <w:tcPr>
            <w:tcW w:w="568" w:type="dxa"/>
            <w:vAlign w:val="center"/>
          </w:tcPr>
          <w:p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rsidR="00795B19" w:rsidRPr="002C762D" w:rsidRDefault="00795B19" w:rsidP="00172C39">
            <w:pPr>
              <w:kinsoku w:val="0"/>
              <w:overflowPunct w:val="0"/>
              <w:snapToGrid w:val="0"/>
              <w:rPr>
                <w:sz w:val="20"/>
                <w:szCs w:val="20"/>
              </w:rPr>
            </w:pPr>
            <w:r w:rsidRPr="000803AE">
              <w:rPr>
                <w:sz w:val="20"/>
                <w:szCs w:val="20"/>
              </w:rPr>
              <w:t>Intraday estimated net asset value per beneficiary unit of the ETF</w:t>
            </w:r>
            <w:r w:rsidR="006E6BD1">
              <w:rPr>
                <w:sz w:val="20"/>
                <w:szCs w:val="20"/>
              </w:rPr>
              <w:t xml:space="preserve"> or the </w:t>
            </w:r>
            <w:r w:rsidR="006E6BD1" w:rsidRPr="00601CF1">
              <w:rPr>
                <w:sz w:val="20"/>
                <w:szCs w:val="20"/>
              </w:rPr>
              <w:t>Active Exchange-Traded Fund</w:t>
            </w:r>
            <w:r w:rsidRPr="000803AE">
              <w:rPr>
                <w:sz w:val="20"/>
                <w:szCs w:val="20"/>
              </w:rPr>
              <w:t xml:space="preserve">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r w:rsidR="006474D3">
              <w:rPr>
                <w:sz w:val="20"/>
                <w:szCs w:val="20"/>
              </w:rPr>
              <w:t>or the performance i</w:t>
            </w:r>
            <w:r w:rsidR="006474D3" w:rsidRPr="000B0BD8">
              <w:rPr>
                <w:sz w:val="20"/>
                <w:szCs w:val="20"/>
              </w:rPr>
              <w:t xml:space="preserve">ndicators </w:t>
            </w:r>
            <w:r w:rsidR="0016609F" w:rsidRPr="000803AE">
              <w:rPr>
                <w:sz w:val="20"/>
                <w:szCs w:val="20"/>
              </w:rPr>
              <w:t>traced by the ETF</w:t>
            </w:r>
            <w:r w:rsidR="00A4459B">
              <w:rPr>
                <w:sz w:val="20"/>
                <w:szCs w:val="20"/>
              </w:rPr>
              <w:t xml:space="preserve"> or the </w:t>
            </w:r>
            <w:r w:rsidR="00A4459B" w:rsidRPr="00601CF1">
              <w:rPr>
                <w:sz w:val="20"/>
                <w:szCs w:val="20"/>
              </w:rPr>
              <w:t>Active Exchange-Traded Fund</w:t>
            </w:r>
            <w:r w:rsidR="0016609F" w:rsidRPr="000803AE">
              <w:rPr>
                <w:sz w:val="20"/>
                <w:szCs w:val="20"/>
              </w:rPr>
              <w:t xml:space="preserve">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t>
            </w:r>
            <w:r w:rsidR="001F01F2">
              <w:rPr>
                <w:sz w:val="20"/>
                <w:szCs w:val="20"/>
              </w:rPr>
              <w:t xml:space="preserve">or the </w:t>
            </w:r>
            <w:r w:rsidR="001F01F2" w:rsidRPr="00601CF1">
              <w:rPr>
                <w:sz w:val="20"/>
                <w:szCs w:val="20"/>
              </w:rPr>
              <w:t>Active Exchange-Traded Fund</w:t>
            </w:r>
            <w:r w:rsidR="001F01F2" w:rsidRPr="000803AE">
              <w:rPr>
                <w:sz w:val="20"/>
                <w:szCs w:val="20"/>
              </w:rPr>
              <w:t xml:space="preserve"> </w:t>
            </w:r>
            <w:r w:rsidR="00021BCE" w:rsidRPr="000803AE">
              <w:rPr>
                <w:sz w:val="20"/>
                <w:szCs w:val="20"/>
              </w:rPr>
              <w:t xml:space="preserve">was </w:t>
            </w:r>
            <w:r w:rsidR="0016609F" w:rsidRPr="000803AE">
              <w:rPr>
                <w:sz w:val="20"/>
                <w:szCs w:val="20"/>
              </w:rPr>
              <w:lastRenderedPageBreak/>
              <w:t xml:space="preserve">listed </w:t>
            </w:r>
            <w:r w:rsidRPr="000803AE">
              <w:rPr>
                <w:sz w:val="20"/>
                <w:szCs w:val="20"/>
              </w:rPr>
              <w:t>as of the preceding month</w:t>
            </w:r>
            <w:r w:rsidR="006F59E9">
              <w:rPr>
                <w:sz w:val="20"/>
                <w:szCs w:val="20"/>
              </w:rPr>
              <w:t>.</w:t>
            </w:r>
            <w:r w:rsidRPr="000803AE">
              <w:rPr>
                <w:sz w:val="20"/>
                <w:szCs w:val="20"/>
              </w:rPr>
              <w:t xml:space="preserve"> </w:t>
            </w:r>
            <w:r w:rsidR="00A56CEE" w:rsidRPr="002C762D">
              <w:rPr>
                <w:sz w:val="20"/>
                <w:szCs w:val="20"/>
              </w:rPr>
              <w:t xml:space="preserve">However, for </w:t>
            </w:r>
            <w:r w:rsidR="00A56CEE">
              <w:rPr>
                <w:sz w:val="20"/>
                <w:szCs w:val="20"/>
              </w:rPr>
              <w:t xml:space="preserve">the </w:t>
            </w:r>
            <w:r w:rsidR="00A56CEE" w:rsidRPr="00601CF1">
              <w:rPr>
                <w:sz w:val="20"/>
                <w:szCs w:val="20"/>
              </w:rPr>
              <w:t>Active Exchange-Traded Fund</w:t>
            </w:r>
            <w:r w:rsidR="00A56CEE" w:rsidRPr="000803AE">
              <w:rPr>
                <w:sz w:val="20"/>
                <w:szCs w:val="20"/>
              </w:rPr>
              <w:t xml:space="preserve"> </w:t>
            </w:r>
            <w:r w:rsidR="00A56CEE" w:rsidRPr="002C762D">
              <w:rPr>
                <w:sz w:val="20"/>
                <w:szCs w:val="20"/>
              </w:rPr>
              <w:t>without</w:t>
            </w:r>
            <w:r w:rsidR="00A56CEE">
              <w:rPr>
                <w:sz w:val="20"/>
                <w:szCs w:val="20"/>
              </w:rPr>
              <w:t xml:space="preserve"> performance i</w:t>
            </w:r>
            <w:r w:rsidR="00A56CEE" w:rsidRPr="000B0BD8">
              <w:rPr>
                <w:sz w:val="20"/>
                <w:szCs w:val="20"/>
              </w:rPr>
              <w:t>ndicators</w:t>
            </w:r>
            <w:r w:rsidR="00A56CEE">
              <w:rPr>
                <w:sz w:val="20"/>
                <w:szCs w:val="20"/>
              </w:rPr>
              <w:t>,</w:t>
            </w:r>
            <w:r w:rsidR="00A56CEE" w:rsidRPr="002C762D">
              <w:rPr>
                <w:sz w:val="20"/>
                <w:szCs w:val="20"/>
              </w:rPr>
              <w:t xml:space="preserve"> it is only required to report </w:t>
            </w:r>
            <w:r w:rsidR="00623CF4">
              <w:rPr>
                <w:sz w:val="20"/>
                <w:szCs w:val="20"/>
              </w:rPr>
              <w:t>the</w:t>
            </w:r>
            <w:r w:rsidR="007A3581" w:rsidRPr="000803AE">
              <w:rPr>
                <w:sz w:val="20"/>
                <w:szCs w:val="20"/>
              </w:rPr>
              <w:t xml:space="preserve"> accumulated degree of fluctuation</w:t>
            </w:r>
            <w:r w:rsidR="00623CF4">
              <w:rPr>
                <w:sz w:val="20"/>
                <w:szCs w:val="20"/>
              </w:rPr>
              <w:t xml:space="preserve"> </w:t>
            </w:r>
            <w:r w:rsidR="00DE561A">
              <w:rPr>
                <w:sz w:val="20"/>
                <w:szCs w:val="20"/>
              </w:rPr>
              <w:t xml:space="preserve">in the </w:t>
            </w:r>
            <w:r w:rsidR="00DE561A" w:rsidRPr="000803AE">
              <w:rPr>
                <w:sz w:val="20"/>
                <w:szCs w:val="20"/>
              </w:rPr>
              <w:t>estimated net asset value</w:t>
            </w:r>
            <w:r w:rsidR="00172C39" w:rsidRPr="000803AE">
              <w:rPr>
                <w:sz w:val="20"/>
                <w:szCs w:val="20"/>
              </w:rPr>
              <w:t xml:space="preserve"> per beneficiary unit</w:t>
            </w:r>
            <w:r w:rsidR="00A56CEE" w:rsidRPr="002C762D">
              <w:rPr>
                <w:sz w:val="20"/>
                <w:szCs w:val="20"/>
              </w:rPr>
              <w:t>.</w:t>
            </w:r>
          </w:p>
        </w:tc>
        <w:tc>
          <w:tcPr>
            <w:tcW w:w="2160" w:type="dxa"/>
          </w:tcPr>
          <w:p w:rsidR="00795B19" w:rsidRPr="000803AE" w:rsidRDefault="00795B19" w:rsidP="003716D3">
            <w:pPr>
              <w:kinsoku w:val="0"/>
              <w:overflowPunct w:val="0"/>
              <w:snapToGrid w:val="0"/>
              <w:rPr>
                <w:sz w:val="20"/>
                <w:szCs w:val="20"/>
              </w:rPr>
            </w:pPr>
            <w:r w:rsidRPr="000803AE">
              <w:rPr>
                <w:sz w:val="20"/>
                <w:szCs w:val="20"/>
              </w:rPr>
              <w:lastRenderedPageBreak/>
              <w:t>Before the 10</w:t>
            </w:r>
            <w:r w:rsidRPr="000803AE">
              <w:rPr>
                <w:sz w:val="20"/>
                <w:szCs w:val="20"/>
                <w:vertAlign w:val="superscript"/>
              </w:rPr>
              <w:t>th</w:t>
            </w:r>
            <w:r w:rsidRPr="000803AE">
              <w:rPr>
                <w:sz w:val="20"/>
                <w:szCs w:val="20"/>
              </w:rPr>
              <w:t xml:space="preserve"> day of each month</w:t>
            </w:r>
          </w:p>
          <w:p w:rsidR="00795B19" w:rsidRPr="000803AE" w:rsidRDefault="00795B19" w:rsidP="003716D3">
            <w:pPr>
              <w:kinsoku w:val="0"/>
              <w:overflowPunct w:val="0"/>
              <w:snapToGrid w:val="0"/>
              <w:rPr>
                <w:sz w:val="20"/>
                <w:szCs w:val="20"/>
              </w:rPr>
            </w:pPr>
          </w:p>
        </w:tc>
        <w:tc>
          <w:tcPr>
            <w:tcW w:w="6300" w:type="dxa"/>
          </w:tcPr>
          <w:p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7</w:t>
            </w:r>
          </w:p>
        </w:tc>
        <w:tc>
          <w:tcPr>
            <w:tcW w:w="2340" w:type="dxa"/>
          </w:tcPr>
          <w:p w:rsidR="002C762D" w:rsidRPr="002C762D" w:rsidRDefault="00306569" w:rsidP="002C762D">
            <w:pPr>
              <w:kinsoku w:val="0"/>
              <w:overflowPunct w:val="0"/>
              <w:snapToGrid w:val="0"/>
              <w:rPr>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r w:rsidR="004A58D9">
              <w:rPr>
                <w:sz w:val="20"/>
                <w:szCs w:val="20"/>
              </w:rPr>
              <w:t xml:space="preserve"> or the </w:t>
            </w:r>
            <w:r w:rsidR="004A58D9" w:rsidRPr="00601CF1">
              <w:rPr>
                <w:sz w:val="20"/>
                <w:szCs w:val="20"/>
              </w:rPr>
              <w:t>Active Exchange-Traded Fund</w:t>
            </w:r>
            <w:r w:rsidRPr="000803AE">
              <w:rPr>
                <w:sz w:val="20"/>
                <w:szCs w:val="20"/>
              </w:rPr>
              <w:t>.</w:t>
            </w:r>
          </w:p>
          <w:p w:rsidR="00306569" w:rsidRPr="002C762D" w:rsidRDefault="00306569" w:rsidP="000C7208">
            <w:pPr>
              <w:kinsoku w:val="0"/>
              <w:overflowPunct w:val="0"/>
              <w:snapToGrid w:val="0"/>
              <w:rPr>
                <w:sz w:val="20"/>
                <w:szCs w:val="20"/>
              </w:rPr>
            </w:pP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8</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r w:rsidR="006F6B9E">
              <w:rPr>
                <w:sz w:val="20"/>
                <w:szCs w:val="20"/>
              </w:rPr>
              <w:t xml:space="preserve"> or the </w:t>
            </w:r>
            <w:r w:rsidR="006F6B9E" w:rsidRPr="00601CF1">
              <w:rPr>
                <w:sz w:val="20"/>
                <w:szCs w:val="20"/>
              </w:rPr>
              <w:t>Active Exchange-Traded Fund</w:t>
            </w:r>
            <w:r w:rsidRPr="000803AE">
              <w:rPr>
                <w:sz w:val="20"/>
                <w:szCs w:val="20"/>
              </w:rPr>
              <w:t>.</w:t>
            </w:r>
          </w:p>
        </w:tc>
        <w:tc>
          <w:tcPr>
            <w:tcW w:w="2160" w:type="dxa"/>
          </w:tcPr>
          <w:p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rsidR="00A51DE8" w:rsidRDefault="00A51DE8" w:rsidP="004D4733">
            <w:pPr>
              <w:kinsoku w:val="0"/>
              <w:overflowPunct w:val="0"/>
              <w:snapToGrid w:val="0"/>
              <w:rPr>
                <w:sz w:val="20"/>
                <w:szCs w:val="20"/>
              </w:rPr>
            </w:pPr>
            <w:r w:rsidRPr="000803AE">
              <w:rPr>
                <w:sz w:val="20"/>
                <w:szCs w:val="20"/>
              </w:rPr>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rsidR="00306569" w:rsidRPr="000803AE" w:rsidRDefault="00306569" w:rsidP="004D4733"/>
        </w:tc>
        <w:tc>
          <w:tcPr>
            <w:tcW w:w="3780" w:type="dxa"/>
          </w:tcPr>
          <w:p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rsidR="00306569" w:rsidRPr="000803AE" w:rsidRDefault="00306569" w:rsidP="00FF048F">
            <w:pPr>
              <w:numPr>
                <w:ilvl w:val="0"/>
                <w:numId w:val="216"/>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rsidTr="004D4733">
        <w:tc>
          <w:tcPr>
            <w:tcW w:w="568" w:type="dxa"/>
            <w:vAlign w:val="center"/>
          </w:tcPr>
          <w:p w:rsidR="00861EE0" w:rsidRPr="000803AE" w:rsidRDefault="00E243A4" w:rsidP="003716D3">
            <w:pPr>
              <w:kinsoku w:val="0"/>
              <w:overflowPunct w:val="0"/>
              <w:snapToGrid w:val="0"/>
              <w:jc w:val="center"/>
              <w:rPr>
                <w:sz w:val="20"/>
                <w:szCs w:val="20"/>
              </w:rPr>
            </w:pPr>
            <w:r>
              <w:rPr>
                <w:sz w:val="20"/>
                <w:szCs w:val="20"/>
              </w:rPr>
              <w:t>9</w:t>
            </w:r>
          </w:p>
        </w:tc>
        <w:tc>
          <w:tcPr>
            <w:tcW w:w="2340" w:type="dxa"/>
          </w:tcPr>
          <w:p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lastRenderedPageBreak/>
              <w:t>Letter No. Tai-Zheng-Jiao-10800112711 dated July 2, 2019.</w:t>
            </w:r>
          </w:p>
        </w:tc>
      </w:tr>
      <w:tr w:rsidR="004A58D9" w:rsidRPr="000803AE" w:rsidTr="004D4733">
        <w:tc>
          <w:tcPr>
            <w:tcW w:w="568" w:type="dxa"/>
            <w:vAlign w:val="center"/>
          </w:tcPr>
          <w:p w:rsidR="004A58D9" w:rsidRDefault="004A58D9" w:rsidP="003716D3">
            <w:pPr>
              <w:kinsoku w:val="0"/>
              <w:overflowPunct w:val="0"/>
              <w:snapToGrid w:val="0"/>
              <w:jc w:val="center"/>
              <w:rPr>
                <w:sz w:val="20"/>
                <w:szCs w:val="20"/>
              </w:rPr>
            </w:pPr>
            <w:r>
              <w:rPr>
                <w:rFonts w:hint="eastAsia"/>
                <w:sz w:val="20"/>
                <w:szCs w:val="20"/>
              </w:rPr>
              <w:lastRenderedPageBreak/>
              <w:t>1</w:t>
            </w:r>
            <w:r>
              <w:rPr>
                <w:sz w:val="20"/>
                <w:szCs w:val="20"/>
              </w:rPr>
              <w:t>0</w:t>
            </w:r>
          </w:p>
        </w:tc>
        <w:tc>
          <w:tcPr>
            <w:tcW w:w="2340" w:type="dxa"/>
          </w:tcPr>
          <w:p w:rsidR="004A58D9" w:rsidRPr="000803AE" w:rsidRDefault="00CE5007" w:rsidP="004E45FA">
            <w:pPr>
              <w:kinsoku w:val="0"/>
              <w:overflowPunct w:val="0"/>
              <w:snapToGrid w:val="0"/>
              <w:rPr>
                <w:rFonts w:eastAsia="標楷體"/>
                <w:sz w:val="20"/>
                <w:szCs w:val="20"/>
              </w:rPr>
            </w:pPr>
            <w:r w:rsidRPr="00CE5007">
              <w:rPr>
                <w:sz w:val="20"/>
                <w:szCs w:val="20"/>
              </w:rPr>
              <w:t xml:space="preserve">Information on the </w:t>
            </w:r>
            <w:r>
              <w:rPr>
                <w:rFonts w:eastAsia="標楷體"/>
                <w:sz w:val="20"/>
                <w:szCs w:val="20"/>
              </w:rPr>
              <w:t>p</w:t>
            </w:r>
            <w:r w:rsidR="008F56FE" w:rsidRPr="008F56FE">
              <w:rPr>
                <w:rFonts w:eastAsia="標楷體"/>
                <w:sz w:val="20"/>
                <w:szCs w:val="20"/>
              </w:rPr>
              <w:t>ortfolio composition file</w:t>
            </w:r>
            <w:r w:rsidR="008F56FE" w:rsidRPr="000803AE">
              <w:rPr>
                <w:sz w:val="20"/>
                <w:szCs w:val="20"/>
              </w:rPr>
              <w:t xml:space="preserve"> </w:t>
            </w:r>
            <w:r w:rsidR="008F56FE">
              <w:rPr>
                <w:sz w:val="20"/>
                <w:szCs w:val="20"/>
              </w:rPr>
              <w:t xml:space="preserve">of </w:t>
            </w:r>
            <w:r w:rsidR="008F56FE" w:rsidRPr="000803AE">
              <w:rPr>
                <w:sz w:val="20"/>
                <w:szCs w:val="20"/>
              </w:rPr>
              <w:t>the ETF</w:t>
            </w:r>
            <w:r w:rsidR="008F56FE">
              <w:rPr>
                <w:sz w:val="20"/>
                <w:szCs w:val="20"/>
              </w:rPr>
              <w:t xml:space="preserve"> or the </w:t>
            </w:r>
            <w:r w:rsidR="008F56FE" w:rsidRPr="00601CF1">
              <w:rPr>
                <w:sz w:val="20"/>
                <w:szCs w:val="20"/>
              </w:rPr>
              <w:t>Active Exchange-Traded Fund</w:t>
            </w:r>
            <w:r w:rsidR="008F56FE" w:rsidRPr="000803AE">
              <w:rPr>
                <w:sz w:val="20"/>
                <w:szCs w:val="20"/>
              </w:rPr>
              <w:t>.</w:t>
            </w:r>
          </w:p>
        </w:tc>
        <w:tc>
          <w:tcPr>
            <w:tcW w:w="2160" w:type="dxa"/>
          </w:tcPr>
          <w:p w:rsidR="004A58D9" w:rsidRPr="000803AE" w:rsidRDefault="00870035" w:rsidP="00C40301">
            <w:pPr>
              <w:kinsoku w:val="0"/>
              <w:overflowPunct w:val="0"/>
              <w:snapToGrid w:val="0"/>
              <w:rPr>
                <w:sz w:val="20"/>
                <w:szCs w:val="20"/>
              </w:rPr>
            </w:pPr>
            <w:r w:rsidRPr="00CE5007">
              <w:rPr>
                <w:sz w:val="20"/>
                <w:szCs w:val="20"/>
              </w:rPr>
              <w:t xml:space="preserve">After the fund’s net asset value is settled at the end of each business day. However, the first disclosure date shall be the business day </w:t>
            </w:r>
            <w:r w:rsidRPr="00870035">
              <w:rPr>
                <w:sz w:val="20"/>
                <w:szCs w:val="20"/>
              </w:rPr>
              <w:t>prior to the listing</w:t>
            </w:r>
            <w:r w:rsidRPr="00CE5007">
              <w:rPr>
                <w:sz w:val="20"/>
                <w:szCs w:val="20"/>
              </w:rPr>
              <w:t xml:space="preserve"> of the </w:t>
            </w:r>
            <w:r w:rsidR="00B64D07" w:rsidRPr="000803AE">
              <w:rPr>
                <w:sz w:val="20"/>
                <w:szCs w:val="20"/>
              </w:rPr>
              <w:t>beneficial certificates</w:t>
            </w:r>
            <w:r w:rsidRPr="00CE5007">
              <w:rPr>
                <w:sz w:val="20"/>
                <w:szCs w:val="20"/>
              </w:rPr>
              <w:t>. In the event of force majeure, th</w:t>
            </w:r>
            <w:r w:rsidR="00C40301">
              <w:rPr>
                <w:sz w:val="20"/>
                <w:szCs w:val="20"/>
              </w:rPr>
              <w:t xml:space="preserve">e aforementioned disclosure </w:t>
            </w:r>
            <w:r w:rsidR="00C40301" w:rsidRPr="00D3106E">
              <w:rPr>
                <w:sz w:val="20"/>
                <w:szCs w:val="20"/>
              </w:rPr>
              <w:t>deadline</w:t>
            </w:r>
            <w:r w:rsidRPr="00CE5007">
              <w:rPr>
                <w:sz w:val="20"/>
                <w:szCs w:val="20"/>
              </w:rPr>
              <w:t xml:space="preserve"> may be </w:t>
            </w:r>
            <w:r w:rsidR="00C40301" w:rsidRPr="00D3106E">
              <w:rPr>
                <w:sz w:val="20"/>
                <w:szCs w:val="20"/>
              </w:rPr>
              <w:t>extended</w:t>
            </w:r>
            <w:r w:rsidRPr="00D3106E">
              <w:rPr>
                <w:sz w:val="20"/>
                <w:szCs w:val="20"/>
              </w:rPr>
              <w:t xml:space="preserve"> to </w:t>
            </w:r>
            <w:r w:rsidR="00C40301" w:rsidRPr="00D3106E">
              <w:rPr>
                <w:sz w:val="20"/>
                <w:szCs w:val="20"/>
              </w:rPr>
              <w:t>prior to</w:t>
            </w:r>
            <w:r w:rsidR="007414F7">
              <w:rPr>
                <w:sz w:val="20"/>
                <w:szCs w:val="20"/>
              </w:rPr>
              <w:t xml:space="preserve"> the</w:t>
            </w:r>
            <w:r w:rsidR="007414F7" w:rsidRPr="000803AE">
              <w:rPr>
                <w:sz w:val="20"/>
                <w:szCs w:val="20"/>
              </w:rPr>
              <w:t xml:space="preserve"> market opening </w:t>
            </w:r>
            <w:r w:rsidRPr="00CE5007">
              <w:rPr>
                <w:sz w:val="20"/>
                <w:szCs w:val="20"/>
              </w:rPr>
              <w:t>of the next business day.</w:t>
            </w:r>
          </w:p>
        </w:tc>
        <w:tc>
          <w:tcPr>
            <w:tcW w:w="6300" w:type="dxa"/>
          </w:tcPr>
          <w:p w:rsidR="004A58D9" w:rsidRPr="000803AE" w:rsidRDefault="00CE5007" w:rsidP="00277390">
            <w:pPr>
              <w:kinsoku w:val="0"/>
              <w:overflowPunct w:val="0"/>
              <w:snapToGrid w:val="0"/>
              <w:rPr>
                <w:sz w:val="20"/>
                <w:szCs w:val="20"/>
              </w:rPr>
            </w:pPr>
            <w:r w:rsidRPr="00CE5007">
              <w:rPr>
                <w:sz w:val="20"/>
                <w:szCs w:val="20"/>
              </w:rPr>
              <w:t xml:space="preserve">The </w:t>
            </w:r>
            <w:r w:rsidR="00EE1B36" w:rsidRPr="00CE5007">
              <w:rPr>
                <w:sz w:val="20"/>
                <w:szCs w:val="20"/>
              </w:rPr>
              <w:t>relev</w:t>
            </w:r>
            <w:r w:rsidR="00E8629A">
              <w:rPr>
                <w:sz w:val="20"/>
                <w:szCs w:val="20"/>
              </w:rPr>
              <w:t>ant reference data, information</w:t>
            </w:r>
            <w:r w:rsidR="00EE1B36" w:rsidRPr="00CE5007">
              <w:rPr>
                <w:sz w:val="20"/>
                <w:szCs w:val="20"/>
              </w:rPr>
              <w:t xml:space="preserve"> and</w:t>
            </w:r>
            <w:r w:rsidR="00E94AB4" w:rsidRPr="000803AE">
              <w:rPr>
                <w:sz w:val="20"/>
                <w:szCs w:val="20"/>
              </w:rPr>
              <w:t xml:space="preserve"> portfolios</w:t>
            </w:r>
            <w:r w:rsidR="00EE1B36" w:rsidRPr="00CE5007">
              <w:rPr>
                <w:sz w:val="20"/>
                <w:szCs w:val="20"/>
              </w:rPr>
              <w:t xml:space="preserve"> for the subscription and redemption of the fund for the next business day</w:t>
            </w:r>
            <w:r w:rsidR="00277390" w:rsidRPr="00CE5007">
              <w:rPr>
                <w:sz w:val="20"/>
                <w:szCs w:val="20"/>
              </w:rPr>
              <w:t xml:space="preserve"> shall</w:t>
            </w:r>
            <w:r w:rsidR="00277390">
              <w:rPr>
                <w:sz w:val="20"/>
                <w:szCs w:val="20"/>
              </w:rPr>
              <w:t xml:space="preserve"> be </w:t>
            </w:r>
            <w:r w:rsidR="00277390" w:rsidRPr="00CE5007">
              <w:rPr>
                <w:sz w:val="20"/>
                <w:szCs w:val="20"/>
              </w:rPr>
              <w:t>disclose</w:t>
            </w:r>
            <w:r w:rsidR="00277390">
              <w:rPr>
                <w:sz w:val="20"/>
                <w:szCs w:val="20"/>
              </w:rPr>
              <w:t>d</w:t>
            </w:r>
            <w:r w:rsidR="00277390" w:rsidRPr="00CE5007">
              <w:rPr>
                <w:sz w:val="20"/>
                <w:szCs w:val="20"/>
              </w:rPr>
              <w:t xml:space="preserve"> on</w:t>
            </w:r>
            <w:r w:rsidR="00277390">
              <w:rPr>
                <w:sz w:val="20"/>
                <w:szCs w:val="20"/>
              </w:rPr>
              <w:t xml:space="preserve"> the</w:t>
            </w:r>
            <w:r w:rsidR="00277390" w:rsidRPr="00CE5007">
              <w:rPr>
                <w:sz w:val="20"/>
                <w:szCs w:val="20"/>
              </w:rPr>
              <w:t xml:space="preserve"> website</w:t>
            </w:r>
            <w:r w:rsidR="00277390">
              <w:rPr>
                <w:sz w:val="20"/>
                <w:szCs w:val="20"/>
              </w:rPr>
              <w:t xml:space="preserve"> of</w:t>
            </w:r>
            <w:r w:rsidR="00C40301">
              <w:rPr>
                <w:sz w:val="20"/>
                <w:szCs w:val="20"/>
              </w:rPr>
              <w:t xml:space="preserve"> </w:t>
            </w:r>
            <w:r w:rsidR="00C40301" w:rsidRPr="00D3106E">
              <w:rPr>
                <w:sz w:val="20"/>
                <w:szCs w:val="20"/>
              </w:rPr>
              <w:t>the</w:t>
            </w:r>
            <w:r w:rsidR="00277390">
              <w:rPr>
                <w:sz w:val="20"/>
                <w:szCs w:val="20"/>
              </w:rPr>
              <w:t xml:space="preserve"> securities investment trust e</w:t>
            </w:r>
            <w:r w:rsidRPr="00CE5007">
              <w:rPr>
                <w:sz w:val="20"/>
                <w:szCs w:val="20"/>
              </w:rPr>
              <w:t>nterprise or the futures trust enterprise</w:t>
            </w:r>
            <w:r w:rsidR="00277390">
              <w:rPr>
                <w:sz w:val="20"/>
                <w:szCs w:val="20"/>
              </w:rPr>
              <w:t>.</w:t>
            </w:r>
          </w:p>
        </w:tc>
        <w:tc>
          <w:tcPr>
            <w:tcW w:w="3780" w:type="dxa"/>
          </w:tcPr>
          <w:p w:rsidR="004A58D9" w:rsidRPr="00273106" w:rsidRDefault="00273106" w:rsidP="00273106">
            <w:pPr>
              <w:kinsoku w:val="0"/>
              <w:overflowPunct w:val="0"/>
              <w:snapToGrid w:val="0"/>
              <w:rPr>
                <w:sz w:val="20"/>
                <w:szCs w:val="20"/>
              </w:rPr>
            </w:pPr>
            <w:r w:rsidRPr="00273106">
              <w:rPr>
                <w:sz w:val="20"/>
                <w:szCs w:val="20"/>
              </w:rPr>
              <w:t>Article 3</w:t>
            </w:r>
            <w:r w:rsidR="00F5171D">
              <w:rPr>
                <w:sz w:val="20"/>
                <w:szCs w:val="20"/>
              </w:rPr>
              <w:t>-6</w:t>
            </w:r>
            <w:r w:rsidRPr="00273106">
              <w:rPr>
                <w:sz w:val="20"/>
                <w:szCs w:val="20"/>
              </w:rPr>
              <w:t xml:space="preserve"> of the Taiwan Stock Exchange Corporation Rules Governing Information Filing by Companies with TWSE Listed Securities and Offshore Fund Institutions with TWSE Listed Offshore Exchange-Traded Funds.</w:t>
            </w:r>
          </w:p>
        </w:tc>
      </w:tr>
    </w:tbl>
    <w:p w:rsidR="00306569" w:rsidRPr="000803AE" w:rsidRDefault="00306569" w:rsidP="003716D3">
      <w:pPr>
        <w:snapToGrid w:val="0"/>
        <w:ind w:left="240"/>
        <w:rPr>
          <w:sz w:val="20"/>
          <w:szCs w:val="20"/>
        </w:rPr>
      </w:pPr>
    </w:p>
    <w:p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AB4DEC" w:rsidP="003716D3">
            <w:pPr>
              <w:adjustRightInd w:val="0"/>
              <w:snapToGrid w:val="0"/>
              <w:ind w:left="238"/>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ind w:left="238"/>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w:t>
            </w:r>
            <w:r w:rsidR="00CC4AED" w:rsidRPr="000803AE">
              <w:rPr>
                <w:rFonts w:hint="eastAsia"/>
                <w:sz w:val="20"/>
                <w:szCs w:val="20"/>
              </w:rPr>
              <w:t xml:space="preserve">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r w:rsidR="00F07627">
              <w:rPr>
                <w:rFonts w:hint="eastAsia"/>
                <w:sz w:val="20"/>
                <w:szCs w:val="20"/>
              </w:rPr>
              <w:t xml:space="preserve"> </w:t>
            </w:r>
            <w:r w:rsidR="00F07627" w:rsidRPr="000803AE">
              <w:rPr>
                <w:sz w:val="20"/>
                <w:szCs w:val="20"/>
              </w:rPr>
              <w:t>(</w:t>
            </w:r>
            <w:r w:rsidR="00F07627">
              <w:rPr>
                <w:rFonts w:hint="eastAsia"/>
                <w:sz w:val="20"/>
                <w:szCs w:val="20"/>
              </w:rPr>
              <w:t>c</w:t>
            </w:r>
            <w:r w:rsidR="00F07627">
              <w:rPr>
                <w:sz w:val="20"/>
                <w:szCs w:val="20"/>
              </w:rPr>
              <w:t xml:space="preserve">ollectively, </w:t>
            </w:r>
            <w:r w:rsidR="00F07627" w:rsidRPr="000803AE">
              <w:rPr>
                <w:sz w:val="20"/>
                <w:szCs w:val="20"/>
              </w:rPr>
              <w:t>"ETF")</w:t>
            </w:r>
            <w:r w:rsidR="00F07627" w:rsidRPr="000B331B">
              <w:rPr>
                <w:rFonts w:eastAsia="標楷體"/>
                <w:sz w:val="20"/>
                <w:szCs w:val="20"/>
              </w:rPr>
              <w:t xml:space="preserve">, or </w:t>
            </w:r>
            <w:r w:rsidR="00F07627" w:rsidRPr="00EF75D4">
              <w:rPr>
                <w:rFonts w:eastAsia="標楷體"/>
                <w:sz w:val="20"/>
                <w:szCs w:val="20"/>
              </w:rPr>
              <w:t>Active Exchange-Traded Securities Investment Trust Fund</w:t>
            </w:r>
            <w:r w:rsidR="00F07627">
              <w:rPr>
                <w:rFonts w:eastAsia="標楷體"/>
                <w:sz w:val="20"/>
                <w:szCs w:val="20"/>
              </w:rPr>
              <w:t xml:space="preserve"> </w:t>
            </w:r>
            <w:r w:rsidR="00F07627" w:rsidRPr="000803AE">
              <w:rPr>
                <w:sz w:val="20"/>
                <w:szCs w:val="20"/>
              </w:rPr>
              <w:t>(</w:t>
            </w:r>
            <w:r w:rsidR="00F07627">
              <w:rPr>
                <w:sz w:val="20"/>
                <w:szCs w:val="20"/>
              </w:rPr>
              <w:t>"</w:t>
            </w:r>
            <w:r w:rsidR="00F07627" w:rsidRPr="00EF75D4">
              <w:rPr>
                <w:rFonts w:eastAsia="標楷體"/>
                <w:sz w:val="20"/>
                <w:szCs w:val="20"/>
              </w:rPr>
              <w:t>Active Exchange-Traded Fund</w:t>
            </w:r>
            <w:r w:rsidR="00F07627" w:rsidRPr="000803AE">
              <w:rPr>
                <w:sz w:val="20"/>
                <w:szCs w:val="20"/>
              </w:rPr>
              <w:t>")</w:t>
            </w:r>
          </w:p>
          <w:p w:rsidR="00AB4DEC" w:rsidRPr="000803AE" w:rsidRDefault="00AB4DEC" w:rsidP="00F963B6">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C844BE">
              <w:rPr>
                <w:rFonts w:eastAsia="標楷體"/>
                <w:sz w:val="20"/>
                <w:szCs w:val="20"/>
              </w:rPr>
              <w:t>May 5</w:t>
            </w:r>
            <w:r w:rsidR="007A31B0">
              <w:rPr>
                <w:rFonts w:eastAsia="標楷體"/>
                <w:sz w:val="20"/>
                <w:szCs w:val="20"/>
              </w:rPr>
              <w:t>, 20</w:t>
            </w:r>
            <w:r w:rsidR="00732FE4">
              <w:rPr>
                <w:rFonts w:eastAsia="標楷體"/>
                <w:sz w:val="20"/>
                <w:szCs w:val="20"/>
              </w:rPr>
              <w:t>2</w:t>
            </w:r>
            <w:r w:rsidR="00C844BE">
              <w:rPr>
                <w:rFonts w:eastAsia="標楷體"/>
                <w:sz w:val="20"/>
                <w:szCs w:val="20"/>
              </w:rPr>
              <w:t>5</w:t>
            </w:r>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rsidR="00F32986" w:rsidRPr="000803AE" w:rsidRDefault="00F32986" w:rsidP="008F2241">
            <w:pPr>
              <w:kinsoku w:val="0"/>
              <w:overflowPunct w:val="0"/>
              <w:snapToGrid w:val="0"/>
              <w:rPr>
                <w:sz w:val="20"/>
                <w:szCs w:val="20"/>
              </w:rPr>
            </w:pPr>
            <w:r w:rsidRPr="000803AE">
              <w:rPr>
                <w:sz w:val="20"/>
                <w:szCs w:val="20"/>
              </w:rPr>
              <w:t>If it is an initial listing, the basic data of the ETF</w:t>
            </w:r>
            <w:r w:rsidR="00403D7A">
              <w:rPr>
                <w:sz w:val="20"/>
                <w:szCs w:val="20"/>
              </w:rPr>
              <w:t xml:space="preserve"> or the </w:t>
            </w:r>
            <w:r w:rsidR="00403D7A" w:rsidRPr="00601CF1">
              <w:rPr>
                <w:sz w:val="20"/>
                <w:szCs w:val="20"/>
              </w:rPr>
              <w:t>Active Exchange-Traded Fund</w:t>
            </w:r>
            <w:r w:rsidRPr="000803AE">
              <w:rPr>
                <w:sz w:val="20"/>
                <w:szCs w:val="20"/>
              </w:rPr>
              <w:t xml:space="preserve"> and its net asset value per beneficial unit, total number of beneficial units, and net asset value of the ETF </w:t>
            </w:r>
            <w:r w:rsidR="00403D7A">
              <w:rPr>
                <w:sz w:val="20"/>
                <w:szCs w:val="20"/>
              </w:rPr>
              <w:t xml:space="preserve">or the </w:t>
            </w:r>
            <w:r w:rsidR="00403D7A" w:rsidRPr="00601CF1">
              <w:rPr>
                <w:sz w:val="20"/>
                <w:szCs w:val="20"/>
              </w:rPr>
              <w:t>Active Exchange-Traded Fund</w:t>
            </w:r>
            <w:r w:rsidR="00403D7A" w:rsidRPr="000803AE">
              <w:rPr>
                <w:sz w:val="20"/>
                <w:szCs w:val="20"/>
              </w:rPr>
              <w:t xml:space="preserve"> </w:t>
            </w:r>
            <w:r w:rsidRPr="000803AE">
              <w:rPr>
                <w:sz w:val="20"/>
                <w:szCs w:val="20"/>
              </w:rPr>
              <w:t>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w:t>
            </w:r>
            <w:r w:rsidRPr="000803AE">
              <w:rPr>
                <w:sz w:val="20"/>
                <w:szCs w:val="20"/>
              </w:rPr>
              <w:lastRenderedPageBreak/>
              <w:t xml:space="preserve">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rsidR="00F32986" w:rsidRDefault="00F32986" w:rsidP="004D4733">
            <w:pPr>
              <w:pStyle w:val="af0"/>
              <w:numPr>
                <w:ilvl w:val="0"/>
                <w:numId w:val="220"/>
              </w:numPr>
              <w:kinsoku w:val="0"/>
              <w:overflowPunct w:val="0"/>
              <w:snapToGrid w:val="0"/>
              <w:rPr>
                <w:sz w:val="20"/>
                <w:szCs w:val="20"/>
              </w:rPr>
            </w:pPr>
            <w:r w:rsidRPr="004D4733">
              <w:rPr>
                <w:sz w:val="20"/>
                <w:szCs w:val="20"/>
              </w:rPr>
              <w:lastRenderedPageBreak/>
              <w:t xml:space="preserve">At least 12 business days before the </w:t>
            </w:r>
            <w:r w:rsidRPr="004D4733">
              <w:rPr>
                <w:sz w:val="20"/>
                <w:szCs w:val="20"/>
              </w:rPr>
              <w:lastRenderedPageBreak/>
              <w:t>suspension of changes to entries in the register of beneficiaries or the record date for the distribution.</w:t>
            </w:r>
          </w:p>
          <w:p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F32986" w:rsidRPr="000803AE" w:rsidRDefault="00F32986" w:rsidP="004D4733">
            <w:pPr>
              <w:numPr>
                <w:ilvl w:val="0"/>
                <w:numId w:val="471"/>
              </w:numPr>
              <w:kinsoku w:val="0"/>
              <w:overflowPunct w:val="0"/>
              <w:snapToGrid w:val="0"/>
              <w:rPr>
                <w:sz w:val="20"/>
                <w:szCs w:val="20"/>
              </w:rPr>
            </w:pPr>
            <w:r w:rsidRPr="000803AE">
              <w:rPr>
                <w:sz w:val="20"/>
                <w:szCs w:val="20"/>
              </w:rPr>
              <w:lastRenderedPageBreak/>
              <w:t xml:space="preserve">The relevant information shall be reported to the Market Observation Post System (sii.twse.com.tw/filing of public announcement/public </w:t>
            </w:r>
            <w:r w:rsidRPr="000803AE">
              <w:rPr>
                <w:sz w:val="20"/>
                <w:szCs w:val="20"/>
              </w:rPr>
              <w:lastRenderedPageBreak/>
              <w:t>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F32986" w:rsidRPr="000803AE" w:rsidRDefault="00CD7124" w:rsidP="004D4733">
            <w:pPr>
              <w:numPr>
                <w:ilvl w:val="0"/>
                <w:numId w:val="471"/>
              </w:numPr>
              <w:kinsoku w:val="0"/>
              <w:overflowPunct w:val="0"/>
              <w:snapToGrid w:val="0"/>
              <w:rPr>
                <w:sz w:val="20"/>
                <w:szCs w:val="20"/>
              </w:rPr>
            </w:pPr>
            <w:r>
              <w:rPr>
                <w:sz w:val="20"/>
                <w:szCs w:val="20"/>
              </w:rPr>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 xml:space="preserve">Paragraph 3, Article 46 of Operating Rules of the Taiwan Stock Exchange </w:t>
            </w:r>
            <w:r w:rsidRPr="000803AE">
              <w:rPr>
                <w:sz w:val="20"/>
                <w:szCs w:val="20"/>
              </w:rPr>
              <w:lastRenderedPageBreak/>
              <w:t>Corporation.</w:t>
            </w:r>
          </w:p>
          <w:p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rsidR="00F32986" w:rsidRPr="000803AE" w:rsidRDefault="00F32986" w:rsidP="00FF048F">
            <w:pPr>
              <w:numPr>
                <w:ilvl w:val="0"/>
                <w:numId w:val="221"/>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w:t>
            </w:r>
            <w:r w:rsidRPr="000803AE">
              <w:rPr>
                <w:sz w:val="20"/>
                <w:szCs w:val="20"/>
              </w:rPr>
              <w:lastRenderedPageBreak/>
              <w:t xml:space="preserve">information reporting system designated by the Taiwan Stock Exchange Corporation. </w:t>
            </w:r>
          </w:p>
        </w:tc>
        <w:tc>
          <w:tcPr>
            <w:tcW w:w="216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Before the commencement of trading </w:t>
            </w:r>
            <w:r w:rsidRPr="000803AE">
              <w:rPr>
                <w:sz w:val="20"/>
                <w:szCs w:val="20"/>
              </w:rPr>
              <w:lastRenderedPageBreak/>
              <w:t>hours on the business day next to the date of occurrence of the event or date of the media reportage.</w:t>
            </w:r>
          </w:p>
        </w:tc>
        <w:tc>
          <w:tcPr>
            <w:tcW w:w="630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Publicly announce the material information by uploading such information to the Internet reporting system designated by the Taiwan Stock Exchange </w:t>
            </w:r>
            <w:r w:rsidRPr="000803AE">
              <w:rPr>
                <w:sz w:val="20"/>
                <w:szCs w:val="20"/>
              </w:rPr>
              <w:lastRenderedPageBreak/>
              <w:t>Corporation.</w:t>
            </w:r>
          </w:p>
        </w:tc>
        <w:tc>
          <w:tcPr>
            <w:tcW w:w="3780" w:type="dxa"/>
          </w:tcPr>
          <w:p w:rsidR="00F32986" w:rsidRPr="000803AE" w:rsidRDefault="00F32986" w:rsidP="003716D3">
            <w:pPr>
              <w:kinsoku w:val="0"/>
              <w:overflowPunct w:val="0"/>
              <w:snapToGrid w:val="0"/>
              <w:rPr>
                <w:sz w:val="20"/>
                <w:szCs w:val="20"/>
              </w:rPr>
            </w:pPr>
            <w:r w:rsidRPr="000803AE">
              <w:rPr>
                <w:sz w:val="20"/>
                <w:szCs w:val="20"/>
              </w:rPr>
              <w:lastRenderedPageBreak/>
              <w:t xml:space="preserve">Taiwan Stock Exchange Corporation Procedures for Verification and Disclosure of </w:t>
            </w:r>
            <w:r w:rsidRPr="000803AE">
              <w:rPr>
                <w:sz w:val="20"/>
                <w:szCs w:val="20"/>
              </w:rPr>
              <w:lastRenderedPageBreak/>
              <w:t xml:space="preserve">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jc w:val="center"/>
        <w:rPr>
          <w:b/>
          <w:sz w:val="20"/>
          <w:szCs w:val="20"/>
        </w:rPr>
      </w:pPr>
    </w:p>
    <w:p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right w:val="nil"/>
            </w:tcBorders>
            <w:vAlign w:val="center"/>
          </w:tcPr>
          <w:p w:rsidR="00AB4DEC" w:rsidRPr="000803AE" w:rsidRDefault="00AB4DEC"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rsidR="00AB4DEC" w:rsidRPr="000803AE" w:rsidRDefault="000C7208" w:rsidP="00384937">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r w:rsidR="00384937">
              <w:rPr>
                <w:rFonts w:eastAsia="標楷體"/>
                <w:sz w:val="20"/>
                <w:szCs w:val="20"/>
              </w:rPr>
              <w:t>May 5</w:t>
            </w:r>
            <w:r w:rsidR="007A31B0">
              <w:rPr>
                <w:rFonts w:eastAsia="標楷體"/>
                <w:sz w:val="20"/>
                <w:szCs w:val="20"/>
              </w:rPr>
              <w:t>, 20</w:t>
            </w:r>
            <w:r w:rsidR="00732FE4">
              <w:rPr>
                <w:rFonts w:eastAsia="標楷體"/>
                <w:sz w:val="20"/>
                <w:szCs w:val="20"/>
              </w:rPr>
              <w:t>2</w:t>
            </w:r>
            <w:r w:rsidR="00384937">
              <w:rPr>
                <w:rFonts w:eastAsia="標楷體"/>
                <w:sz w:val="20"/>
                <w:szCs w:val="20"/>
              </w:rPr>
              <w:t>5</w:t>
            </w:r>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rsidTr="004D4733">
        <w:tc>
          <w:tcPr>
            <w:tcW w:w="568" w:type="dxa"/>
            <w:vAlign w:val="center"/>
          </w:tcPr>
          <w:p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rsidTr="004D4733">
        <w:tc>
          <w:tcPr>
            <w:tcW w:w="568" w:type="dxa"/>
            <w:vAlign w:val="center"/>
          </w:tcPr>
          <w:p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7E3210" w:rsidRPr="000803AE" w:rsidRDefault="007E3210" w:rsidP="003716D3">
            <w:pPr>
              <w:kinsoku w:val="0"/>
              <w:overflowPunct w:val="0"/>
              <w:snapToGrid w:val="0"/>
              <w:rPr>
                <w:sz w:val="20"/>
                <w:szCs w:val="20"/>
              </w:rPr>
            </w:pPr>
            <w:r w:rsidRPr="000803AE">
              <w:rPr>
                <w:sz w:val="20"/>
                <w:szCs w:val="20"/>
              </w:rPr>
              <w:t xml:space="preserve">Industry sector investment proportions of the offshore ETF linked by such Linked </w:t>
            </w:r>
            <w:r w:rsidRPr="000803AE">
              <w:rPr>
                <w:sz w:val="20"/>
                <w:szCs w:val="20"/>
              </w:rPr>
              <w:lastRenderedPageBreak/>
              <w:t>ETF.</w:t>
            </w:r>
          </w:p>
        </w:tc>
        <w:tc>
          <w:tcPr>
            <w:tcW w:w="2160" w:type="dxa"/>
          </w:tcPr>
          <w:p w:rsidR="007E3210" w:rsidRPr="000803AE" w:rsidRDefault="007E3210" w:rsidP="003716D3">
            <w:pPr>
              <w:kinsoku w:val="0"/>
              <w:overflowPunct w:val="0"/>
              <w:snapToGrid w:val="0"/>
              <w:rPr>
                <w:sz w:val="20"/>
                <w:szCs w:val="20"/>
              </w:rPr>
            </w:pPr>
            <w:r w:rsidRPr="000803AE">
              <w:rPr>
                <w:sz w:val="20"/>
                <w:szCs w:val="20"/>
              </w:rPr>
              <w:lastRenderedPageBreak/>
              <w:t xml:space="preserve">In accordance with the deadline for the application for the </w:t>
            </w:r>
            <w:r w:rsidRPr="000803AE">
              <w:rPr>
                <w:sz w:val="20"/>
                <w:szCs w:val="20"/>
              </w:rPr>
              <w:lastRenderedPageBreak/>
              <w:t>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xml:space="preserve">, Paragraph 5,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A9404A" w:rsidP="003716D3">
            <w:pPr>
              <w:kinsoku w:val="0"/>
              <w:overflowPunct w:val="0"/>
              <w:snapToGrid w:val="0"/>
              <w:jc w:val="center"/>
              <w:rPr>
                <w:sz w:val="20"/>
                <w:szCs w:val="20"/>
              </w:rPr>
            </w:pPr>
            <w:r>
              <w:rPr>
                <w:sz w:val="20"/>
                <w:szCs w:val="20"/>
              </w:rPr>
              <w:t>8</w:t>
            </w:r>
          </w:p>
        </w:tc>
        <w:tc>
          <w:tcPr>
            <w:tcW w:w="2340" w:type="dxa"/>
          </w:tcPr>
          <w:p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rsidR="007E3210" w:rsidRPr="000803AE" w:rsidRDefault="007E3210" w:rsidP="003716D3">
            <w:pPr>
              <w:kinsoku w:val="0"/>
              <w:overflowPunct w:val="0"/>
              <w:snapToGrid w:val="0"/>
              <w:rPr>
                <w:sz w:val="20"/>
                <w:szCs w:val="20"/>
              </w:rPr>
            </w:pPr>
          </w:p>
        </w:tc>
        <w:tc>
          <w:tcPr>
            <w:tcW w:w="2160" w:type="dxa"/>
          </w:tcPr>
          <w:p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rsidTr="004D4733">
        <w:tc>
          <w:tcPr>
            <w:tcW w:w="568" w:type="dxa"/>
            <w:vAlign w:val="center"/>
          </w:tcPr>
          <w:p w:rsidR="001570D5" w:rsidRPr="000803AE" w:rsidRDefault="00A9404A" w:rsidP="003716D3">
            <w:pPr>
              <w:kinsoku w:val="0"/>
              <w:overflowPunct w:val="0"/>
              <w:snapToGrid w:val="0"/>
              <w:jc w:val="center"/>
              <w:rPr>
                <w:sz w:val="20"/>
                <w:szCs w:val="20"/>
              </w:rPr>
            </w:pPr>
            <w:r>
              <w:rPr>
                <w:sz w:val="20"/>
                <w:szCs w:val="20"/>
              </w:rPr>
              <w:t>9</w:t>
            </w:r>
          </w:p>
        </w:tc>
        <w:tc>
          <w:tcPr>
            <w:tcW w:w="2340" w:type="dxa"/>
          </w:tcPr>
          <w:p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 xml:space="preserve">Taiwan Stock Exchange Corporation Rules Governing Information Filing by </w:t>
            </w:r>
            <w:r w:rsidRPr="000803AE">
              <w:rPr>
                <w:sz w:val="20"/>
                <w:szCs w:val="20"/>
              </w:rPr>
              <w:lastRenderedPageBreak/>
              <w:t>Companies with TWSE Listed Securities and Offshore Fund Institutions with TWSE Listed Offshore Exchange-Traded Funds</w:t>
            </w:r>
            <w:r w:rsidRPr="000803AE">
              <w:rPr>
                <w:rFonts w:hint="eastAsia"/>
                <w:sz w:val="20"/>
                <w:szCs w:val="20"/>
              </w:rPr>
              <w:t>.</w:t>
            </w:r>
          </w:p>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r w:rsidR="002F0E5B" w:rsidRPr="000803AE" w:rsidTr="004D4733">
        <w:tc>
          <w:tcPr>
            <w:tcW w:w="568" w:type="dxa"/>
            <w:vAlign w:val="center"/>
          </w:tcPr>
          <w:p w:rsidR="002F0E5B" w:rsidRDefault="002F0E5B" w:rsidP="002F0E5B">
            <w:pPr>
              <w:kinsoku w:val="0"/>
              <w:overflowPunct w:val="0"/>
              <w:snapToGrid w:val="0"/>
              <w:jc w:val="center"/>
              <w:rPr>
                <w:sz w:val="20"/>
                <w:szCs w:val="20"/>
              </w:rPr>
            </w:pPr>
            <w:r>
              <w:rPr>
                <w:rFonts w:hint="eastAsia"/>
                <w:sz w:val="20"/>
                <w:szCs w:val="20"/>
              </w:rPr>
              <w:lastRenderedPageBreak/>
              <w:t>1</w:t>
            </w:r>
            <w:r>
              <w:rPr>
                <w:sz w:val="20"/>
                <w:szCs w:val="20"/>
              </w:rPr>
              <w:t>0</w:t>
            </w:r>
          </w:p>
        </w:tc>
        <w:tc>
          <w:tcPr>
            <w:tcW w:w="2340" w:type="dxa"/>
          </w:tcPr>
          <w:p w:rsidR="002F0E5B" w:rsidRPr="000803AE" w:rsidRDefault="002F0E5B" w:rsidP="002F0E5B">
            <w:pPr>
              <w:kinsoku w:val="0"/>
              <w:overflowPunct w:val="0"/>
              <w:snapToGrid w:val="0"/>
              <w:rPr>
                <w:rFonts w:eastAsia="標楷體"/>
                <w:sz w:val="20"/>
                <w:szCs w:val="20"/>
              </w:rPr>
            </w:pPr>
            <w:r w:rsidRPr="00CE5007">
              <w:rPr>
                <w:sz w:val="20"/>
                <w:szCs w:val="20"/>
              </w:rPr>
              <w:t xml:space="preserve">Information on the </w:t>
            </w:r>
            <w:r>
              <w:rPr>
                <w:rFonts w:eastAsia="標楷體"/>
                <w:sz w:val="20"/>
                <w:szCs w:val="20"/>
              </w:rPr>
              <w:t>p</w:t>
            </w:r>
            <w:r w:rsidRPr="008F56FE">
              <w:rPr>
                <w:rFonts w:eastAsia="標楷體"/>
                <w:sz w:val="20"/>
                <w:szCs w:val="20"/>
              </w:rPr>
              <w:t>ortfolio composition file</w:t>
            </w:r>
            <w:r>
              <w:rPr>
                <w:sz w:val="20"/>
                <w:szCs w:val="20"/>
              </w:rPr>
              <w:t>.</w:t>
            </w:r>
          </w:p>
        </w:tc>
        <w:tc>
          <w:tcPr>
            <w:tcW w:w="2160" w:type="dxa"/>
          </w:tcPr>
          <w:p w:rsidR="002F0E5B" w:rsidRPr="000803AE" w:rsidRDefault="002F0E5B" w:rsidP="00837D99">
            <w:pPr>
              <w:kinsoku w:val="0"/>
              <w:overflowPunct w:val="0"/>
              <w:snapToGrid w:val="0"/>
              <w:rPr>
                <w:sz w:val="20"/>
                <w:szCs w:val="20"/>
              </w:rPr>
            </w:pPr>
            <w:r w:rsidRPr="00CE5007">
              <w:rPr>
                <w:sz w:val="20"/>
                <w:szCs w:val="20"/>
              </w:rPr>
              <w:t xml:space="preserve">After the fund’s net asset value is settled at the end of each business day. However, the first disclosure date shall be the business day </w:t>
            </w:r>
            <w:r w:rsidRPr="00870035">
              <w:rPr>
                <w:sz w:val="20"/>
                <w:szCs w:val="20"/>
              </w:rPr>
              <w:t>prior to the listing</w:t>
            </w:r>
            <w:r w:rsidRPr="00CE5007">
              <w:rPr>
                <w:sz w:val="20"/>
                <w:szCs w:val="20"/>
              </w:rPr>
              <w:t xml:space="preserve"> of the </w:t>
            </w:r>
            <w:r w:rsidRPr="000803AE">
              <w:rPr>
                <w:sz w:val="20"/>
                <w:szCs w:val="20"/>
              </w:rPr>
              <w:t>beneficial certificates</w:t>
            </w:r>
            <w:r w:rsidRPr="00CE5007">
              <w:rPr>
                <w:sz w:val="20"/>
                <w:szCs w:val="20"/>
              </w:rPr>
              <w:t xml:space="preserve">. In the event of force majeure, the aforementioned disclosure </w:t>
            </w:r>
            <w:r w:rsidR="00837D99" w:rsidRPr="00D3106E">
              <w:rPr>
                <w:sz w:val="20"/>
                <w:szCs w:val="20"/>
              </w:rPr>
              <w:t>deadline</w:t>
            </w:r>
            <w:r w:rsidRPr="00CE5007">
              <w:rPr>
                <w:sz w:val="20"/>
                <w:szCs w:val="20"/>
              </w:rPr>
              <w:t xml:space="preserve"> may be </w:t>
            </w:r>
            <w:r w:rsidR="00837D99" w:rsidRPr="00D3106E">
              <w:rPr>
                <w:sz w:val="20"/>
                <w:szCs w:val="20"/>
              </w:rPr>
              <w:t>extended</w:t>
            </w:r>
            <w:r w:rsidRPr="00D3106E">
              <w:rPr>
                <w:sz w:val="20"/>
                <w:szCs w:val="20"/>
              </w:rPr>
              <w:t xml:space="preserve"> to </w:t>
            </w:r>
            <w:r w:rsidR="00837D99" w:rsidRPr="00D3106E">
              <w:rPr>
                <w:sz w:val="20"/>
                <w:szCs w:val="20"/>
              </w:rPr>
              <w:t>prior to</w:t>
            </w:r>
            <w:r>
              <w:rPr>
                <w:sz w:val="20"/>
                <w:szCs w:val="20"/>
              </w:rPr>
              <w:t xml:space="preserve"> the</w:t>
            </w:r>
            <w:r w:rsidRPr="000803AE">
              <w:rPr>
                <w:sz w:val="20"/>
                <w:szCs w:val="20"/>
              </w:rPr>
              <w:t xml:space="preserve"> market opening </w:t>
            </w:r>
            <w:r w:rsidRPr="00CE5007">
              <w:rPr>
                <w:sz w:val="20"/>
                <w:szCs w:val="20"/>
              </w:rPr>
              <w:t>of the next business day.</w:t>
            </w:r>
          </w:p>
        </w:tc>
        <w:tc>
          <w:tcPr>
            <w:tcW w:w="6300" w:type="dxa"/>
          </w:tcPr>
          <w:p w:rsidR="002F0E5B" w:rsidRPr="000803AE" w:rsidRDefault="002F0E5B" w:rsidP="002F0E5B">
            <w:pPr>
              <w:kinsoku w:val="0"/>
              <w:overflowPunct w:val="0"/>
              <w:snapToGrid w:val="0"/>
              <w:rPr>
                <w:sz w:val="20"/>
                <w:szCs w:val="20"/>
              </w:rPr>
            </w:pPr>
            <w:r w:rsidRPr="00CE5007">
              <w:rPr>
                <w:sz w:val="20"/>
                <w:szCs w:val="20"/>
              </w:rPr>
              <w:t>The relev</w:t>
            </w:r>
            <w:r>
              <w:rPr>
                <w:sz w:val="20"/>
                <w:szCs w:val="20"/>
              </w:rPr>
              <w:t>ant reference data, information</w:t>
            </w:r>
            <w:r w:rsidRPr="00CE5007">
              <w:rPr>
                <w:sz w:val="20"/>
                <w:szCs w:val="20"/>
              </w:rPr>
              <w:t xml:space="preserve"> and</w:t>
            </w:r>
            <w:r w:rsidRPr="000803AE">
              <w:rPr>
                <w:sz w:val="20"/>
                <w:szCs w:val="20"/>
              </w:rPr>
              <w:t xml:space="preserve"> portfolios</w:t>
            </w:r>
            <w:r w:rsidRPr="00CE5007">
              <w:rPr>
                <w:sz w:val="20"/>
                <w:szCs w:val="20"/>
              </w:rPr>
              <w:t xml:space="preserve"> for the subscription and redemption of the fund for the next business day shall</w:t>
            </w:r>
            <w:r>
              <w:rPr>
                <w:sz w:val="20"/>
                <w:szCs w:val="20"/>
              </w:rPr>
              <w:t xml:space="preserve"> be </w:t>
            </w:r>
            <w:r w:rsidRPr="00CE5007">
              <w:rPr>
                <w:sz w:val="20"/>
                <w:szCs w:val="20"/>
              </w:rPr>
              <w:t>disclose</w:t>
            </w:r>
            <w:r>
              <w:rPr>
                <w:sz w:val="20"/>
                <w:szCs w:val="20"/>
              </w:rPr>
              <w:t>d</w:t>
            </w:r>
            <w:r w:rsidRPr="00CE5007">
              <w:rPr>
                <w:sz w:val="20"/>
                <w:szCs w:val="20"/>
              </w:rPr>
              <w:t xml:space="preserve"> on</w:t>
            </w:r>
            <w:r>
              <w:rPr>
                <w:sz w:val="20"/>
                <w:szCs w:val="20"/>
              </w:rPr>
              <w:t xml:space="preserve"> the</w:t>
            </w:r>
            <w:r w:rsidRPr="00CE5007">
              <w:rPr>
                <w:sz w:val="20"/>
                <w:szCs w:val="20"/>
              </w:rPr>
              <w:t xml:space="preserve"> website</w:t>
            </w:r>
            <w:r>
              <w:rPr>
                <w:sz w:val="20"/>
                <w:szCs w:val="20"/>
              </w:rPr>
              <w:t xml:space="preserve"> of securities investment trust e</w:t>
            </w:r>
            <w:r w:rsidRPr="00CE5007">
              <w:rPr>
                <w:sz w:val="20"/>
                <w:szCs w:val="20"/>
              </w:rPr>
              <w:t>nterprise or the futures trust enterprise</w:t>
            </w:r>
            <w:r>
              <w:rPr>
                <w:sz w:val="20"/>
                <w:szCs w:val="20"/>
              </w:rPr>
              <w:t>.</w:t>
            </w:r>
          </w:p>
        </w:tc>
        <w:tc>
          <w:tcPr>
            <w:tcW w:w="3780" w:type="dxa"/>
          </w:tcPr>
          <w:p w:rsidR="002F0E5B" w:rsidRPr="000803AE" w:rsidRDefault="002F0E5B" w:rsidP="002F0E5B">
            <w:pPr>
              <w:kinsoku w:val="0"/>
              <w:overflowPunct w:val="0"/>
              <w:snapToGrid w:val="0"/>
              <w:rPr>
                <w:sz w:val="20"/>
                <w:szCs w:val="20"/>
              </w:rPr>
            </w:pPr>
            <w:r w:rsidRPr="00273106">
              <w:rPr>
                <w:sz w:val="20"/>
                <w:szCs w:val="20"/>
              </w:rPr>
              <w:t>Article 3</w:t>
            </w:r>
            <w:r>
              <w:rPr>
                <w:sz w:val="20"/>
                <w:szCs w:val="20"/>
              </w:rPr>
              <w:t>-6</w:t>
            </w:r>
            <w:r w:rsidRPr="00273106">
              <w:rPr>
                <w:sz w:val="20"/>
                <w:szCs w:val="20"/>
              </w:rPr>
              <w:t xml:space="preserve"> of the Taiwan Stock Exchange Corporation Rules Governing Information Filing by Companies with TWSE Listed Securities and Offshore Fund Institutions with TWSE Listed Offshore Exchange-Traded Funds.</w:t>
            </w:r>
          </w:p>
        </w:tc>
      </w:tr>
    </w:tbl>
    <w:p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306569" w:rsidP="003716D3">
            <w:pPr>
              <w:adjustRightInd w:val="0"/>
              <w:snapToGrid w:val="0"/>
              <w:ind w:left="238"/>
              <w:jc w:val="center"/>
              <w:rPr>
                <w:b/>
                <w:bCs/>
                <w:sz w:val="20"/>
                <w:szCs w:val="20"/>
              </w:rPr>
            </w:pPr>
            <w:r w:rsidRPr="000803AE">
              <w:rPr>
                <w:sz w:val="20"/>
                <w:szCs w:val="20"/>
              </w:rPr>
              <w:lastRenderedPageBreak/>
              <w:br w:type="page"/>
            </w:r>
            <w:r w:rsidR="00AB4DEC" w:rsidRPr="000803AE">
              <w:rPr>
                <w:b/>
                <w:bCs/>
                <w:sz w:val="20"/>
                <w:szCs w:val="20"/>
              </w:rPr>
              <w:t>List of Matters Required to Be Processed by Issuers of Exchange-Listed Securities</w:t>
            </w:r>
          </w:p>
          <w:p w:rsidR="00AB4DEC" w:rsidRPr="000803AE" w:rsidRDefault="00AB4DEC" w:rsidP="003716D3">
            <w:pPr>
              <w:adjustRightInd w:val="0"/>
              <w:snapToGrid w:val="0"/>
              <w:ind w:left="238"/>
              <w:jc w:val="center"/>
              <w:rPr>
                <w:sz w:val="20"/>
                <w:szCs w:val="20"/>
              </w:rPr>
            </w:pPr>
          </w:p>
          <w:p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rsidR="00AB4DEC" w:rsidRPr="000803AE" w:rsidRDefault="000C7208" w:rsidP="00285304">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r w:rsidR="00BC182F">
              <w:rPr>
                <w:rFonts w:eastAsia="標楷體"/>
                <w:sz w:val="20"/>
                <w:szCs w:val="20"/>
              </w:rPr>
              <w:t>May 5</w:t>
            </w:r>
            <w:r w:rsidR="007A31B0">
              <w:rPr>
                <w:rFonts w:eastAsia="標楷體"/>
                <w:sz w:val="20"/>
                <w:szCs w:val="20"/>
              </w:rPr>
              <w:t>, 20</w:t>
            </w:r>
            <w:r w:rsidR="005D7701">
              <w:rPr>
                <w:rFonts w:eastAsia="標楷體"/>
                <w:sz w:val="20"/>
                <w:szCs w:val="20"/>
              </w:rPr>
              <w:t>2</w:t>
            </w:r>
            <w:r w:rsidR="00BC182F">
              <w:rPr>
                <w:rFonts w:eastAsia="標楷體"/>
                <w:sz w:val="20"/>
                <w:szCs w:val="20"/>
              </w:rPr>
              <w:t>5</w:t>
            </w:r>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w:t>
            </w:r>
            <w:r w:rsidRPr="000803AE">
              <w:rPr>
                <w:sz w:val="20"/>
                <w:szCs w:val="20"/>
              </w:rPr>
              <w:lastRenderedPageBreak/>
              <w:t xml:space="preserve">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rsidR="001570D5" w:rsidRDefault="001570D5" w:rsidP="004D4733">
            <w:pPr>
              <w:pStyle w:val="af0"/>
              <w:numPr>
                <w:ilvl w:val="0"/>
                <w:numId w:val="235"/>
              </w:numPr>
              <w:kinsoku w:val="0"/>
              <w:overflowPunct w:val="0"/>
              <w:snapToGrid w:val="0"/>
              <w:rPr>
                <w:sz w:val="20"/>
                <w:szCs w:val="20"/>
              </w:rPr>
            </w:pPr>
            <w:r w:rsidRPr="004D4733">
              <w:rPr>
                <w:sz w:val="20"/>
                <w:szCs w:val="20"/>
              </w:rPr>
              <w:lastRenderedPageBreak/>
              <w:t xml:space="preserve">At least 12 business days before the suspension of changes to entries in the register of beneficiaries or the record date for the </w:t>
            </w:r>
            <w:r w:rsidRPr="004D4733">
              <w:rPr>
                <w:sz w:val="20"/>
                <w:szCs w:val="20"/>
              </w:rPr>
              <w:lastRenderedPageBreak/>
              <w:t>distribution.</w:t>
            </w:r>
          </w:p>
          <w:p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1570D5" w:rsidRPr="000803AE" w:rsidRDefault="001570D5" w:rsidP="004D4733">
            <w:pPr>
              <w:numPr>
                <w:ilvl w:val="0"/>
                <w:numId w:val="472"/>
              </w:numPr>
              <w:kinsoku w:val="0"/>
              <w:overflowPunct w:val="0"/>
              <w:snapToGrid w:val="0"/>
              <w:rPr>
                <w:sz w:val="20"/>
                <w:szCs w:val="20"/>
              </w:rPr>
            </w:pPr>
            <w:r w:rsidRPr="000803AE">
              <w:rPr>
                <w:sz w:val="20"/>
                <w:szCs w:val="20"/>
              </w:rPr>
              <w:lastRenderedPageBreak/>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1570D5" w:rsidRPr="000803AE" w:rsidRDefault="00E74E37" w:rsidP="004D4733">
            <w:pPr>
              <w:numPr>
                <w:ilvl w:val="0"/>
                <w:numId w:val="472"/>
              </w:numPr>
              <w:kinsoku w:val="0"/>
              <w:overflowPunct w:val="0"/>
              <w:snapToGrid w:val="0"/>
              <w:rPr>
                <w:sz w:val="20"/>
                <w:szCs w:val="20"/>
              </w:rPr>
            </w:pPr>
            <w:r>
              <w:rPr>
                <w:sz w:val="20"/>
                <w:szCs w:val="20"/>
              </w:rPr>
              <w:lastRenderedPageBreak/>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Paragraph 3, Article 46 of Operating Rules of the Taiwan Stock Exchange Corporation.</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9E1DA5">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285304">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BC182F">
              <w:rPr>
                <w:rFonts w:eastAsia="標楷體"/>
                <w:sz w:val="20"/>
                <w:szCs w:val="20"/>
              </w:rPr>
              <w:t>May 5</w:t>
            </w:r>
            <w:r w:rsidR="007A31B0">
              <w:rPr>
                <w:rFonts w:eastAsia="標楷體"/>
                <w:sz w:val="20"/>
                <w:szCs w:val="20"/>
              </w:rPr>
              <w:t>, 20</w:t>
            </w:r>
            <w:r w:rsidR="00BE7FE6">
              <w:rPr>
                <w:rFonts w:eastAsia="標楷體" w:hint="eastAsia"/>
                <w:sz w:val="20"/>
                <w:szCs w:val="20"/>
              </w:rPr>
              <w:t>2</w:t>
            </w:r>
            <w:r w:rsidR="00BC182F">
              <w:rPr>
                <w:rFonts w:eastAsia="標楷體"/>
                <w:sz w:val="20"/>
                <w:szCs w:val="20"/>
              </w:rPr>
              <w:t>5</w:t>
            </w:r>
          </w:p>
        </w:tc>
      </w:tr>
      <w:tr w:rsidR="00306569" w:rsidRPr="000803AE" w:rsidTr="009E1DA5">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9E1DA5">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rsidTr="009E1DA5">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9E1DA5">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9E1DA5">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9E1DA5">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b/>
          <w:sz w:val="20"/>
          <w:szCs w:val="20"/>
        </w:rPr>
      </w:pPr>
    </w:p>
    <w:p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285304">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EB75E0">
              <w:rPr>
                <w:rFonts w:eastAsia="標楷體"/>
                <w:sz w:val="20"/>
                <w:szCs w:val="20"/>
              </w:rPr>
              <w:t>May 5</w:t>
            </w:r>
            <w:r w:rsidR="007A31B0">
              <w:rPr>
                <w:rFonts w:eastAsia="標楷體"/>
                <w:sz w:val="20"/>
                <w:szCs w:val="20"/>
              </w:rPr>
              <w:t>, 20</w:t>
            </w:r>
            <w:r w:rsidR="006B4FB9">
              <w:rPr>
                <w:rFonts w:eastAsia="標楷體"/>
                <w:sz w:val="20"/>
                <w:szCs w:val="20"/>
              </w:rPr>
              <w:t>2</w:t>
            </w:r>
            <w:r w:rsidR="00EB75E0">
              <w:rPr>
                <w:rFonts w:eastAsia="標楷體"/>
                <w:sz w:val="20"/>
                <w:szCs w:val="20"/>
              </w:rPr>
              <w:t>5</w:t>
            </w:r>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When the beneficiary </w:t>
            </w:r>
            <w:r w:rsidRPr="000803AE">
              <w:rPr>
                <w:sz w:val="20"/>
                <w:szCs w:val="20"/>
              </w:rPr>
              <w:lastRenderedPageBreak/>
              <w:t>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lastRenderedPageBreak/>
              <w:t xml:space="preserve">Before the </w:t>
            </w:r>
            <w:r w:rsidRPr="000803AE">
              <w:rPr>
                <w:sz w:val="20"/>
                <w:szCs w:val="20"/>
              </w:rPr>
              <w:lastRenderedPageBreak/>
              <w:t>commencement of the listing trading.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lastRenderedPageBreak/>
              <w:t>Four copies of the prospectus</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1, Article 47-5 of Operating Rules </w:t>
            </w:r>
            <w:r w:rsidRPr="000803AE">
              <w:rPr>
                <w:sz w:val="20"/>
                <w:szCs w:val="20"/>
              </w:rPr>
              <w:lastRenderedPageBreak/>
              <w:t>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lastRenderedPageBreak/>
              <w:t>6</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sz w:val="20"/>
          <w:szCs w:val="20"/>
        </w:rPr>
      </w:pPr>
    </w:p>
    <w:p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285304">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674FFD">
              <w:rPr>
                <w:rFonts w:eastAsia="標楷體"/>
                <w:sz w:val="20"/>
                <w:szCs w:val="20"/>
              </w:rPr>
              <w:t>May 5</w:t>
            </w:r>
            <w:r w:rsidR="007A31B0">
              <w:rPr>
                <w:rFonts w:eastAsia="標楷體"/>
                <w:sz w:val="20"/>
                <w:szCs w:val="20"/>
              </w:rPr>
              <w:t>, 20</w:t>
            </w:r>
            <w:r w:rsidR="00473453">
              <w:rPr>
                <w:rFonts w:eastAsia="標楷體"/>
                <w:sz w:val="20"/>
                <w:szCs w:val="20"/>
              </w:rPr>
              <w:t>2</w:t>
            </w:r>
            <w:r w:rsidR="00674FFD">
              <w:rPr>
                <w:rFonts w:eastAsia="標楷體"/>
                <w:sz w:val="20"/>
                <w:szCs w:val="20"/>
              </w:rPr>
              <w:t>5</w:t>
            </w:r>
          </w:p>
        </w:tc>
      </w:tr>
      <w:tr w:rsidR="00306569" w:rsidRPr="000803AE" w:rsidTr="00ED1478">
        <w:trPr>
          <w:trHeight w:val="397"/>
          <w:tblHeader/>
        </w:trPr>
        <w:tc>
          <w:tcPr>
            <w:tcW w:w="648"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rsidTr="00ED1478">
        <w:tc>
          <w:tcPr>
            <w:tcW w:w="648" w:type="dxa"/>
            <w:shd w:val="clear" w:color="auto" w:fill="auto"/>
            <w:tcMar>
              <w:left w:w="0" w:type="dxa"/>
              <w:right w:w="0" w:type="dxa"/>
            </w:tcMar>
          </w:tcPr>
          <w:p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Industry sector investment proportions of the Offshore </w:t>
            </w:r>
            <w:r w:rsidRPr="000803AE">
              <w:rPr>
                <w:sz w:val="20"/>
                <w:szCs w:val="20"/>
              </w:rPr>
              <w:lastRenderedPageBreak/>
              <w:t>ETF</w:t>
            </w:r>
          </w:p>
        </w:tc>
        <w:tc>
          <w:tcPr>
            <w:tcW w:w="2160" w:type="dxa"/>
            <w:shd w:val="clear" w:color="auto" w:fill="auto"/>
            <w:tcMar>
              <w:left w:w="0" w:type="dxa"/>
              <w:right w:w="0" w:type="dxa"/>
            </w:tcMar>
          </w:tcPr>
          <w:p w:rsidR="009D6F5F" w:rsidRPr="000803AE" w:rsidRDefault="0016772A" w:rsidP="003716D3">
            <w:pPr>
              <w:kinsoku w:val="0"/>
              <w:overflowPunct w:val="0"/>
              <w:snapToGrid w:val="0"/>
              <w:rPr>
                <w:sz w:val="20"/>
                <w:szCs w:val="20"/>
              </w:rPr>
            </w:pPr>
            <w:r w:rsidRPr="000803AE">
              <w:rPr>
                <w:sz w:val="20"/>
                <w:szCs w:val="20"/>
              </w:rPr>
              <w:lastRenderedPageBreak/>
              <w:t xml:space="preserve">Before the market opens on the first trading day of </w:t>
            </w:r>
            <w:r w:rsidRPr="000803AE">
              <w:rPr>
                <w:sz w:val="20"/>
                <w:szCs w:val="20"/>
              </w:rPr>
              <w:lastRenderedPageBreak/>
              <w:t>each week</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lastRenderedPageBreak/>
              <w:t>The data for the preceding week shall be reported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Article 3 of Taiwan Stock Exchange Corporation Rules Governing </w:t>
            </w:r>
            <w:r w:rsidRPr="000803AE">
              <w:rPr>
                <w:sz w:val="20"/>
                <w:szCs w:val="20"/>
              </w:rPr>
              <w:lastRenderedPageBreak/>
              <w:t>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lastRenderedPageBreak/>
              <w:t>6</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rsidTr="00ED1478">
        <w:tc>
          <w:tcPr>
            <w:tcW w:w="648" w:type="dxa"/>
            <w:shd w:val="clear" w:color="auto" w:fill="auto"/>
            <w:tcMar>
              <w:left w:w="0" w:type="dxa"/>
              <w:right w:w="0" w:type="dxa"/>
            </w:tcMar>
          </w:tcPr>
          <w:p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285304">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674FFD">
              <w:rPr>
                <w:rFonts w:eastAsia="標楷體"/>
                <w:sz w:val="20"/>
                <w:szCs w:val="20"/>
              </w:rPr>
              <w:t>May 5</w:t>
            </w:r>
            <w:r w:rsidR="007A31B0">
              <w:rPr>
                <w:rFonts w:eastAsia="標楷體"/>
                <w:sz w:val="20"/>
                <w:szCs w:val="20"/>
              </w:rPr>
              <w:t>, 20</w:t>
            </w:r>
            <w:r w:rsidR="00C86561">
              <w:rPr>
                <w:rFonts w:eastAsia="標楷體"/>
                <w:sz w:val="20"/>
                <w:szCs w:val="20"/>
              </w:rPr>
              <w:t>2</w:t>
            </w:r>
            <w:r w:rsidR="00674FFD">
              <w:rPr>
                <w:rFonts w:eastAsia="標楷體"/>
                <w:sz w:val="20"/>
                <w:szCs w:val="20"/>
              </w:rPr>
              <w:t>5</w:t>
            </w:r>
          </w:p>
        </w:tc>
      </w:tr>
      <w:tr w:rsidR="00306569" w:rsidRPr="000803AE"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ED1478" w:rsidRPr="000803AE" w:rsidRDefault="00ED1478"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rsidTr="00677066">
        <w:trPr>
          <w:trHeight w:val="397"/>
          <w:tblHeader/>
        </w:trPr>
        <w:tc>
          <w:tcPr>
            <w:tcW w:w="15120" w:type="dxa"/>
            <w:gridSpan w:val="5"/>
            <w:tcBorders>
              <w:top w:val="nil"/>
              <w:left w:val="nil"/>
              <w:bottom w:val="single" w:sz="4" w:space="0" w:color="auto"/>
              <w:right w:val="nil"/>
            </w:tcBorders>
            <w:vAlign w:val="center"/>
          </w:tcPr>
          <w:p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ED1478" w:rsidRPr="000803AE" w:rsidRDefault="00ED1478" w:rsidP="003716D3">
            <w:pPr>
              <w:kinsoku w:val="0"/>
              <w:overflowPunct w:val="0"/>
              <w:adjustRightInd w:val="0"/>
              <w:snapToGrid w:val="0"/>
              <w:jc w:val="center"/>
              <w:rPr>
                <w:rFonts w:eastAsia="標楷體"/>
                <w:b/>
                <w:sz w:val="20"/>
                <w:szCs w:val="20"/>
              </w:rPr>
            </w:pPr>
          </w:p>
          <w:p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rsidR="00ED1478" w:rsidRPr="000803AE" w:rsidRDefault="00677066" w:rsidP="00285304">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r w:rsidR="00FF0CCB">
              <w:rPr>
                <w:rFonts w:eastAsia="標楷體"/>
                <w:sz w:val="20"/>
                <w:szCs w:val="20"/>
              </w:rPr>
              <w:t>May 5</w:t>
            </w:r>
            <w:r w:rsidR="007A31B0">
              <w:rPr>
                <w:rFonts w:eastAsia="標楷體"/>
                <w:sz w:val="20"/>
                <w:szCs w:val="20"/>
              </w:rPr>
              <w:t>, 20</w:t>
            </w:r>
            <w:r w:rsidR="000B22F5">
              <w:rPr>
                <w:rFonts w:eastAsia="標楷體"/>
                <w:sz w:val="20"/>
                <w:szCs w:val="20"/>
              </w:rPr>
              <w:t>2</w:t>
            </w:r>
            <w:r w:rsidR="00FF0CCB">
              <w:rPr>
                <w:rFonts w:eastAsia="標楷體"/>
                <w:sz w:val="20"/>
                <w:szCs w:val="20"/>
              </w:rPr>
              <w:t>5</w:t>
            </w:r>
          </w:p>
        </w:tc>
      </w:tr>
      <w:tr w:rsidR="00677066" w:rsidRPr="000803AE"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w:t>
            </w:r>
            <w:proofErr w:type="gramStart"/>
            <w:r w:rsidRPr="000803AE">
              <w:rPr>
                <w:rFonts w:ascii="Times New Roman"/>
                <w:color w:val="auto"/>
                <w:sz w:val="20"/>
              </w:rPr>
              <w:t>in</w:t>
            </w:r>
            <w:proofErr w:type="gramEnd"/>
            <w:r w:rsidRPr="000803AE">
              <w:rPr>
                <w:rFonts w:ascii="Times New Roman"/>
                <w:color w:val="auto"/>
                <w:sz w:val="20"/>
              </w:rPr>
              <w:t xml:space="preserve"> Chinese version in principle, together with the English version or the version in the official language adopted in the country where the underlying securities are listed.)</w:t>
            </w:r>
          </w:p>
          <w:p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Balance sheet, comprehensive income statement and cash flow statement prepared in accordance with the </w:t>
            </w:r>
            <w:r w:rsidRPr="000803AE">
              <w:rPr>
                <w:rFonts w:ascii="Times New Roman"/>
                <w:color w:val="auto"/>
                <w:sz w:val="20"/>
              </w:rPr>
              <w:lastRenderedPageBreak/>
              <w:t>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lastRenderedPageBreak/>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lastRenderedPageBreak/>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A86EE3" w:rsidRPr="000803AE" w:rsidRDefault="00A86EE3" w:rsidP="00EE2A94">
            <w:pPr>
              <w:adjustRightInd w:val="0"/>
              <w:snapToGrid w:val="0"/>
              <w:ind w:left="360"/>
              <w:rPr>
                <w:sz w:val="20"/>
                <w:szCs w:val="20"/>
              </w:rPr>
            </w:pPr>
          </w:p>
          <w:p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rsidR="00677066" w:rsidRPr="000803AE" w:rsidRDefault="00677066" w:rsidP="003716D3">
            <w:pPr>
              <w:adjustRightInd w:val="0"/>
              <w:snapToGrid w:val="0"/>
              <w:rPr>
                <w:rFonts w:eastAsia="標楷體"/>
                <w:sz w:val="20"/>
                <w:szCs w:val="20"/>
              </w:rPr>
            </w:pPr>
          </w:p>
          <w:p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2</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w:t>
            </w:r>
            <w:r w:rsidRPr="000803AE">
              <w:rPr>
                <w:rFonts w:ascii="Times New Roman"/>
                <w:color w:val="auto"/>
                <w:sz w:val="20"/>
              </w:rPr>
              <w:lastRenderedPageBreak/>
              <w:t>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lastRenderedPageBreak/>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rsidR="00DF4A41" w:rsidRPr="000803AE" w:rsidRDefault="00DF4A41" w:rsidP="003716D3">
            <w:pPr>
              <w:adjustRightInd w:val="0"/>
              <w:snapToGrid w:val="0"/>
              <w:rPr>
                <w:rFonts w:eastAsia="標楷體"/>
                <w:bCs/>
                <w:sz w:val="20"/>
                <w:szCs w:val="20"/>
              </w:rPr>
            </w:pPr>
          </w:p>
        </w:tc>
      </w:tr>
      <w:tr w:rsidR="00DF4A41"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w:t>
            </w:r>
            <w:r w:rsidRPr="000803AE">
              <w:rPr>
                <w:rFonts w:ascii="Times New Roman"/>
                <w:color w:val="auto"/>
                <w:sz w:val="20"/>
              </w:rPr>
              <w:lastRenderedPageBreak/>
              <w:t>day of each month.</w:t>
            </w:r>
          </w:p>
        </w:tc>
        <w:tc>
          <w:tcPr>
            <w:tcW w:w="630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lastRenderedPageBreak/>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rsidR="00ED1478" w:rsidRPr="000803AE" w:rsidRDefault="00ED1478" w:rsidP="003716D3">
      <w:pPr>
        <w:adjustRightInd w:val="0"/>
        <w:snapToGrid w:val="0"/>
        <w:rPr>
          <w:rFonts w:eastAsia="標楷體"/>
          <w:sz w:val="20"/>
          <w:szCs w:val="20"/>
        </w:rPr>
      </w:pPr>
    </w:p>
    <w:p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rsidTr="00586125">
        <w:trPr>
          <w:trHeight w:val="397"/>
          <w:tblHeader/>
        </w:trPr>
        <w:tc>
          <w:tcPr>
            <w:tcW w:w="15120" w:type="dxa"/>
            <w:gridSpan w:val="5"/>
            <w:tcBorders>
              <w:top w:val="nil"/>
              <w:left w:val="nil"/>
              <w:bottom w:val="single" w:sz="4" w:space="0" w:color="auto"/>
              <w:right w:val="nil"/>
            </w:tcBorders>
            <w:vAlign w:val="center"/>
          </w:tcPr>
          <w:p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677066" w:rsidRPr="000803AE" w:rsidRDefault="00677066" w:rsidP="003716D3">
            <w:pPr>
              <w:kinsoku w:val="0"/>
              <w:overflowPunct w:val="0"/>
              <w:adjustRightInd w:val="0"/>
              <w:snapToGrid w:val="0"/>
              <w:jc w:val="center"/>
              <w:rPr>
                <w:rFonts w:eastAsia="標楷體"/>
                <w:b/>
                <w:sz w:val="20"/>
                <w:szCs w:val="20"/>
              </w:rPr>
            </w:pPr>
          </w:p>
          <w:p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rsidR="00677066" w:rsidRPr="000803AE" w:rsidRDefault="00677066" w:rsidP="00285304">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r w:rsidR="00217060">
              <w:rPr>
                <w:rFonts w:eastAsia="標楷體"/>
                <w:sz w:val="20"/>
                <w:szCs w:val="20"/>
              </w:rPr>
              <w:t>May 5</w:t>
            </w:r>
            <w:r w:rsidR="007A31B0">
              <w:rPr>
                <w:rFonts w:eastAsia="標楷體"/>
                <w:sz w:val="20"/>
                <w:szCs w:val="20"/>
              </w:rPr>
              <w:t>, 20</w:t>
            </w:r>
            <w:r w:rsidR="00B15393">
              <w:rPr>
                <w:rFonts w:eastAsia="標楷體"/>
                <w:sz w:val="20"/>
                <w:szCs w:val="20"/>
              </w:rPr>
              <w:t>2</w:t>
            </w:r>
            <w:r w:rsidR="00217060">
              <w:rPr>
                <w:rFonts w:eastAsia="標楷體"/>
                <w:sz w:val="20"/>
                <w:szCs w:val="20"/>
              </w:rPr>
              <w:t>5</w:t>
            </w:r>
          </w:p>
        </w:tc>
      </w:tr>
      <w:tr w:rsidR="00677066" w:rsidRPr="000803AE"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lastRenderedPageBreak/>
              <w:t>at least five business days prior to the record date when change of roaster of shareholders, TDR holders, or bondholders is suspended.</w:t>
            </w:r>
          </w:p>
          <w:p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1"/>
              </w:numPr>
              <w:adjustRightInd w:val="0"/>
              <w:snapToGrid w:val="0"/>
              <w:ind w:left="331" w:hanging="331"/>
              <w:rPr>
                <w:sz w:val="20"/>
                <w:szCs w:val="20"/>
              </w:rPr>
            </w:pPr>
            <w:r w:rsidRPr="000803AE">
              <w:rPr>
                <w:sz w:val="20"/>
                <w:szCs w:val="20"/>
              </w:rPr>
              <w:lastRenderedPageBreak/>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 xml:space="preserve">Public announcement shall be made and uploaded again upon any change </w:t>
            </w:r>
            <w:r w:rsidRPr="000803AE">
              <w:rPr>
                <w:sz w:val="20"/>
                <w:szCs w:val="20"/>
              </w:rPr>
              <w:lastRenderedPageBreak/>
              <w:t>to the date of regular shareholders' meeting after publication (sii.twse.com.tw/report of various public announcements /public announcement of TDR shareholders' meeting)</w:t>
            </w:r>
          </w:p>
          <w:p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t>Article 3 of the "Contract of Listing TDR on TWSE".</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 xml:space="preserve">Where the deadline of report is earlier than the above according to the laws and regulations of the issuer's home country or the country where its securities are listed, report shall be made pursuant to such laws </w:t>
            </w:r>
            <w:r w:rsidRPr="000803AE">
              <w:rPr>
                <w:rFonts w:ascii="Times New Roman"/>
                <w:color w:val="auto"/>
                <w:sz w:val="20"/>
              </w:rPr>
              <w:lastRenderedPageBreak/>
              <w:t>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lastRenderedPageBreak/>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Overseas Chinese and </w:t>
            </w:r>
            <w:r w:rsidRPr="000803AE">
              <w:rPr>
                <w:rFonts w:ascii="Times New Roman"/>
                <w:color w:val="auto"/>
                <w:sz w:val="20"/>
              </w:rPr>
              <w:lastRenderedPageBreak/>
              <w:t>foreign investment and shareholdings</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(1) Distribution of shares </w:t>
            </w:r>
            <w:r w:rsidRPr="000803AE">
              <w:rPr>
                <w:rFonts w:ascii="Times New Roman"/>
                <w:color w:val="auto"/>
                <w:sz w:val="20"/>
              </w:rPr>
              <w:lastRenderedPageBreak/>
              <w:t>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sz w:val="20"/>
                <w:szCs w:val="20"/>
              </w:rPr>
              <w:lastRenderedPageBreak/>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w:t>
            </w:r>
            <w:r w:rsidRPr="000803AE">
              <w:rPr>
                <w:sz w:val="20"/>
                <w:szCs w:val="20"/>
              </w:rPr>
              <w:lastRenderedPageBreak/>
              <w:t>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rFonts w:eastAsia="標楷體"/>
                <w:sz w:val="20"/>
                <w:szCs w:val="20"/>
              </w:rPr>
              <w:lastRenderedPageBreak/>
              <w:t xml:space="preserve">Paragraph 8, Article 3 of the </w:t>
            </w:r>
            <w:r w:rsidR="001C459F" w:rsidRPr="000803AE">
              <w:rPr>
                <w:rFonts w:eastAsia="標楷體"/>
                <w:sz w:val="20"/>
                <w:szCs w:val="20"/>
              </w:rPr>
              <w:t>"</w:t>
            </w:r>
            <w:r w:rsidRPr="000803AE">
              <w:rPr>
                <w:rFonts w:eastAsia="標楷體"/>
                <w:sz w:val="20"/>
                <w:szCs w:val="20"/>
              </w:rPr>
              <w:t xml:space="preserve">Taiwan Stock </w:t>
            </w:r>
            <w:r w:rsidRPr="000803AE">
              <w:rPr>
                <w:rFonts w:eastAsia="標楷體"/>
                <w:sz w:val="20"/>
                <w:szCs w:val="20"/>
              </w:rPr>
              <w:lastRenderedPageBreak/>
              <w:t>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9</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C15E00" w:rsidRPr="000803AE" w:rsidRDefault="00C15E00" w:rsidP="003716D3">
            <w:pPr>
              <w:pStyle w:val="30"/>
              <w:adjustRightInd w:val="0"/>
              <w:snapToGrid w:val="0"/>
              <w:spacing w:line="240" w:lineRule="auto"/>
              <w:jc w:val="left"/>
              <w:rPr>
                <w:rFonts w:ascii="Times New Roman"/>
                <w:color w:val="auto"/>
                <w:sz w:val="20"/>
              </w:rPr>
            </w:pPr>
          </w:p>
          <w:p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w:t>
            </w:r>
            <w:proofErr w:type="gramStart"/>
            <w:r w:rsidR="00E253E3" w:rsidRPr="000803AE">
              <w:rPr>
                <w:rFonts w:ascii="Times New Roman"/>
                <w:color w:val="auto"/>
                <w:sz w:val="20"/>
              </w:rPr>
              <w:t>Article</w:t>
            </w:r>
            <w:proofErr w:type="gramEnd"/>
            <w:r w:rsidR="00E253E3" w:rsidRPr="000803AE">
              <w:rPr>
                <w:rFonts w:ascii="Times New Roman"/>
                <w:color w:val="auto"/>
                <w:sz w:val="20"/>
              </w:rPr>
              <w:t xml:space="preserv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57644F" w:rsidRPr="000803AE" w:rsidRDefault="0057644F"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DB7F9E" w:rsidRPr="000803AE" w:rsidRDefault="00DB7F9E" w:rsidP="00BF65A3">
            <w:pPr>
              <w:pStyle w:val="30"/>
              <w:adjustRightInd w:val="0"/>
              <w:snapToGrid w:val="0"/>
              <w:spacing w:line="240" w:lineRule="auto"/>
              <w:jc w:val="left"/>
              <w:rPr>
                <w:rFonts w:ascii="Times New Roman"/>
                <w:bCs/>
                <w:color w:val="auto"/>
                <w:sz w:val="20"/>
              </w:rPr>
            </w:pPr>
          </w:p>
          <w:p w:rsidR="00CB0F97" w:rsidRPr="000803AE" w:rsidRDefault="00CB0F97" w:rsidP="00BF65A3">
            <w:pPr>
              <w:pStyle w:val="30"/>
              <w:adjustRightInd w:val="0"/>
              <w:snapToGrid w:val="0"/>
              <w:spacing w:line="240" w:lineRule="auto"/>
              <w:jc w:val="left"/>
              <w:rPr>
                <w:rFonts w:ascii="Times New Roman"/>
                <w:bCs/>
                <w:color w:val="auto"/>
                <w:sz w:val="20"/>
              </w:rPr>
            </w:pPr>
          </w:p>
          <w:p w:rsidR="00C15E00" w:rsidRPr="000803AE" w:rsidRDefault="00C15E00" w:rsidP="00BF65A3">
            <w:pPr>
              <w:pStyle w:val="30"/>
              <w:adjustRightInd w:val="0"/>
              <w:snapToGrid w:val="0"/>
              <w:spacing w:line="240" w:lineRule="auto"/>
              <w:jc w:val="left"/>
              <w:rPr>
                <w:rFonts w:ascii="Times New Roman"/>
                <w:bCs/>
                <w:color w:val="auto"/>
                <w:sz w:val="20"/>
              </w:rPr>
            </w:pPr>
          </w:p>
          <w:p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w:t>
            </w:r>
            <w:r w:rsidRPr="000803AE">
              <w:rPr>
                <w:rFonts w:eastAsia="標楷體"/>
                <w:sz w:val="20"/>
                <w:szCs w:val="20"/>
              </w:rPr>
              <w:lastRenderedPageBreak/>
              <w:t xml:space="preserve">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 xml:space="preserve">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w:t>
            </w:r>
            <w:r w:rsidR="00E253E3" w:rsidRPr="000803AE">
              <w:rPr>
                <w:rFonts w:ascii="Times New Roman"/>
                <w:color w:val="auto"/>
                <w:sz w:val="20"/>
              </w:rPr>
              <w:lastRenderedPageBreak/>
              <w:t>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C15E00" w:rsidRPr="000803AE" w:rsidRDefault="00C15E00"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 xml:space="preserve">material </w:t>
            </w:r>
            <w:r w:rsidRPr="000803AE">
              <w:rPr>
                <w:rFonts w:eastAsia="標楷體"/>
                <w:sz w:val="20"/>
                <w:szCs w:val="20"/>
              </w:rPr>
              <w:lastRenderedPageBreak/>
              <w:t>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lastRenderedPageBreak/>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rsidTr="008B7E4F">
        <w:tc>
          <w:tcPr>
            <w:tcW w:w="720" w:type="dxa"/>
            <w:vMerge w:val="restart"/>
            <w:tcBorders>
              <w:top w:val="single" w:sz="4" w:space="0" w:color="auto"/>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10</w:t>
            </w:r>
          </w:p>
        </w:tc>
        <w:tc>
          <w:tcPr>
            <w:tcW w:w="2160" w:type="dxa"/>
            <w:vMerge w:val="restart"/>
            <w:tcBorders>
              <w:top w:val="single" w:sz="4" w:space="0" w:color="auto"/>
              <w:left w:val="single" w:sz="4" w:space="0" w:color="auto"/>
              <w:right w:val="single" w:sz="4" w:space="0" w:color="auto"/>
            </w:tcBorders>
            <w:vAlign w:val="center"/>
          </w:tcPr>
          <w:p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rsidTr="00A51F1C">
        <w:tc>
          <w:tcPr>
            <w:tcW w:w="720" w:type="dxa"/>
            <w:vMerge/>
            <w:tcBorders>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When the aggregate number of </w:t>
            </w:r>
            <w:r w:rsidRPr="000803AE">
              <w:rPr>
                <w:rFonts w:ascii="Times New Roman"/>
                <w:color w:val="auto"/>
                <w:sz w:val="20"/>
              </w:rPr>
              <w:lastRenderedPageBreak/>
              <w:t>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information to the Market Observation Post System (sii.twse.com.tw/reporting of </w:t>
            </w:r>
            <w:r w:rsidRPr="000803AE">
              <w:rPr>
                <w:rFonts w:ascii="Times New Roman"/>
                <w:color w:val="auto"/>
                <w:sz w:val="20"/>
              </w:rPr>
              <w:lastRenderedPageBreak/>
              <w:t>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A51F1C" w:rsidRPr="000803AE" w:rsidTr="00A51F1C">
        <w:tc>
          <w:tcPr>
            <w:tcW w:w="720" w:type="dxa"/>
            <w:vMerge/>
            <w:tcBorders>
              <w:left w:val="single" w:sz="4" w:space="0" w:color="auto"/>
              <w:bottom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164196" w:rsidRPr="000803AE" w:rsidTr="00515CE6">
        <w:tc>
          <w:tcPr>
            <w:tcW w:w="720" w:type="dxa"/>
            <w:tcBorders>
              <w:left w:val="single" w:sz="4" w:space="0" w:color="auto"/>
              <w:bottom w:val="single" w:sz="4" w:space="0" w:color="auto"/>
              <w:right w:val="single" w:sz="4" w:space="0" w:color="auto"/>
            </w:tcBorders>
            <w:vAlign w:val="center"/>
          </w:tcPr>
          <w:p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Completion of cancellation of the underlying securities when the second listing company repurchases </w:t>
            </w:r>
            <w:r w:rsidRPr="000803AE">
              <w:rPr>
                <w:rFonts w:ascii="Times New Roman"/>
                <w:color w:val="auto"/>
                <w:sz w:val="20"/>
              </w:rPr>
              <w:lastRenderedPageBreak/>
              <w:t>TDRs.</w:t>
            </w:r>
          </w:p>
        </w:tc>
        <w:tc>
          <w:tcPr>
            <w:tcW w:w="2160" w:type="dxa"/>
            <w:tcBorders>
              <w:top w:val="single" w:sz="4" w:space="0" w:color="auto"/>
              <w:left w:val="single" w:sz="4" w:space="0" w:color="auto"/>
              <w:bottom w:val="single" w:sz="4" w:space="0" w:color="auto"/>
              <w:right w:val="single" w:sz="4" w:space="0" w:color="auto"/>
            </w:tcBorders>
          </w:tcPr>
          <w:p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10 days of completion of cancellation of the underlying securities after the TDRs are </w:t>
            </w:r>
            <w:r w:rsidRPr="000803AE">
              <w:rPr>
                <w:rFonts w:ascii="Times New Roman"/>
                <w:color w:val="auto"/>
                <w:sz w:val="20"/>
              </w:rPr>
              <w:lastRenderedPageBreak/>
              <w:t>repurchased.</w:t>
            </w:r>
          </w:p>
        </w:tc>
        <w:tc>
          <w:tcPr>
            <w:tcW w:w="6300" w:type="dxa"/>
            <w:tcBorders>
              <w:top w:val="single" w:sz="4" w:space="0" w:color="auto"/>
              <w:left w:val="single" w:sz="4" w:space="0" w:color="auto"/>
              <w:bottom w:val="single" w:sz="4" w:space="0" w:color="auto"/>
              <w:right w:val="single" w:sz="4" w:space="0" w:color="auto"/>
            </w:tcBorders>
          </w:tcPr>
          <w:p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lastRenderedPageBreak/>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 xml:space="preserve">(Note: The shares held by overseas Chinese or foreign investors shall be uploaded simultaneously at the </w:t>
            </w:r>
            <w:r w:rsidR="00164196" w:rsidRPr="000803AE">
              <w:rPr>
                <w:rFonts w:ascii="Times New Roman"/>
                <w:color w:val="auto"/>
                <w:sz w:val="20"/>
              </w:rPr>
              <w:lastRenderedPageBreak/>
              <w:t>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lastRenderedPageBreak/>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rsidR="00A43BD2" w:rsidRPr="000803AE" w:rsidRDefault="00A43BD2" w:rsidP="003716D3">
            <w:pPr>
              <w:pStyle w:val="a3"/>
              <w:snapToGrid w:val="0"/>
              <w:jc w:val="both"/>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w:t>
            </w:r>
            <w:r w:rsidRPr="000803AE">
              <w:rPr>
                <w:rFonts w:ascii="Times New Roman" w:eastAsia="標楷體" w:hAnsi="Times New Roman"/>
                <w:sz w:val="20"/>
              </w:rPr>
              <w:lastRenderedPageBreak/>
              <w:t xml:space="preserve">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lastRenderedPageBreak/>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lang w:eastAsia="zh-TW"/>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lang w:eastAsia="zh-TW"/>
              </w:rPr>
            </w:pPr>
          </w:p>
          <w:p w:rsidR="00375AF8" w:rsidRPr="000803AE" w:rsidRDefault="00375AF8" w:rsidP="003716D3">
            <w:pPr>
              <w:pStyle w:val="a3"/>
              <w:snapToGrid w:val="0"/>
              <w:ind w:left="200" w:hanging="200"/>
              <w:rPr>
                <w:rFonts w:ascii="Times New Roman" w:eastAsia="標楷體" w:hAnsi="Times New Roman"/>
                <w:sz w:val="20"/>
                <w:lang w:eastAsia="zh-TW"/>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7"/>
              </w:numPr>
              <w:snapToGrid w:val="0"/>
              <w:rPr>
                <w:sz w:val="20"/>
                <w:szCs w:val="20"/>
              </w:rPr>
            </w:pPr>
            <w:r w:rsidRPr="000803AE">
              <w:rPr>
                <w:sz w:val="20"/>
                <w:szCs w:val="20"/>
              </w:rPr>
              <w:lastRenderedPageBreak/>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rsidR="00A43BD2" w:rsidRPr="000803AE" w:rsidRDefault="00A43BD2" w:rsidP="003716D3">
            <w:pPr>
              <w:adjustRightInd w:val="0"/>
              <w:snapToGrid w:val="0"/>
              <w:ind w:left="332" w:hanging="332"/>
              <w:rPr>
                <w:rFonts w:eastAsia="標楷體"/>
                <w:sz w:val="20"/>
                <w:szCs w:val="20"/>
              </w:rPr>
            </w:pP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rsidR="00C95BD5" w:rsidRPr="000803AE" w:rsidRDefault="00C95BD5" w:rsidP="003716D3">
            <w:pPr>
              <w:pStyle w:val="a3"/>
              <w:snapToGrid w:val="0"/>
              <w:rPr>
                <w:rFonts w:ascii="Times New Roman" w:eastAsia="標楷體" w:hAnsi="Times New Roman"/>
                <w:sz w:val="20"/>
                <w:lang w:eastAsia="zh-TW"/>
              </w:rPr>
            </w:pPr>
          </w:p>
          <w:p w:rsidR="007F7C84" w:rsidRPr="000803AE" w:rsidRDefault="007F7C84"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Two hours prior to the </w:t>
            </w:r>
            <w:r w:rsidRPr="000803AE">
              <w:rPr>
                <w:rFonts w:ascii="Times New Roman" w:eastAsia="標楷體" w:hAnsi="Times New Roman"/>
                <w:sz w:val="20"/>
                <w:lang w:eastAsia="zh-TW"/>
              </w:rPr>
              <w:lastRenderedPageBreak/>
              <w:t>start of trading time of the next business day after the conference</w:t>
            </w:r>
            <w:r w:rsidR="00C40B1E" w:rsidRPr="000803AE">
              <w:rPr>
                <w:rFonts w:ascii="Times New Roman" w:eastAsia="標楷體" w:hAnsi="Times New Roman" w:hint="eastAsia"/>
                <w:sz w:val="20"/>
                <w:lang w:eastAsia="zh-TW"/>
              </w:rPr>
              <w:t>.</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rsidR="00C95BD5" w:rsidRPr="000803AE" w:rsidRDefault="00C95BD5" w:rsidP="003716D3">
            <w:pPr>
              <w:pStyle w:val="a3"/>
              <w:snapToGrid w:val="0"/>
              <w:rPr>
                <w:rFonts w:ascii="Times New Roman" w:eastAsia="標楷體" w:hAnsi="Times New Roman"/>
                <w:sz w:val="20"/>
                <w:lang w:val="en-US" w:eastAsia="zh-TW"/>
              </w:rPr>
            </w:pPr>
          </w:p>
          <w:p w:rsidR="00E36F6E" w:rsidRPr="000803AE" w:rsidRDefault="00E36F6E" w:rsidP="00E36F6E">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w:t>
            </w:r>
            <w:r w:rsidRPr="000803AE">
              <w:rPr>
                <w:rFonts w:eastAsia="標楷體"/>
                <w:sz w:val="20"/>
                <w:szCs w:val="20"/>
              </w:rPr>
              <w:lastRenderedPageBreak/>
              <w:t>Taiwan shall be uploaded to the Market Observation Post System (sii.twse.com.tw/filing of the disclosure of corporate governance information/filing of holding of the investor conference).</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kinsoku w:val="0"/>
              <w:overflowPunct w:val="0"/>
              <w:snapToGrid w:val="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rsidR="00C95BD5" w:rsidRPr="000803AE" w:rsidRDefault="00C95BD5" w:rsidP="003716D3">
            <w:pPr>
              <w:kinsoku w:val="0"/>
              <w:overflowPunct w:val="0"/>
              <w:snapToGrid w:val="0"/>
              <w:ind w:left="200" w:hangingChars="100" w:hanging="20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lastRenderedPageBreak/>
              <w:t>Subparagraph 12, Paragraph 8 of Article 3 of the "Taiwan Stock Exchange Corporation Rules Governing Information Reporting by Companies with Listed Securities and Offshore Fund Institutions with Listed Offshore Exchange-Traded Funds".</w:t>
            </w:r>
          </w:p>
          <w:p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 xml:space="preserve">The letter issued by Taiwan Stock Exchange Corporation to the issuer regarding matters to be complied with after approved by the competent </w:t>
            </w:r>
            <w:r w:rsidRPr="000803AE">
              <w:rPr>
                <w:rFonts w:eastAsia="標楷體"/>
                <w:sz w:val="20"/>
                <w:szCs w:val="20"/>
              </w:rPr>
              <w:lastRenderedPageBreak/>
              <w:t>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rsidR="00A43BD2" w:rsidRPr="000803AE" w:rsidRDefault="00A43BD2" w:rsidP="003716D3">
            <w:pPr>
              <w:pStyle w:val="30"/>
              <w:adjustRightInd w:val="0"/>
              <w:snapToGrid w:val="0"/>
              <w:spacing w:line="240" w:lineRule="auto"/>
              <w:jc w:val="left"/>
              <w:rPr>
                <w:rFonts w:ascii="Times New Roman"/>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rsidR="00A43BD2" w:rsidRPr="000803AE" w:rsidRDefault="00A43BD2" w:rsidP="003716D3">
            <w:pPr>
              <w:kinsoku w:val="0"/>
              <w:overflowPunct w:val="0"/>
              <w:adjustRightInd w:val="0"/>
              <w:snapToGrid w:val="0"/>
              <w:jc w:val="both"/>
              <w:rPr>
                <w:rFonts w:eastAsia="標楷體"/>
                <w:sz w:val="20"/>
                <w:szCs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 xml:space="preserve">The announcement should be published consecutively for a period of 3 </w:t>
            </w:r>
            <w:r w:rsidRPr="000803AE">
              <w:rPr>
                <w:rFonts w:ascii="Times New Roman"/>
                <w:color w:val="auto"/>
                <w:sz w:val="20"/>
              </w:rPr>
              <w:lastRenderedPageBreak/>
              <w:t>months.</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lastRenderedPageBreak/>
              <w:t>Letter No. Tai-Cheng-Shang-0990013978 dated June 14, 2010.</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rsidTr="007F7C84">
        <w:tc>
          <w:tcPr>
            <w:tcW w:w="720" w:type="dxa"/>
            <w:tcBorders>
              <w:top w:val="single" w:sz="4" w:space="0" w:color="auto"/>
              <w:left w:val="single" w:sz="4" w:space="0" w:color="auto"/>
              <w:bottom w:val="single" w:sz="4" w:space="0" w:color="auto"/>
              <w:right w:val="single" w:sz="4" w:space="0" w:color="auto"/>
            </w:tcBorders>
            <w:vAlign w:val="center"/>
          </w:tcPr>
          <w:p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BD2FCE" w:rsidRPr="000803AE" w:rsidRDefault="00BD2FCE" w:rsidP="003716D3">
            <w:pPr>
              <w:snapToGrid w:val="0"/>
              <w:ind w:left="-1"/>
              <w:rPr>
                <w:rFonts w:eastAsia="標楷體"/>
                <w:sz w:val="20"/>
                <w:szCs w:val="20"/>
              </w:rPr>
            </w:pPr>
          </w:p>
        </w:tc>
      </w:tr>
      <w:tr w:rsidR="00BB2DBF"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rsidR="00BB2DBF" w:rsidRPr="000803AE" w:rsidRDefault="00BB2DBF" w:rsidP="003716D3">
            <w:pPr>
              <w:snapToGrid w:val="0"/>
              <w:ind w:left="-1"/>
              <w:rPr>
                <w:rFonts w:eastAsia="標楷體"/>
                <w:kern w:val="0"/>
                <w:sz w:val="20"/>
                <w:szCs w:val="20"/>
              </w:rPr>
            </w:pPr>
          </w:p>
        </w:tc>
      </w:tr>
    </w:tbl>
    <w:p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rsidTr="002A5B60">
        <w:trPr>
          <w:trHeight w:val="397"/>
          <w:tblHeader/>
        </w:trPr>
        <w:tc>
          <w:tcPr>
            <w:tcW w:w="15120" w:type="dxa"/>
            <w:gridSpan w:val="5"/>
            <w:tcBorders>
              <w:top w:val="nil"/>
              <w:left w:val="nil"/>
              <w:bottom w:val="single" w:sz="4" w:space="0" w:color="auto"/>
              <w:right w:val="nil"/>
            </w:tcBorders>
            <w:vAlign w:val="center"/>
          </w:tcPr>
          <w:p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lastRenderedPageBreak/>
              <w:br w:type="page"/>
            </w:r>
            <w:r w:rsidR="0093050D" w:rsidRPr="000803AE">
              <w:rPr>
                <w:b/>
                <w:sz w:val="20"/>
                <w:szCs w:val="20"/>
              </w:rPr>
              <w:t>List of Matters Required to Be Handled by Issuers of Listed Securities</w:t>
            </w:r>
          </w:p>
          <w:p w:rsidR="0093050D" w:rsidRPr="000803AE" w:rsidRDefault="0093050D" w:rsidP="002A5B60">
            <w:pPr>
              <w:kinsoku w:val="0"/>
              <w:overflowPunct w:val="0"/>
              <w:adjustRightInd w:val="0"/>
              <w:snapToGrid w:val="0"/>
              <w:jc w:val="center"/>
              <w:rPr>
                <w:rFonts w:eastAsia="標楷體"/>
                <w:b/>
                <w:sz w:val="20"/>
                <w:szCs w:val="20"/>
              </w:rPr>
            </w:pPr>
          </w:p>
          <w:p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rsidR="0093050D" w:rsidRPr="000803AE" w:rsidRDefault="00482D0B" w:rsidP="00285304">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r w:rsidR="00EC3564">
              <w:rPr>
                <w:rFonts w:eastAsia="標楷體"/>
                <w:sz w:val="20"/>
                <w:szCs w:val="20"/>
              </w:rPr>
              <w:t>May 5</w:t>
            </w:r>
            <w:r w:rsidR="007A31B0">
              <w:rPr>
                <w:rFonts w:eastAsia="標楷體"/>
                <w:sz w:val="20"/>
                <w:szCs w:val="20"/>
              </w:rPr>
              <w:t>, 20</w:t>
            </w:r>
            <w:r w:rsidR="00E3786D">
              <w:rPr>
                <w:rFonts w:eastAsia="標楷體"/>
                <w:sz w:val="20"/>
                <w:szCs w:val="20"/>
              </w:rPr>
              <w:t>2</w:t>
            </w:r>
            <w:r w:rsidR="00EC3564">
              <w:rPr>
                <w:rFonts w:eastAsia="標楷體"/>
                <w:sz w:val="20"/>
                <w:szCs w:val="20"/>
              </w:rPr>
              <w:t>5</w:t>
            </w:r>
          </w:p>
        </w:tc>
      </w:tr>
      <w:tr w:rsidR="0093050D" w:rsidRPr="000803AE"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CF7861" w:rsidRPr="000803AE" w:rsidRDefault="00CF7861" w:rsidP="003716D3">
      <w:pPr>
        <w:snapToGrid w:val="0"/>
        <w:rPr>
          <w:rFonts w:eastAsia="標楷體"/>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4664B3" w:rsidTr="002A5B60">
        <w:trPr>
          <w:trHeight w:val="397"/>
          <w:tblHeader/>
        </w:trPr>
        <w:tc>
          <w:tcPr>
            <w:tcW w:w="15120" w:type="dxa"/>
            <w:gridSpan w:val="5"/>
            <w:tcBorders>
              <w:top w:val="nil"/>
              <w:left w:val="nil"/>
              <w:bottom w:val="single" w:sz="4" w:space="0" w:color="auto"/>
              <w:right w:val="nil"/>
            </w:tcBorders>
            <w:vAlign w:val="center"/>
          </w:tcPr>
          <w:p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rsidR="002A5B60" w:rsidRPr="000803AE" w:rsidRDefault="002A5B60" w:rsidP="002A5B60">
            <w:pPr>
              <w:kinsoku w:val="0"/>
              <w:overflowPunct w:val="0"/>
              <w:adjustRightInd w:val="0"/>
              <w:snapToGrid w:val="0"/>
              <w:jc w:val="center"/>
              <w:rPr>
                <w:rFonts w:eastAsia="標楷體"/>
                <w:b/>
                <w:sz w:val="20"/>
                <w:szCs w:val="20"/>
              </w:rPr>
            </w:pPr>
          </w:p>
          <w:p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rsidR="002A5B60" w:rsidRPr="000803AE" w:rsidRDefault="00482D0B" w:rsidP="00285304">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r w:rsidR="00B45567">
              <w:rPr>
                <w:rFonts w:eastAsia="標楷體"/>
                <w:sz w:val="20"/>
                <w:szCs w:val="20"/>
              </w:rPr>
              <w:t>May 5</w:t>
            </w:r>
            <w:r w:rsidR="007A31B0">
              <w:rPr>
                <w:rFonts w:eastAsia="標楷體"/>
                <w:sz w:val="20"/>
                <w:szCs w:val="20"/>
              </w:rPr>
              <w:t>, 20</w:t>
            </w:r>
            <w:r w:rsidR="004664B3">
              <w:rPr>
                <w:rFonts w:eastAsia="標楷體"/>
                <w:sz w:val="20"/>
                <w:szCs w:val="20"/>
              </w:rPr>
              <w:t>2</w:t>
            </w:r>
            <w:r w:rsidR="00B45567">
              <w:rPr>
                <w:rFonts w:eastAsia="標楷體"/>
                <w:sz w:val="20"/>
                <w:szCs w:val="20"/>
              </w:rPr>
              <w:t>5</w:t>
            </w:r>
          </w:p>
        </w:tc>
      </w:tr>
      <w:tr w:rsidR="002A5B60" w:rsidRPr="000803AE"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379F4">
            <w:pPr>
              <w:adjustRightInd w:val="0"/>
              <w:snapToGrid w:val="0"/>
              <w:ind w:left="332" w:hangingChars="166" w:hanging="332"/>
              <w:rPr>
                <w:rFonts w:eastAsia="標楷體"/>
                <w:sz w:val="20"/>
                <w:szCs w:val="20"/>
              </w:rPr>
            </w:pP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A5B60">
            <w:pPr>
              <w:snapToGrid w:val="0"/>
              <w:ind w:left="-1"/>
              <w:rPr>
                <w:rFonts w:eastAsia="標楷體"/>
                <w:sz w:val="20"/>
                <w:szCs w:val="20"/>
              </w:rPr>
            </w:pPr>
          </w:p>
        </w:tc>
      </w:tr>
      <w:tr w:rsidR="002A5B60" w:rsidRPr="000803AE"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w:t>
            </w:r>
            <w:r w:rsidRPr="000803AE">
              <w:rPr>
                <w:rFonts w:ascii="Times New Roman" w:hint="eastAsia"/>
                <w:color w:val="auto"/>
                <w:sz w:val="20"/>
              </w:rPr>
              <w:lastRenderedPageBreak/>
              <w:t>the offering plan.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w:t>
            </w:r>
            <w:r w:rsidRPr="000803AE">
              <w:rPr>
                <w:rFonts w:eastAsia="標楷體" w:hint="eastAsia"/>
                <w:sz w:val="20"/>
                <w:szCs w:val="20"/>
              </w:rPr>
              <w:lastRenderedPageBreak/>
              <w:t xml:space="preserve">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A5B60" w:rsidP="00171ED4">
            <w:pPr>
              <w:snapToGrid w:val="0"/>
              <w:rPr>
                <w:rFonts w:eastAsia="標楷體"/>
                <w:sz w:val="20"/>
                <w:szCs w:val="20"/>
              </w:rPr>
            </w:pP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6</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0C6619" w:rsidP="005E0B2C">
            <w:pPr>
              <w:pStyle w:val="30"/>
              <w:adjustRightInd w:val="0"/>
              <w:snapToGrid w:val="0"/>
              <w:spacing w:line="240" w:lineRule="auto"/>
              <w:jc w:val="left"/>
              <w:rPr>
                <w:rFonts w:ascii="Times New Roman"/>
                <w:color w:val="auto"/>
                <w:sz w:val="20"/>
              </w:rPr>
            </w:pPr>
          </w:p>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w:t>
            </w:r>
            <w:r w:rsidRPr="000803AE">
              <w:rPr>
                <w:rFonts w:ascii="Times New Roman"/>
                <w:color w:val="auto"/>
                <w:sz w:val="20"/>
              </w:rPr>
              <w:lastRenderedPageBreak/>
              <w:t>Funds.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Governing Information Filing by </w:t>
            </w:r>
            <w:r w:rsidRPr="000803AE">
              <w:rPr>
                <w:rFonts w:eastAsia="標楷體"/>
                <w:sz w:val="20"/>
                <w:szCs w:val="20"/>
              </w:rPr>
              <w:lastRenderedPageBreak/>
              <w:t>Companies with TWSE Listed Securities and Offshore Fund Institutions with TWSE Listed Offshore Exchange-Traded Funds</w:t>
            </w:r>
            <w:r w:rsidRPr="000803AE">
              <w:rPr>
                <w:rFonts w:eastAsia="標楷體" w:hint="eastAsia"/>
                <w:sz w:val="20"/>
                <w:szCs w:val="20"/>
              </w:rPr>
              <w:t>.</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rsidR="000C6619" w:rsidRPr="000803AE" w:rsidRDefault="000C6619" w:rsidP="003A6168">
            <w:pPr>
              <w:snapToGrid w:val="0"/>
              <w:ind w:left="-1"/>
              <w:rPr>
                <w:rFonts w:eastAsia="標楷體"/>
                <w:sz w:val="20"/>
                <w:szCs w:val="20"/>
              </w:rPr>
            </w:pPr>
          </w:p>
        </w:tc>
      </w:tr>
      <w:tr w:rsidR="004C5DE6" w:rsidRPr="000803AE"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10</w:t>
            </w:r>
          </w:p>
        </w:tc>
        <w:tc>
          <w:tcPr>
            <w:tcW w:w="2682"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rsidR="004C5DE6" w:rsidRPr="000803AE" w:rsidRDefault="004C5DE6" w:rsidP="005E0B2C">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rsidR="004C5DE6" w:rsidRPr="000803AE" w:rsidRDefault="004C5DE6">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lastRenderedPageBreak/>
              <w:t>11</w:t>
            </w:r>
          </w:p>
        </w:tc>
        <w:tc>
          <w:tcPr>
            <w:tcW w:w="2682" w:type="dxa"/>
            <w:tcBorders>
              <w:top w:val="single" w:sz="4" w:space="0" w:color="auto"/>
              <w:left w:val="single" w:sz="4" w:space="0" w:color="auto"/>
              <w:bottom w:val="single" w:sz="4" w:space="0" w:color="auto"/>
              <w:right w:val="single" w:sz="4" w:space="0" w:color="auto"/>
            </w:tcBorders>
          </w:tcPr>
          <w:p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2A5B60" w:rsidRPr="000803AE" w:rsidRDefault="002A5B60"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CC" w:rsidRDefault="00B774CC">
      <w:r>
        <w:separator/>
      </w:r>
    </w:p>
  </w:endnote>
  <w:endnote w:type="continuationSeparator" w:id="0">
    <w:p w:rsidR="00B774CC" w:rsidRDefault="00B774CC">
      <w:r>
        <w:continuationSeparator/>
      </w:r>
    </w:p>
  </w:endnote>
  <w:endnote w:type="continuationNotice" w:id="1">
    <w:p w:rsidR="00B774CC" w:rsidRDefault="00B77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4CC" w:rsidRDefault="00B774C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774CC" w:rsidRDefault="00B774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4CC" w:rsidRDefault="00B774CC"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7A0FA0">
      <w:rPr>
        <w:rStyle w:val="a9"/>
        <w:noProof/>
      </w:rPr>
      <w:t>53</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CC" w:rsidRDefault="00B774CC">
      <w:r>
        <w:separator/>
      </w:r>
    </w:p>
  </w:footnote>
  <w:footnote w:type="continuationSeparator" w:id="0">
    <w:p w:rsidR="00B774CC" w:rsidRDefault="00B774CC">
      <w:r>
        <w:continuationSeparator/>
      </w:r>
    </w:p>
  </w:footnote>
  <w:footnote w:type="continuationNotice" w:id="1">
    <w:p w:rsidR="00B774CC" w:rsidRDefault="00B774C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697A1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1"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4"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3"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9"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0"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0"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2"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3"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4"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2"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6"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7"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8"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4"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7"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6"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8"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2E0112B8"/>
    <w:multiLevelType w:val="hybridMultilevel"/>
    <w:tmpl w:val="41EE95E6"/>
    <w:lvl w:ilvl="0" w:tplc="4764441E">
      <w:start w:val="1"/>
      <w:numFmt w:val="decimal"/>
      <w:lvlText w:val="%1."/>
      <w:lvlJc w:val="left"/>
      <w:pPr>
        <w:tabs>
          <w:tab w:val="num" w:pos="360"/>
        </w:tabs>
        <w:ind w:left="360" w:hanging="360"/>
      </w:pPr>
      <w:rPr>
        <w:rFonts w:ascii="Times New Roman" w:eastAsia="Times New Roman" w:hAnsi="Times New Roman" w:cs="Times New Roman"/>
        <w:color w:val="auto"/>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80"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2"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6"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2"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4"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1"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7"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8"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2" w15:restartNumberingAfterBreak="0">
    <w:nsid w:val="35DF6995"/>
    <w:multiLevelType w:val="hybridMultilevel"/>
    <w:tmpl w:val="0CE88E5A"/>
    <w:lvl w:ilvl="0" w:tplc="9A82D2D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5"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6"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20"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2"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0"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3"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5"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1"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3"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8"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1"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3"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9"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71"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2"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3"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4"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5"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7"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9"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1"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2"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3"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7"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8"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9"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2"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3"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5"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1"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7"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9"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0"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1"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2"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4"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4"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6"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0"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1"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2"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4"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6"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0"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2"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5"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6"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7"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2"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3"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4"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5"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9"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61"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3"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0"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4"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5"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7"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8"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0"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1"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4"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5"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7"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7"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8"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8"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20"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3"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25276F4"/>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1"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7"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9"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75657CED"/>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1"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2"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3"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4"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5"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6"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7"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8"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0"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52"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3"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5" w15:restartNumberingAfterBreak="0">
    <w:nsid w:val="79A043D0"/>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456"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7"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8"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9"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0"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2"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6"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1"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2"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3"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5"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6"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7"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8"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1"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82" w15:restartNumberingAfterBreak="0">
    <w:nsid w:val="7FBC362F"/>
    <w:multiLevelType w:val="hybridMultilevel"/>
    <w:tmpl w:val="BEBEFD0C"/>
    <w:lvl w:ilvl="0" w:tplc="628AABA8">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3"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4"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5"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6"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40"/>
  </w:num>
  <w:num w:numId="2">
    <w:abstractNumId w:val="211"/>
  </w:num>
  <w:num w:numId="3">
    <w:abstractNumId w:val="56"/>
  </w:num>
  <w:num w:numId="4">
    <w:abstractNumId w:val="225"/>
  </w:num>
  <w:num w:numId="5">
    <w:abstractNumId w:val="467"/>
  </w:num>
  <w:num w:numId="6">
    <w:abstractNumId w:val="245"/>
  </w:num>
  <w:num w:numId="7">
    <w:abstractNumId w:val="143"/>
  </w:num>
  <w:num w:numId="8">
    <w:abstractNumId w:val="163"/>
  </w:num>
  <w:num w:numId="9">
    <w:abstractNumId w:val="331"/>
  </w:num>
  <w:num w:numId="10">
    <w:abstractNumId w:val="205"/>
  </w:num>
  <w:num w:numId="11">
    <w:abstractNumId w:val="101"/>
  </w:num>
  <w:num w:numId="12">
    <w:abstractNumId w:val="62"/>
  </w:num>
  <w:num w:numId="13">
    <w:abstractNumId w:val="232"/>
  </w:num>
  <w:num w:numId="14">
    <w:abstractNumId w:val="266"/>
  </w:num>
  <w:num w:numId="15">
    <w:abstractNumId w:val="209"/>
  </w:num>
  <w:num w:numId="16">
    <w:abstractNumId w:val="155"/>
  </w:num>
  <w:num w:numId="17">
    <w:abstractNumId w:val="193"/>
  </w:num>
  <w:num w:numId="18">
    <w:abstractNumId w:val="191"/>
  </w:num>
  <w:num w:numId="19">
    <w:abstractNumId w:val="351"/>
  </w:num>
  <w:num w:numId="20">
    <w:abstractNumId w:val="437"/>
  </w:num>
  <w:num w:numId="21">
    <w:abstractNumId w:val="162"/>
  </w:num>
  <w:num w:numId="22">
    <w:abstractNumId w:val="287"/>
  </w:num>
  <w:num w:numId="23">
    <w:abstractNumId w:val="252"/>
  </w:num>
  <w:num w:numId="24">
    <w:abstractNumId w:val="75"/>
  </w:num>
  <w:num w:numId="25">
    <w:abstractNumId w:val="6"/>
  </w:num>
  <w:num w:numId="26">
    <w:abstractNumId w:val="472"/>
  </w:num>
  <w:num w:numId="27">
    <w:abstractNumId w:val="177"/>
  </w:num>
  <w:num w:numId="28">
    <w:abstractNumId w:val="98"/>
  </w:num>
  <w:num w:numId="29">
    <w:abstractNumId w:val="397"/>
  </w:num>
  <w:num w:numId="30">
    <w:abstractNumId w:val="139"/>
  </w:num>
  <w:num w:numId="31">
    <w:abstractNumId w:val="344"/>
  </w:num>
  <w:num w:numId="32">
    <w:abstractNumId w:val="423"/>
  </w:num>
  <w:num w:numId="33">
    <w:abstractNumId w:val="51"/>
  </w:num>
  <w:num w:numId="34">
    <w:abstractNumId w:val="226"/>
  </w:num>
  <w:num w:numId="35">
    <w:abstractNumId w:val="81"/>
  </w:num>
  <w:num w:numId="36">
    <w:abstractNumId w:val="204"/>
  </w:num>
  <w:num w:numId="37">
    <w:abstractNumId w:val="280"/>
  </w:num>
  <w:num w:numId="38">
    <w:abstractNumId w:val="272"/>
  </w:num>
  <w:num w:numId="39">
    <w:abstractNumId w:val="13"/>
  </w:num>
  <w:num w:numId="40">
    <w:abstractNumId w:val="206"/>
  </w:num>
  <w:num w:numId="41">
    <w:abstractNumId w:val="399"/>
  </w:num>
  <w:num w:numId="42">
    <w:abstractNumId w:val="11"/>
  </w:num>
  <w:num w:numId="43">
    <w:abstractNumId w:val="324"/>
  </w:num>
  <w:num w:numId="44">
    <w:abstractNumId w:val="394"/>
  </w:num>
  <w:num w:numId="45">
    <w:abstractNumId w:val="420"/>
  </w:num>
  <w:num w:numId="46">
    <w:abstractNumId w:val="306"/>
  </w:num>
  <w:num w:numId="47">
    <w:abstractNumId w:val="166"/>
  </w:num>
  <w:num w:numId="48">
    <w:abstractNumId w:val="85"/>
  </w:num>
  <w:num w:numId="49">
    <w:abstractNumId w:val="27"/>
  </w:num>
  <w:num w:numId="50">
    <w:abstractNumId w:val="374"/>
  </w:num>
  <w:num w:numId="51">
    <w:abstractNumId w:val="253"/>
  </w:num>
  <w:num w:numId="52">
    <w:abstractNumId w:val="121"/>
  </w:num>
  <w:num w:numId="53">
    <w:abstractNumId w:val="285"/>
  </w:num>
  <w:num w:numId="54">
    <w:abstractNumId w:val="484"/>
  </w:num>
  <w:num w:numId="55">
    <w:abstractNumId w:val="74"/>
  </w:num>
  <w:num w:numId="56">
    <w:abstractNumId w:val="317"/>
  </w:num>
  <w:num w:numId="57">
    <w:abstractNumId w:val="480"/>
  </w:num>
  <w:num w:numId="58">
    <w:abstractNumId w:val="59"/>
  </w:num>
  <w:num w:numId="59">
    <w:abstractNumId w:val="200"/>
  </w:num>
  <w:num w:numId="60">
    <w:abstractNumId w:val="436"/>
  </w:num>
  <w:num w:numId="61">
    <w:abstractNumId w:val="247"/>
  </w:num>
  <w:num w:numId="62">
    <w:abstractNumId w:val="318"/>
  </w:num>
  <w:num w:numId="63">
    <w:abstractNumId w:val="340"/>
  </w:num>
  <w:num w:numId="64">
    <w:abstractNumId w:val="215"/>
  </w:num>
  <w:num w:numId="65">
    <w:abstractNumId w:val="387"/>
  </w:num>
  <w:num w:numId="66">
    <w:abstractNumId w:val="295"/>
  </w:num>
  <w:num w:numId="67">
    <w:abstractNumId w:val="279"/>
  </w:num>
  <w:num w:numId="68">
    <w:abstractNumId w:val="361"/>
  </w:num>
  <w:num w:numId="69">
    <w:abstractNumId w:val="127"/>
  </w:num>
  <w:num w:numId="70">
    <w:abstractNumId w:val="323"/>
  </w:num>
  <w:num w:numId="71">
    <w:abstractNumId w:val="458"/>
  </w:num>
  <w:num w:numId="72">
    <w:abstractNumId w:val="296"/>
  </w:num>
  <w:num w:numId="73">
    <w:abstractNumId w:val="30"/>
  </w:num>
  <w:num w:numId="74">
    <w:abstractNumId w:val="79"/>
  </w:num>
  <w:num w:numId="75">
    <w:abstractNumId w:val="150"/>
  </w:num>
  <w:num w:numId="76">
    <w:abstractNumId w:val="246"/>
  </w:num>
  <w:num w:numId="77">
    <w:abstractNumId w:val="392"/>
  </w:num>
  <w:num w:numId="78">
    <w:abstractNumId w:val="151"/>
  </w:num>
  <w:num w:numId="79">
    <w:abstractNumId w:val="348"/>
  </w:num>
  <w:num w:numId="80">
    <w:abstractNumId w:val="237"/>
  </w:num>
  <w:num w:numId="81">
    <w:abstractNumId w:val="180"/>
  </w:num>
  <w:num w:numId="82">
    <w:abstractNumId w:val="250"/>
  </w:num>
  <w:num w:numId="83">
    <w:abstractNumId w:val="20"/>
  </w:num>
  <w:num w:numId="84">
    <w:abstractNumId w:val="197"/>
  </w:num>
  <w:num w:numId="85">
    <w:abstractNumId w:val="130"/>
  </w:num>
  <w:num w:numId="86">
    <w:abstractNumId w:val="377"/>
  </w:num>
  <w:num w:numId="87">
    <w:abstractNumId w:val="208"/>
  </w:num>
  <w:num w:numId="88">
    <w:abstractNumId w:val="297"/>
  </w:num>
  <w:num w:numId="89">
    <w:abstractNumId w:val="152"/>
  </w:num>
  <w:num w:numId="90">
    <w:abstractNumId w:val="286"/>
  </w:num>
  <w:num w:numId="91">
    <w:abstractNumId w:val="179"/>
  </w:num>
  <w:num w:numId="92">
    <w:abstractNumId w:val="362"/>
  </w:num>
  <w:num w:numId="93">
    <w:abstractNumId w:val="325"/>
  </w:num>
  <w:num w:numId="94">
    <w:abstractNumId w:val="213"/>
  </w:num>
  <w:num w:numId="95">
    <w:abstractNumId w:val="231"/>
  </w:num>
  <w:num w:numId="96">
    <w:abstractNumId w:val="83"/>
  </w:num>
  <w:num w:numId="97">
    <w:abstractNumId w:val="90"/>
  </w:num>
  <w:num w:numId="98">
    <w:abstractNumId w:val="278"/>
  </w:num>
  <w:num w:numId="99">
    <w:abstractNumId w:val="448"/>
  </w:num>
  <w:num w:numId="100">
    <w:abstractNumId w:val="426"/>
  </w:num>
  <w:num w:numId="101">
    <w:abstractNumId w:val="123"/>
  </w:num>
  <w:num w:numId="102">
    <w:abstractNumId w:val="474"/>
  </w:num>
  <w:num w:numId="103">
    <w:abstractNumId w:val="159"/>
  </w:num>
  <w:num w:numId="104">
    <w:abstractNumId w:val="451"/>
  </w:num>
  <w:num w:numId="105">
    <w:abstractNumId w:val="333"/>
  </w:num>
  <w:num w:numId="106">
    <w:abstractNumId w:val="311"/>
  </w:num>
  <w:num w:numId="107">
    <w:abstractNumId w:val="453"/>
  </w:num>
  <w:num w:numId="108">
    <w:abstractNumId w:val="335"/>
  </w:num>
  <w:num w:numId="109">
    <w:abstractNumId w:val="7"/>
  </w:num>
  <w:num w:numId="110">
    <w:abstractNumId w:val="97"/>
  </w:num>
  <w:num w:numId="111">
    <w:abstractNumId w:val="479"/>
  </w:num>
  <w:num w:numId="112">
    <w:abstractNumId w:val="322"/>
  </w:num>
  <w:num w:numId="113">
    <w:abstractNumId w:val="388"/>
  </w:num>
  <w:num w:numId="114">
    <w:abstractNumId w:val="34"/>
  </w:num>
  <w:num w:numId="115">
    <w:abstractNumId w:val="373"/>
  </w:num>
  <w:num w:numId="116">
    <w:abstractNumId w:val="198"/>
  </w:num>
  <w:num w:numId="117">
    <w:abstractNumId w:val="427"/>
  </w:num>
  <w:num w:numId="118">
    <w:abstractNumId w:val="411"/>
  </w:num>
  <w:num w:numId="119">
    <w:abstractNumId w:val="271"/>
  </w:num>
  <w:num w:numId="120">
    <w:abstractNumId w:val="183"/>
  </w:num>
  <w:num w:numId="121">
    <w:abstractNumId w:val="418"/>
  </w:num>
  <w:num w:numId="122">
    <w:abstractNumId w:val="218"/>
  </w:num>
  <w:num w:numId="123">
    <w:abstractNumId w:val="481"/>
  </w:num>
  <w:num w:numId="124">
    <w:abstractNumId w:val="360"/>
  </w:num>
  <w:num w:numId="125">
    <w:abstractNumId w:val="144"/>
  </w:num>
  <w:num w:numId="126">
    <w:abstractNumId w:val="314"/>
  </w:num>
  <w:num w:numId="127">
    <w:abstractNumId w:val="370"/>
  </w:num>
  <w:num w:numId="128">
    <w:abstractNumId w:val="449"/>
  </w:num>
  <w:num w:numId="129">
    <w:abstractNumId w:val="431"/>
  </w:num>
  <w:num w:numId="130">
    <w:abstractNumId w:val="65"/>
  </w:num>
  <w:num w:numId="131">
    <w:abstractNumId w:val="181"/>
  </w:num>
  <w:num w:numId="132">
    <w:abstractNumId w:val="249"/>
  </w:num>
  <w:num w:numId="133">
    <w:abstractNumId w:val="94"/>
  </w:num>
  <w:num w:numId="134">
    <w:abstractNumId w:val="478"/>
  </w:num>
  <w:num w:numId="135">
    <w:abstractNumId w:val="486"/>
  </w:num>
  <w:num w:numId="136">
    <w:abstractNumId w:val="244"/>
  </w:num>
  <w:num w:numId="137">
    <w:abstractNumId w:val="21"/>
  </w:num>
  <w:num w:numId="138">
    <w:abstractNumId w:val="319"/>
  </w:num>
  <w:num w:numId="139">
    <w:abstractNumId w:val="102"/>
  </w:num>
  <w:num w:numId="140">
    <w:abstractNumId w:val="366"/>
  </w:num>
  <w:num w:numId="141">
    <w:abstractNumId w:val="485"/>
  </w:num>
  <w:num w:numId="142">
    <w:abstractNumId w:val="290"/>
  </w:num>
  <w:num w:numId="143">
    <w:abstractNumId w:val="19"/>
  </w:num>
  <w:num w:numId="144">
    <w:abstractNumId w:val="410"/>
  </w:num>
  <w:num w:numId="145">
    <w:abstractNumId w:val="189"/>
  </w:num>
  <w:num w:numId="146">
    <w:abstractNumId w:val="126"/>
  </w:num>
  <w:num w:numId="147">
    <w:abstractNumId w:val="61"/>
  </w:num>
  <w:num w:numId="148">
    <w:abstractNumId w:val="276"/>
  </w:num>
  <w:num w:numId="149">
    <w:abstractNumId w:val="169"/>
  </w:num>
  <w:num w:numId="150">
    <w:abstractNumId w:val="2"/>
  </w:num>
  <w:num w:numId="151">
    <w:abstractNumId w:val="363"/>
  </w:num>
  <w:num w:numId="152">
    <w:abstractNumId w:val="3"/>
  </w:num>
  <w:num w:numId="153">
    <w:abstractNumId w:val="227"/>
  </w:num>
  <w:num w:numId="154">
    <w:abstractNumId w:val="368"/>
  </w:num>
  <w:num w:numId="155">
    <w:abstractNumId w:val="462"/>
  </w:num>
  <w:num w:numId="156">
    <w:abstractNumId w:val="24"/>
  </w:num>
  <w:num w:numId="157">
    <w:abstractNumId w:val="88"/>
  </w:num>
  <w:num w:numId="158">
    <w:abstractNumId w:val="112"/>
  </w:num>
  <w:num w:numId="159">
    <w:abstractNumId w:val="17"/>
  </w:num>
  <w:num w:numId="160">
    <w:abstractNumId w:val="292"/>
  </w:num>
  <w:num w:numId="161">
    <w:abstractNumId w:val="76"/>
  </w:num>
  <w:num w:numId="162">
    <w:abstractNumId w:val="301"/>
  </w:num>
  <w:num w:numId="163">
    <w:abstractNumId w:val="336"/>
  </w:num>
  <w:num w:numId="164">
    <w:abstractNumId w:val="25"/>
  </w:num>
  <w:num w:numId="165">
    <w:abstractNumId w:val="222"/>
  </w:num>
  <w:num w:numId="166">
    <w:abstractNumId w:val="224"/>
  </w:num>
  <w:num w:numId="167">
    <w:abstractNumId w:val="40"/>
  </w:num>
  <w:num w:numId="168">
    <w:abstractNumId w:val="136"/>
  </w:num>
  <w:num w:numId="169">
    <w:abstractNumId w:val="157"/>
  </w:num>
  <w:num w:numId="170">
    <w:abstractNumId w:val="60"/>
  </w:num>
  <w:num w:numId="171">
    <w:abstractNumId w:val="214"/>
  </w:num>
  <w:num w:numId="172">
    <w:abstractNumId w:val="328"/>
  </w:num>
  <w:num w:numId="173">
    <w:abstractNumId w:val="321"/>
  </w:num>
  <w:num w:numId="174">
    <w:abstractNumId w:val="465"/>
  </w:num>
  <w:num w:numId="175">
    <w:abstractNumId w:val="160"/>
  </w:num>
  <w:num w:numId="176">
    <w:abstractNumId w:val="92"/>
  </w:num>
  <w:num w:numId="177">
    <w:abstractNumId w:val="470"/>
  </w:num>
  <w:num w:numId="178">
    <w:abstractNumId w:val="334"/>
  </w:num>
  <w:num w:numId="179">
    <w:abstractNumId w:val="483"/>
  </w:num>
  <w:num w:numId="180">
    <w:abstractNumId w:val="417"/>
  </w:num>
  <w:num w:numId="181">
    <w:abstractNumId w:val="435"/>
  </w:num>
  <w:num w:numId="182">
    <w:abstractNumId w:val="71"/>
  </w:num>
  <w:num w:numId="183">
    <w:abstractNumId w:val="415"/>
  </w:num>
  <w:num w:numId="184">
    <w:abstractNumId w:val="422"/>
  </w:num>
  <w:num w:numId="185">
    <w:abstractNumId w:val="298"/>
  </w:num>
  <w:num w:numId="186">
    <w:abstractNumId w:val="343"/>
  </w:num>
  <w:num w:numId="187">
    <w:abstractNumId w:val="309"/>
  </w:num>
  <w:num w:numId="188">
    <w:abstractNumId w:val="15"/>
  </w:num>
  <w:num w:numId="189">
    <w:abstractNumId w:val="78"/>
  </w:num>
  <w:num w:numId="190">
    <w:abstractNumId w:val="64"/>
  </w:num>
  <w:num w:numId="191">
    <w:abstractNumId w:val="124"/>
  </w:num>
  <w:num w:numId="192">
    <w:abstractNumId w:val="228"/>
  </w:num>
  <w:num w:numId="193">
    <w:abstractNumId w:val="275"/>
  </w:num>
  <w:num w:numId="194">
    <w:abstractNumId w:val="29"/>
  </w:num>
  <w:num w:numId="195">
    <w:abstractNumId w:val="117"/>
  </w:num>
  <w:num w:numId="196">
    <w:abstractNumId w:val="413"/>
  </w:num>
  <w:num w:numId="197">
    <w:abstractNumId w:val="326"/>
  </w:num>
  <w:num w:numId="198">
    <w:abstractNumId w:val="195"/>
  </w:num>
  <w:num w:numId="199">
    <w:abstractNumId w:val="203"/>
  </w:num>
  <w:num w:numId="200">
    <w:abstractNumId w:val="359"/>
  </w:num>
  <w:num w:numId="201">
    <w:abstractNumId w:val="267"/>
  </w:num>
  <w:num w:numId="202">
    <w:abstractNumId w:val="196"/>
  </w:num>
  <w:num w:numId="203">
    <w:abstractNumId w:val="172"/>
  </w:num>
  <w:num w:numId="204">
    <w:abstractNumId w:val="1"/>
  </w:num>
  <w:num w:numId="205">
    <w:abstractNumId w:val="156"/>
  </w:num>
  <w:num w:numId="206">
    <w:abstractNumId w:val="145"/>
  </w:num>
  <w:num w:numId="207">
    <w:abstractNumId w:val="383"/>
  </w:num>
  <w:num w:numId="208">
    <w:abstractNumId w:val="265"/>
  </w:num>
  <w:num w:numId="209">
    <w:abstractNumId w:val="41"/>
  </w:num>
  <w:num w:numId="210">
    <w:abstractNumId w:val="161"/>
  </w:num>
  <w:num w:numId="211">
    <w:abstractNumId w:val="96"/>
  </w:num>
  <w:num w:numId="212">
    <w:abstractNumId w:val="91"/>
  </w:num>
  <w:num w:numId="213">
    <w:abstractNumId w:val="400"/>
  </w:num>
  <w:num w:numId="214">
    <w:abstractNumId w:val="444"/>
  </w:num>
  <w:num w:numId="215">
    <w:abstractNumId w:val="238"/>
  </w:num>
  <w:num w:numId="216">
    <w:abstractNumId w:val="349"/>
  </w:num>
  <w:num w:numId="217">
    <w:abstractNumId w:val="175"/>
  </w:num>
  <w:num w:numId="218">
    <w:abstractNumId w:val="460"/>
  </w:num>
  <w:num w:numId="219">
    <w:abstractNumId w:val="378"/>
  </w:num>
  <w:num w:numId="220">
    <w:abstractNumId w:val="67"/>
  </w:num>
  <w:num w:numId="221">
    <w:abstractNumId w:val="365"/>
  </w:num>
  <w:num w:numId="222">
    <w:abstractNumId w:val="116"/>
  </w:num>
  <w:num w:numId="223">
    <w:abstractNumId w:val="330"/>
  </w:num>
  <w:num w:numId="224">
    <w:abstractNumId w:val="391"/>
  </w:num>
  <w:num w:numId="225">
    <w:abstractNumId w:val="339"/>
  </w:num>
  <w:num w:numId="226">
    <w:abstractNumId w:val="251"/>
  </w:num>
  <w:num w:numId="227">
    <w:abstractNumId w:val="277"/>
  </w:num>
  <w:num w:numId="228">
    <w:abstractNumId w:val="103"/>
  </w:num>
  <w:num w:numId="229">
    <w:abstractNumId w:val="432"/>
  </w:num>
  <w:num w:numId="230">
    <w:abstractNumId w:val="269"/>
  </w:num>
  <w:num w:numId="231">
    <w:abstractNumId w:val="356"/>
  </w:num>
  <w:num w:numId="232">
    <w:abstractNumId w:val="221"/>
  </w:num>
  <w:num w:numId="233">
    <w:abstractNumId w:val="9"/>
  </w:num>
  <w:num w:numId="234">
    <w:abstractNumId w:val="129"/>
  </w:num>
  <w:num w:numId="235">
    <w:abstractNumId w:val="260"/>
  </w:num>
  <w:num w:numId="236">
    <w:abstractNumId w:val="367"/>
  </w:num>
  <w:num w:numId="237">
    <w:abstractNumId w:val="133"/>
  </w:num>
  <w:num w:numId="238">
    <w:abstractNumId w:val="263"/>
  </w:num>
  <w:num w:numId="239">
    <w:abstractNumId w:val="165"/>
  </w:num>
  <w:num w:numId="240">
    <w:abstractNumId w:val="52"/>
  </w:num>
  <w:num w:numId="241">
    <w:abstractNumId w:val="235"/>
  </w:num>
  <w:num w:numId="242">
    <w:abstractNumId w:val="184"/>
  </w:num>
  <w:num w:numId="243">
    <w:abstractNumId w:val="199"/>
  </w:num>
  <w:num w:numId="244">
    <w:abstractNumId w:val="22"/>
  </w:num>
  <w:num w:numId="245">
    <w:abstractNumId w:val="316"/>
  </w:num>
  <w:num w:numId="246">
    <w:abstractNumId w:val="421"/>
  </w:num>
  <w:num w:numId="247">
    <w:abstractNumId w:val="141"/>
  </w:num>
  <w:num w:numId="248">
    <w:abstractNumId w:val="16"/>
  </w:num>
  <w:num w:numId="249">
    <w:abstractNumId w:val="438"/>
  </w:num>
  <w:num w:numId="250">
    <w:abstractNumId w:val="37"/>
  </w:num>
  <w:num w:numId="251">
    <w:abstractNumId w:val="456"/>
  </w:num>
  <w:num w:numId="252">
    <w:abstractNumId w:val="100"/>
  </w:num>
  <w:num w:numId="253">
    <w:abstractNumId w:val="72"/>
  </w:num>
  <w:num w:numId="254">
    <w:abstractNumId w:val="118"/>
  </w:num>
  <w:num w:numId="255">
    <w:abstractNumId w:val="42"/>
  </w:num>
  <w:num w:numId="256">
    <w:abstractNumId w:val="111"/>
  </w:num>
  <w:num w:numId="257">
    <w:abstractNumId w:val="168"/>
  </w:num>
  <w:num w:numId="258">
    <w:abstractNumId w:val="223"/>
  </w:num>
  <w:num w:numId="259">
    <w:abstractNumId w:val="33"/>
  </w:num>
  <w:num w:numId="260">
    <w:abstractNumId w:val="396"/>
  </w:num>
  <w:num w:numId="261">
    <w:abstractNumId w:val="131"/>
  </w:num>
  <w:num w:numId="262">
    <w:abstractNumId w:val="398"/>
  </w:num>
  <w:num w:numId="263">
    <w:abstractNumId w:val="468"/>
  </w:num>
  <w:num w:numId="264">
    <w:abstractNumId w:val="380"/>
  </w:num>
  <w:num w:numId="265">
    <w:abstractNumId w:val="281"/>
  </w:num>
  <w:num w:numId="266">
    <w:abstractNumId w:val="119"/>
  </w:num>
  <w:num w:numId="267">
    <w:abstractNumId w:val="35"/>
  </w:num>
  <w:num w:numId="268">
    <w:abstractNumId w:val="39"/>
  </w:num>
  <w:num w:numId="269">
    <w:abstractNumId w:val="12"/>
  </w:num>
  <w:num w:numId="270">
    <w:abstractNumId w:val="354"/>
  </w:num>
  <w:num w:numId="271">
    <w:abstractNumId w:val="146"/>
  </w:num>
  <w:num w:numId="272">
    <w:abstractNumId w:val="257"/>
  </w:num>
  <w:num w:numId="273">
    <w:abstractNumId w:val="291"/>
  </w:num>
  <w:num w:numId="274">
    <w:abstractNumId w:val="50"/>
  </w:num>
  <w:num w:numId="275">
    <w:abstractNumId w:val="419"/>
  </w:num>
  <w:num w:numId="276">
    <w:abstractNumId w:val="270"/>
  </w:num>
  <w:num w:numId="277">
    <w:abstractNumId w:val="147"/>
  </w:num>
  <w:num w:numId="278">
    <w:abstractNumId w:val="210"/>
  </w:num>
  <w:num w:numId="279">
    <w:abstractNumId w:val="299"/>
  </w:num>
  <w:num w:numId="280">
    <w:abstractNumId w:val="469"/>
  </w:num>
  <w:num w:numId="281">
    <w:abstractNumId w:val="402"/>
  </w:num>
  <w:num w:numId="282">
    <w:abstractNumId w:val="403"/>
  </w:num>
  <w:num w:numId="283">
    <w:abstractNumId w:val="425"/>
  </w:num>
  <w:num w:numId="284">
    <w:abstractNumId w:val="463"/>
  </w:num>
  <w:num w:numId="285">
    <w:abstractNumId w:val="429"/>
  </w:num>
  <w:num w:numId="286">
    <w:abstractNumId w:val="461"/>
  </w:num>
  <w:num w:numId="287">
    <w:abstractNumId w:val="473"/>
  </w:num>
  <w:num w:numId="288">
    <w:abstractNumId w:val="240"/>
  </w:num>
  <w:num w:numId="289">
    <w:abstractNumId w:val="433"/>
  </w:num>
  <w:num w:numId="290">
    <w:abstractNumId w:val="53"/>
  </w:num>
  <w:num w:numId="291">
    <w:abstractNumId w:val="31"/>
  </w:num>
  <w:num w:numId="292">
    <w:abstractNumId w:val="393"/>
  </w:num>
  <w:num w:numId="293">
    <w:abstractNumId w:val="113"/>
  </w:num>
  <w:num w:numId="294">
    <w:abstractNumId w:val="414"/>
  </w:num>
  <w:num w:numId="295">
    <w:abstractNumId w:val="137"/>
  </w:num>
  <w:num w:numId="296">
    <w:abstractNumId w:val="441"/>
  </w:num>
  <w:num w:numId="297">
    <w:abstractNumId w:val="476"/>
  </w:num>
  <w:num w:numId="298">
    <w:abstractNumId w:val="132"/>
  </w:num>
  <w:num w:numId="299">
    <w:abstractNumId w:val="4"/>
  </w:num>
  <w:num w:numId="300">
    <w:abstractNumId w:val="43"/>
  </w:num>
  <w:num w:numId="301">
    <w:abstractNumId w:val="305"/>
  </w:num>
  <w:num w:numId="302">
    <w:abstractNumId w:val="220"/>
  </w:num>
  <w:num w:numId="303">
    <w:abstractNumId w:val="82"/>
  </w:num>
  <w:num w:numId="304">
    <w:abstractNumId w:val="300"/>
  </w:num>
  <w:num w:numId="305">
    <w:abstractNumId w:val="46"/>
  </w:num>
  <w:num w:numId="306">
    <w:abstractNumId w:val="128"/>
  </w:num>
  <w:num w:numId="307">
    <w:abstractNumId w:val="70"/>
  </w:num>
  <w:num w:numId="308">
    <w:abstractNumId w:val="125"/>
  </w:num>
  <w:num w:numId="309">
    <w:abstractNumId w:val="258"/>
  </w:num>
  <w:num w:numId="310">
    <w:abstractNumId w:val="229"/>
  </w:num>
  <w:num w:numId="311">
    <w:abstractNumId w:val="115"/>
  </w:num>
  <w:num w:numId="312">
    <w:abstractNumId w:val="174"/>
  </w:num>
  <w:num w:numId="313">
    <w:abstractNumId w:val="36"/>
  </w:num>
  <w:num w:numId="314">
    <w:abstractNumId w:val="405"/>
  </w:num>
  <w:num w:numId="315">
    <w:abstractNumId w:val="58"/>
  </w:num>
  <w:num w:numId="316">
    <w:abstractNumId w:val="38"/>
  </w:num>
  <w:num w:numId="317">
    <w:abstractNumId w:val="55"/>
  </w:num>
  <w:num w:numId="318">
    <w:abstractNumId w:val="320"/>
  </w:num>
  <w:num w:numId="319">
    <w:abstractNumId w:val="389"/>
  </w:num>
  <w:num w:numId="320">
    <w:abstractNumId w:val="87"/>
  </w:num>
  <w:num w:numId="321">
    <w:abstractNumId w:val="171"/>
  </w:num>
  <w:num w:numId="322">
    <w:abstractNumId w:val="255"/>
  </w:num>
  <w:num w:numId="323">
    <w:abstractNumId w:val="261"/>
  </w:num>
  <w:num w:numId="324">
    <w:abstractNumId w:val="386"/>
  </w:num>
  <w:num w:numId="325">
    <w:abstractNumId w:val="106"/>
  </w:num>
  <w:num w:numId="326">
    <w:abstractNumId w:val="47"/>
  </w:num>
  <w:num w:numId="327">
    <w:abstractNumId w:val="153"/>
  </w:num>
  <w:num w:numId="328">
    <w:abstractNumId w:val="89"/>
  </w:num>
  <w:num w:numId="329">
    <w:abstractNumId w:val="303"/>
  </w:num>
  <w:num w:numId="330">
    <w:abstractNumId w:val="190"/>
  </w:num>
  <w:num w:numId="331">
    <w:abstractNumId w:val="44"/>
  </w:num>
  <w:num w:numId="332">
    <w:abstractNumId w:val="256"/>
  </w:num>
  <w:num w:numId="333">
    <w:abstractNumId w:val="28"/>
  </w:num>
  <w:num w:numId="334">
    <w:abstractNumId w:val="452"/>
  </w:num>
  <w:num w:numId="335">
    <w:abstractNumId w:val="434"/>
  </w:num>
  <w:num w:numId="336">
    <w:abstractNumId w:val="45"/>
  </w:num>
  <w:num w:numId="337">
    <w:abstractNumId w:val="138"/>
  </w:num>
  <w:num w:numId="338">
    <w:abstractNumId w:val="369"/>
  </w:num>
  <w:num w:numId="339">
    <w:abstractNumId w:val="372"/>
  </w:num>
  <w:num w:numId="340">
    <w:abstractNumId w:val="310"/>
  </w:num>
  <w:num w:numId="341">
    <w:abstractNumId w:val="170"/>
  </w:num>
  <w:num w:numId="342">
    <w:abstractNumId w:val="407"/>
  </w:num>
  <w:num w:numId="343">
    <w:abstractNumId w:val="108"/>
  </w:num>
  <w:num w:numId="344">
    <w:abstractNumId w:val="268"/>
  </w:num>
  <w:num w:numId="345">
    <w:abstractNumId w:val="239"/>
  </w:num>
  <w:num w:numId="346">
    <w:abstractNumId w:val="122"/>
  </w:num>
  <w:num w:numId="347">
    <w:abstractNumId w:val="254"/>
  </w:num>
  <w:num w:numId="348">
    <w:abstractNumId w:val="284"/>
  </w:num>
  <w:num w:numId="349">
    <w:abstractNumId w:val="352"/>
  </w:num>
  <w:num w:numId="350">
    <w:abstractNumId w:val="313"/>
  </w:num>
  <w:num w:numId="351">
    <w:abstractNumId w:val="338"/>
  </w:num>
  <w:num w:numId="352">
    <w:abstractNumId w:val="54"/>
  </w:num>
  <w:num w:numId="353">
    <w:abstractNumId w:val="48"/>
  </w:num>
  <w:num w:numId="354">
    <w:abstractNumId w:val="454"/>
  </w:num>
  <w:num w:numId="355">
    <w:abstractNumId w:val="173"/>
  </w:num>
  <w:num w:numId="356">
    <w:abstractNumId w:val="109"/>
  </w:num>
  <w:num w:numId="357">
    <w:abstractNumId w:val="77"/>
  </w:num>
  <w:num w:numId="358">
    <w:abstractNumId w:val="202"/>
  </w:num>
  <w:num w:numId="359">
    <w:abstractNumId w:val="185"/>
  </w:num>
  <w:num w:numId="360">
    <w:abstractNumId w:val="342"/>
  </w:num>
  <w:num w:numId="361">
    <w:abstractNumId w:val="154"/>
  </w:num>
  <w:num w:numId="362">
    <w:abstractNumId w:val="395"/>
  </w:num>
  <w:num w:numId="363">
    <w:abstractNumId w:val="457"/>
  </w:num>
  <w:num w:numId="364">
    <w:abstractNumId w:val="424"/>
  </w:num>
  <w:num w:numId="365">
    <w:abstractNumId w:val="69"/>
  </w:num>
  <w:num w:numId="366">
    <w:abstractNumId w:val="142"/>
  </w:num>
  <w:num w:numId="367">
    <w:abstractNumId w:val="459"/>
  </w:num>
  <w:num w:numId="368">
    <w:abstractNumId w:val="312"/>
  </w:num>
  <w:num w:numId="369">
    <w:abstractNumId w:val="216"/>
  </w:num>
  <w:num w:numId="370">
    <w:abstractNumId w:val="259"/>
  </w:num>
  <w:num w:numId="371">
    <w:abstractNumId w:val="110"/>
  </w:num>
  <w:num w:numId="372">
    <w:abstractNumId w:val="135"/>
  </w:num>
  <w:num w:numId="373">
    <w:abstractNumId w:val="262"/>
  </w:num>
  <w:num w:numId="374">
    <w:abstractNumId w:val="274"/>
  </w:num>
  <w:num w:numId="375">
    <w:abstractNumId w:val="289"/>
  </w:num>
  <w:num w:numId="376">
    <w:abstractNumId w:val="178"/>
  </w:num>
  <w:num w:numId="377">
    <w:abstractNumId w:val="304"/>
  </w:num>
  <w:num w:numId="378">
    <w:abstractNumId w:val="409"/>
  </w:num>
  <w:num w:numId="379">
    <w:abstractNumId w:val="447"/>
  </w:num>
  <w:num w:numId="380">
    <w:abstractNumId w:val="327"/>
  </w:num>
  <w:num w:numId="381">
    <w:abstractNumId w:val="107"/>
  </w:num>
  <w:num w:numId="382">
    <w:abstractNumId w:val="273"/>
  </w:num>
  <w:num w:numId="383">
    <w:abstractNumId w:val="158"/>
  </w:num>
  <w:num w:numId="384">
    <w:abstractNumId w:val="201"/>
  </w:num>
  <w:num w:numId="385">
    <w:abstractNumId w:val="375"/>
  </w:num>
  <w:num w:numId="386">
    <w:abstractNumId w:val="288"/>
  </w:num>
  <w:num w:numId="387">
    <w:abstractNumId w:val="148"/>
  </w:num>
  <w:num w:numId="388">
    <w:abstractNumId w:val="207"/>
  </w:num>
  <w:num w:numId="389">
    <w:abstractNumId w:val="371"/>
  </w:num>
  <w:num w:numId="390">
    <w:abstractNumId w:val="95"/>
  </w:num>
  <w:num w:numId="391">
    <w:abstractNumId w:val="293"/>
  </w:num>
  <w:num w:numId="392">
    <w:abstractNumId w:val="346"/>
  </w:num>
  <w:num w:numId="393">
    <w:abstractNumId w:val="234"/>
  </w:num>
  <w:num w:numId="394">
    <w:abstractNumId w:val="0"/>
  </w:num>
  <w:num w:numId="395">
    <w:abstractNumId w:val="241"/>
  </w:num>
  <w:num w:numId="396">
    <w:abstractNumId w:val="401"/>
  </w:num>
  <w:num w:numId="397">
    <w:abstractNumId w:val="217"/>
  </w:num>
  <w:num w:numId="398">
    <w:abstractNumId w:val="176"/>
  </w:num>
  <w:num w:numId="399">
    <w:abstractNumId w:val="477"/>
  </w:num>
  <w:num w:numId="400">
    <w:abstractNumId w:val="308"/>
  </w:num>
  <w:num w:numId="401">
    <w:abstractNumId w:val="353"/>
  </w:num>
  <w:num w:numId="402">
    <w:abstractNumId w:val="329"/>
  </w:num>
  <w:num w:numId="403">
    <w:abstractNumId w:val="84"/>
  </w:num>
  <w:num w:numId="404">
    <w:abstractNumId w:val="23"/>
  </w:num>
  <w:num w:numId="405">
    <w:abstractNumId w:val="194"/>
  </w:num>
  <w:num w:numId="406">
    <w:abstractNumId w:val="376"/>
  </w:num>
  <w:num w:numId="407">
    <w:abstractNumId w:val="382"/>
  </w:num>
  <w:num w:numId="408">
    <w:abstractNumId w:val="307"/>
  </w:num>
  <w:num w:numId="409">
    <w:abstractNumId w:val="114"/>
  </w:num>
  <w:num w:numId="410">
    <w:abstractNumId w:val="32"/>
  </w:num>
  <w:num w:numId="411">
    <w:abstractNumId w:val="282"/>
  </w:num>
  <w:num w:numId="412">
    <w:abstractNumId w:val="134"/>
  </w:num>
  <w:num w:numId="413">
    <w:abstractNumId w:val="8"/>
  </w:num>
  <w:num w:numId="414">
    <w:abstractNumId w:val="385"/>
  </w:num>
  <w:num w:numId="415">
    <w:abstractNumId w:val="93"/>
  </w:num>
  <w:num w:numId="416">
    <w:abstractNumId w:val="18"/>
  </w:num>
  <w:num w:numId="417">
    <w:abstractNumId w:val="57"/>
  </w:num>
  <w:num w:numId="418">
    <w:abstractNumId w:val="187"/>
  </w:num>
  <w:num w:numId="419">
    <w:abstractNumId w:val="192"/>
  </w:num>
  <w:num w:numId="420">
    <w:abstractNumId w:val="167"/>
  </w:num>
  <w:num w:numId="421">
    <w:abstractNumId w:val="442"/>
  </w:num>
  <w:num w:numId="422">
    <w:abstractNumId w:val="347"/>
  </w:num>
  <w:num w:numId="423">
    <w:abstractNumId w:val="471"/>
  </w:num>
  <w:num w:numId="424">
    <w:abstractNumId w:val="379"/>
  </w:num>
  <w:num w:numId="425">
    <w:abstractNumId w:val="68"/>
  </w:num>
  <w:num w:numId="426">
    <w:abstractNumId w:val="445"/>
  </w:num>
  <w:num w:numId="427">
    <w:abstractNumId w:val="341"/>
  </w:num>
  <w:num w:numId="428">
    <w:abstractNumId w:val="242"/>
  </w:num>
  <w:num w:numId="429">
    <w:abstractNumId w:val="283"/>
  </w:num>
  <w:num w:numId="430">
    <w:abstractNumId w:val="188"/>
  </w:num>
  <w:num w:numId="431">
    <w:abstractNumId w:val="475"/>
  </w:num>
  <w:num w:numId="432">
    <w:abstractNumId w:val="439"/>
  </w:num>
  <w:num w:numId="433">
    <w:abstractNumId w:val="464"/>
  </w:num>
  <w:num w:numId="434">
    <w:abstractNumId w:val="26"/>
  </w:num>
  <w:num w:numId="435">
    <w:abstractNumId w:val="5"/>
  </w:num>
  <w:num w:numId="436">
    <w:abstractNumId w:val="264"/>
  </w:num>
  <w:num w:numId="437">
    <w:abstractNumId w:val="357"/>
  </w:num>
  <w:num w:numId="438">
    <w:abstractNumId w:val="358"/>
  </w:num>
  <w:num w:numId="439">
    <w:abstractNumId w:val="164"/>
  </w:num>
  <w:num w:numId="440">
    <w:abstractNumId w:val="182"/>
  </w:num>
  <w:num w:numId="441">
    <w:abstractNumId w:val="186"/>
  </w:num>
  <w:num w:numId="442">
    <w:abstractNumId w:val="332"/>
  </w:num>
  <w:num w:numId="443">
    <w:abstractNumId w:val="450"/>
  </w:num>
  <w:num w:numId="444">
    <w:abstractNumId w:val="408"/>
  </w:num>
  <w:num w:numId="445">
    <w:abstractNumId w:val="63"/>
  </w:num>
  <w:num w:numId="446">
    <w:abstractNumId w:val="337"/>
  </w:num>
  <w:num w:numId="447">
    <w:abstractNumId w:val="416"/>
  </w:num>
  <w:num w:numId="448">
    <w:abstractNumId w:val="350"/>
  </w:num>
  <w:num w:numId="449">
    <w:abstractNumId w:val="315"/>
  </w:num>
  <w:num w:numId="450">
    <w:abstractNumId w:val="466"/>
  </w:num>
  <w:num w:numId="451">
    <w:abstractNumId w:val="86"/>
  </w:num>
  <w:num w:numId="452">
    <w:abstractNumId w:val="381"/>
  </w:num>
  <w:num w:numId="453">
    <w:abstractNumId w:val="390"/>
  </w:num>
  <w:num w:numId="454">
    <w:abstractNumId w:val="406"/>
  </w:num>
  <w:num w:numId="455">
    <w:abstractNumId w:val="384"/>
  </w:num>
  <w:num w:numId="456">
    <w:abstractNumId w:val="233"/>
  </w:num>
  <w:num w:numId="457">
    <w:abstractNumId w:val="49"/>
  </w:num>
  <w:num w:numId="458">
    <w:abstractNumId w:val="404"/>
  </w:num>
  <w:num w:numId="459">
    <w:abstractNumId w:val="149"/>
  </w:num>
  <w:num w:numId="460">
    <w:abstractNumId w:val="446"/>
  </w:num>
  <w:num w:numId="461">
    <w:abstractNumId w:val="219"/>
  </w:num>
  <w:num w:numId="462">
    <w:abstractNumId w:val="230"/>
  </w:num>
  <w:num w:numId="463">
    <w:abstractNumId w:val="248"/>
  </w:num>
  <w:num w:numId="464">
    <w:abstractNumId w:val="412"/>
  </w:num>
  <w:num w:numId="465">
    <w:abstractNumId w:val="355"/>
  </w:num>
  <w:num w:numId="466">
    <w:abstractNumId w:val="236"/>
  </w:num>
  <w:num w:numId="467">
    <w:abstractNumId w:val="364"/>
  </w:num>
  <w:num w:numId="468">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8"/>
  </w:num>
  <w:num w:numId="470">
    <w:abstractNumId w:val="73"/>
  </w:num>
  <w:num w:numId="471">
    <w:abstractNumId w:val="66"/>
  </w:num>
  <w:num w:numId="472">
    <w:abstractNumId w:val="345"/>
  </w:num>
  <w:num w:numId="473">
    <w:abstractNumId w:val="443"/>
  </w:num>
  <w:num w:numId="474">
    <w:abstractNumId w:val="80"/>
  </w:num>
  <w:num w:numId="475">
    <w:abstractNumId w:val="120"/>
  </w:num>
  <w:num w:numId="476">
    <w:abstractNumId w:val="104"/>
  </w:num>
  <w:num w:numId="477">
    <w:abstractNumId w:val="243"/>
  </w:num>
  <w:num w:numId="478">
    <w:abstractNumId w:val="294"/>
  </w:num>
  <w:num w:numId="479">
    <w:abstractNumId w:val="14"/>
  </w:num>
  <w:num w:numId="480">
    <w:abstractNumId w:val="302"/>
  </w:num>
  <w:num w:numId="481">
    <w:abstractNumId w:val="99"/>
  </w:num>
  <w:num w:numId="482">
    <w:abstractNumId w:val="105"/>
  </w:num>
  <w:num w:numId="483">
    <w:abstractNumId w:val="212"/>
  </w:num>
  <w:num w:numId="484">
    <w:abstractNumId w:val="440"/>
  </w:num>
  <w:num w:numId="485">
    <w:abstractNumId w:val="10"/>
  </w:num>
  <w:num w:numId="486">
    <w:abstractNumId w:val="455"/>
  </w:num>
  <w:num w:numId="487">
    <w:abstractNumId w:val="430"/>
  </w:num>
  <w:num w:numId="488">
    <w:abstractNumId w:val="482"/>
  </w:num>
  <w:numIdMacAtCleanup w:val="4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15E4"/>
    <w:rsid w:val="0000210E"/>
    <w:rsid w:val="00002A4E"/>
    <w:rsid w:val="00003051"/>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11F"/>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3E5"/>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801"/>
    <w:rsid w:val="00033C27"/>
    <w:rsid w:val="00033E26"/>
    <w:rsid w:val="000346CB"/>
    <w:rsid w:val="000348CD"/>
    <w:rsid w:val="000352FB"/>
    <w:rsid w:val="00035965"/>
    <w:rsid w:val="00036EBC"/>
    <w:rsid w:val="00037A35"/>
    <w:rsid w:val="00037E6F"/>
    <w:rsid w:val="00037FCB"/>
    <w:rsid w:val="0004024D"/>
    <w:rsid w:val="000402D4"/>
    <w:rsid w:val="00040408"/>
    <w:rsid w:val="000404C2"/>
    <w:rsid w:val="0004062C"/>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6B1C"/>
    <w:rsid w:val="00047A3D"/>
    <w:rsid w:val="00047BCF"/>
    <w:rsid w:val="00050320"/>
    <w:rsid w:val="00050364"/>
    <w:rsid w:val="00050511"/>
    <w:rsid w:val="00050695"/>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9B0"/>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55"/>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D23"/>
    <w:rsid w:val="00074FD2"/>
    <w:rsid w:val="00075C4D"/>
    <w:rsid w:val="00075FC2"/>
    <w:rsid w:val="00076110"/>
    <w:rsid w:val="00076DDD"/>
    <w:rsid w:val="000775C7"/>
    <w:rsid w:val="00077D71"/>
    <w:rsid w:val="000803A8"/>
    <w:rsid w:val="000803AE"/>
    <w:rsid w:val="0008059C"/>
    <w:rsid w:val="00080D42"/>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0BD8"/>
    <w:rsid w:val="000B1821"/>
    <w:rsid w:val="000B1BBE"/>
    <w:rsid w:val="000B1F79"/>
    <w:rsid w:val="000B22F5"/>
    <w:rsid w:val="000B2AB1"/>
    <w:rsid w:val="000B2E9A"/>
    <w:rsid w:val="000B331B"/>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0CBB"/>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2FD"/>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0F7A9D"/>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5B9"/>
    <w:rsid w:val="001116F8"/>
    <w:rsid w:val="00111CFF"/>
    <w:rsid w:val="001125AB"/>
    <w:rsid w:val="001129A0"/>
    <w:rsid w:val="00113629"/>
    <w:rsid w:val="00113CC0"/>
    <w:rsid w:val="00113EE6"/>
    <w:rsid w:val="00114194"/>
    <w:rsid w:val="0011459E"/>
    <w:rsid w:val="0011507C"/>
    <w:rsid w:val="00115676"/>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3893"/>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20E"/>
    <w:rsid w:val="001318D9"/>
    <w:rsid w:val="00131A1B"/>
    <w:rsid w:val="00131BC5"/>
    <w:rsid w:val="00131F25"/>
    <w:rsid w:val="00131FCA"/>
    <w:rsid w:val="00132369"/>
    <w:rsid w:val="00132571"/>
    <w:rsid w:val="00132A0C"/>
    <w:rsid w:val="0013301C"/>
    <w:rsid w:val="0013347D"/>
    <w:rsid w:val="00133CB5"/>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0D3E"/>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2C39"/>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2993"/>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081"/>
    <w:rsid w:val="001915B3"/>
    <w:rsid w:val="001916FB"/>
    <w:rsid w:val="00191B39"/>
    <w:rsid w:val="00191BDE"/>
    <w:rsid w:val="001924D0"/>
    <w:rsid w:val="0019256E"/>
    <w:rsid w:val="001929E2"/>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04C7"/>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3A2"/>
    <w:rsid w:val="001B7CE2"/>
    <w:rsid w:val="001B7D0A"/>
    <w:rsid w:val="001B7DF3"/>
    <w:rsid w:val="001B7E87"/>
    <w:rsid w:val="001B7FF0"/>
    <w:rsid w:val="001C04DB"/>
    <w:rsid w:val="001C0C58"/>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3A7E"/>
    <w:rsid w:val="001E44C2"/>
    <w:rsid w:val="001E48C3"/>
    <w:rsid w:val="001E4AB5"/>
    <w:rsid w:val="001E50DE"/>
    <w:rsid w:val="001E57D5"/>
    <w:rsid w:val="001E58E9"/>
    <w:rsid w:val="001E599F"/>
    <w:rsid w:val="001E66AC"/>
    <w:rsid w:val="001E6A78"/>
    <w:rsid w:val="001E6C36"/>
    <w:rsid w:val="001E7610"/>
    <w:rsid w:val="001F01F2"/>
    <w:rsid w:val="001F020C"/>
    <w:rsid w:val="001F0425"/>
    <w:rsid w:val="001F04F0"/>
    <w:rsid w:val="001F07B6"/>
    <w:rsid w:val="001F1A3A"/>
    <w:rsid w:val="001F1F1B"/>
    <w:rsid w:val="001F2AA4"/>
    <w:rsid w:val="001F2E7F"/>
    <w:rsid w:val="001F36AE"/>
    <w:rsid w:val="001F36FA"/>
    <w:rsid w:val="001F4379"/>
    <w:rsid w:val="001F452A"/>
    <w:rsid w:val="001F465A"/>
    <w:rsid w:val="001F4670"/>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A6"/>
    <w:rsid w:val="00213EFE"/>
    <w:rsid w:val="002151BC"/>
    <w:rsid w:val="00215468"/>
    <w:rsid w:val="002154C9"/>
    <w:rsid w:val="00215A37"/>
    <w:rsid w:val="00215F68"/>
    <w:rsid w:val="002162F9"/>
    <w:rsid w:val="002168A2"/>
    <w:rsid w:val="00216B97"/>
    <w:rsid w:val="00217060"/>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0E7A"/>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989"/>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2FE7"/>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2F2"/>
    <w:rsid w:val="00257751"/>
    <w:rsid w:val="0025775D"/>
    <w:rsid w:val="0025784B"/>
    <w:rsid w:val="00260062"/>
    <w:rsid w:val="00260159"/>
    <w:rsid w:val="0026023B"/>
    <w:rsid w:val="00260FB8"/>
    <w:rsid w:val="00261946"/>
    <w:rsid w:val="00261F51"/>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06"/>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390"/>
    <w:rsid w:val="002778E3"/>
    <w:rsid w:val="00280445"/>
    <w:rsid w:val="002807A8"/>
    <w:rsid w:val="002815E2"/>
    <w:rsid w:val="00281805"/>
    <w:rsid w:val="00282630"/>
    <w:rsid w:val="0028269C"/>
    <w:rsid w:val="00282B28"/>
    <w:rsid w:val="00283846"/>
    <w:rsid w:val="002844A4"/>
    <w:rsid w:val="0028474B"/>
    <w:rsid w:val="002852E5"/>
    <w:rsid w:val="002852ED"/>
    <w:rsid w:val="00285304"/>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5E5"/>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4FCA"/>
    <w:rsid w:val="002A53E2"/>
    <w:rsid w:val="002A5680"/>
    <w:rsid w:val="002A5A0D"/>
    <w:rsid w:val="002A5A3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B7B00"/>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62D"/>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3B"/>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0E5B"/>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763"/>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791"/>
    <w:rsid w:val="00310CEC"/>
    <w:rsid w:val="00310E8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845"/>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382"/>
    <w:rsid w:val="00331B7E"/>
    <w:rsid w:val="00331D56"/>
    <w:rsid w:val="00332067"/>
    <w:rsid w:val="00332093"/>
    <w:rsid w:val="003326AA"/>
    <w:rsid w:val="00332C6E"/>
    <w:rsid w:val="00332F8B"/>
    <w:rsid w:val="0033325A"/>
    <w:rsid w:val="003336CC"/>
    <w:rsid w:val="00333C82"/>
    <w:rsid w:val="00333F56"/>
    <w:rsid w:val="0033444E"/>
    <w:rsid w:val="00334613"/>
    <w:rsid w:val="003349E1"/>
    <w:rsid w:val="00334B89"/>
    <w:rsid w:val="00334DEA"/>
    <w:rsid w:val="00334EA4"/>
    <w:rsid w:val="003350AF"/>
    <w:rsid w:val="0033517D"/>
    <w:rsid w:val="003359DF"/>
    <w:rsid w:val="003360A5"/>
    <w:rsid w:val="00336527"/>
    <w:rsid w:val="003366AE"/>
    <w:rsid w:val="0033744A"/>
    <w:rsid w:val="00337B3E"/>
    <w:rsid w:val="00337C97"/>
    <w:rsid w:val="00340014"/>
    <w:rsid w:val="003404A2"/>
    <w:rsid w:val="003430C5"/>
    <w:rsid w:val="003431B5"/>
    <w:rsid w:val="00343493"/>
    <w:rsid w:val="00343F22"/>
    <w:rsid w:val="00344BFE"/>
    <w:rsid w:val="003450EC"/>
    <w:rsid w:val="0034516A"/>
    <w:rsid w:val="00345261"/>
    <w:rsid w:val="0034528D"/>
    <w:rsid w:val="0034613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4ED"/>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528"/>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39"/>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20"/>
    <w:rsid w:val="003821CD"/>
    <w:rsid w:val="00382DF2"/>
    <w:rsid w:val="00383144"/>
    <w:rsid w:val="00383FB4"/>
    <w:rsid w:val="00384721"/>
    <w:rsid w:val="00384887"/>
    <w:rsid w:val="00384937"/>
    <w:rsid w:val="00384AF6"/>
    <w:rsid w:val="0038501E"/>
    <w:rsid w:val="003850D1"/>
    <w:rsid w:val="0038532E"/>
    <w:rsid w:val="003853F7"/>
    <w:rsid w:val="00385666"/>
    <w:rsid w:val="00385D99"/>
    <w:rsid w:val="00385DB8"/>
    <w:rsid w:val="00385E66"/>
    <w:rsid w:val="00386F29"/>
    <w:rsid w:val="0038731D"/>
    <w:rsid w:val="00387948"/>
    <w:rsid w:val="00387C53"/>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5E"/>
    <w:rsid w:val="003941AE"/>
    <w:rsid w:val="0039472B"/>
    <w:rsid w:val="003950A6"/>
    <w:rsid w:val="003954E7"/>
    <w:rsid w:val="0039579E"/>
    <w:rsid w:val="0039584E"/>
    <w:rsid w:val="00395931"/>
    <w:rsid w:val="00395E20"/>
    <w:rsid w:val="00395E2A"/>
    <w:rsid w:val="003960E2"/>
    <w:rsid w:val="0039697B"/>
    <w:rsid w:val="003972DC"/>
    <w:rsid w:val="00397392"/>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6D1"/>
    <w:rsid w:val="003B0DE4"/>
    <w:rsid w:val="003B19C3"/>
    <w:rsid w:val="003B2305"/>
    <w:rsid w:val="003B236D"/>
    <w:rsid w:val="003B23B1"/>
    <w:rsid w:val="003B28A6"/>
    <w:rsid w:val="003B297C"/>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B49"/>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3D7A"/>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6719"/>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4B3"/>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3F5C"/>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244"/>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8D9"/>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6AF7"/>
    <w:rsid w:val="004C72E8"/>
    <w:rsid w:val="004C7526"/>
    <w:rsid w:val="004C7627"/>
    <w:rsid w:val="004C7AF4"/>
    <w:rsid w:val="004C7DE0"/>
    <w:rsid w:val="004C7F0E"/>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0BBC"/>
    <w:rsid w:val="004F106B"/>
    <w:rsid w:val="004F1DEF"/>
    <w:rsid w:val="004F1E30"/>
    <w:rsid w:val="004F1F2B"/>
    <w:rsid w:val="004F1F69"/>
    <w:rsid w:val="004F1FEF"/>
    <w:rsid w:val="004F22BB"/>
    <w:rsid w:val="004F26A9"/>
    <w:rsid w:val="004F2B16"/>
    <w:rsid w:val="004F31A4"/>
    <w:rsid w:val="004F32D8"/>
    <w:rsid w:val="004F3B38"/>
    <w:rsid w:val="004F4210"/>
    <w:rsid w:val="004F445E"/>
    <w:rsid w:val="004F4530"/>
    <w:rsid w:val="004F4D09"/>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642"/>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6C3B"/>
    <w:rsid w:val="00547520"/>
    <w:rsid w:val="00547CB9"/>
    <w:rsid w:val="00547F2D"/>
    <w:rsid w:val="00547F78"/>
    <w:rsid w:val="005509CF"/>
    <w:rsid w:val="00550A87"/>
    <w:rsid w:val="005513D0"/>
    <w:rsid w:val="00551487"/>
    <w:rsid w:val="00551866"/>
    <w:rsid w:val="00551AE1"/>
    <w:rsid w:val="00552047"/>
    <w:rsid w:val="0055423B"/>
    <w:rsid w:val="00555342"/>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ABE"/>
    <w:rsid w:val="00572CF5"/>
    <w:rsid w:val="00573290"/>
    <w:rsid w:val="005734D5"/>
    <w:rsid w:val="00573584"/>
    <w:rsid w:val="005739B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2CD3"/>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2D5F"/>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97C8D"/>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D4D"/>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3F3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88A"/>
    <w:rsid w:val="005F6927"/>
    <w:rsid w:val="005F6A22"/>
    <w:rsid w:val="005F7934"/>
    <w:rsid w:val="005F7EB7"/>
    <w:rsid w:val="00601972"/>
    <w:rsid w:val="00601CF1"/>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3CF4"/>
    <w:rsid w:val="00624238"/>
    <w:rsid w:val="006244F2"/>
    <w:rsid w:val="00624726"/>
    <w:rsid w:val="00625247"/>
    <w:rsid w:val="00625399"/>
    <w:rsid w:val="00625796"/>
    <w:rsid w:val="00625804"/>
    <w:rsid w:val="00625EC7"/>
    <w:rsid w:val="00626AA4"/>
    <w:rsid w:val="0062716E"/>
    <w:rsid w:val="006273BA"/>
    <w:rsid w:val="006273E0"/>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523"/>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474D3"/>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5DEC"/>
    <w:rsid w:val="00656A86"/>
    <w:rsid w:val="00656BA9"/>
    <w:rsid w:val="00657043"/>
    <w:rsid w:val="006574CC"/>
    <w:rsid w:val="00657DF9"/>
    <w:rsid w:val="00660298"/>
    <w:rsid w:val="006603E5"/>
    <w:rsid w:val="006608CD"/>
    <w:rsid w:val="00661469"/>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8B3"/>
    <w:rsid w:val="006719CA"/>
    <w:rsid w:val="00671BA5"/>
    <w:rsid w:val="00672038"/>
    <w:rsid w:val="0067258E"/>
    <w:rsid w:val="0067280B"/>
    <w:rsid w:val="00672D3D"/>
    <w:rsid w:val="0067341C"/>
    <w:rsid w:val="006737EC"/>
    <w:rsid w:val="00674676"/>
    <w:rsid w:val="00674FFD"/>
    <w:rsid w:val="006750D0"/>
    <w:rsid w:val="006752CF"/>
    <w:rsid w:val="006755D8"/>
    <w:rsid w:val="006756C4"/>
    <w:rsid w:val="00675D96"/>
    <w:rsid w:val="00675F31"/>
    <w:rsid w:val="006768C8"/>
    <w:rsid w:val="00677066"/>
    <w:rsid w:val="0067741F"/>
    <w:rsid w:val="00677838"/>
    <w:rsid w:val="0067797B"/>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164"/>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911"/>
    <w:rsid w:val="006A6A70"/>
    <w:rsid w:val="006A72B6"/>
    <w:rsid w:val="006A7314"/>
    <w:rsid w:val="006A7C0E"/>
    <w:rsid w:val="006A7EA4"/>
    <w:rsid w:val="006A7FD1"/>
    <w:rsid w:val="006B00E9"/>
    <w:rsid w:val="006B020C"/>
    <w:rsid w:val="006B05EF"/>
    <w:rsid w:val="006B151E"/>
    <w:rsid w:val="006B1812"/>
    <w:rsid w:val="006B1C08"/>
    <w:rsid w:val="006B3BC5"/>
    <w:rsid w:val="006B3DA4"/>
    <w:rsid w:val="006B3E42"/>
    <w:rsid w:val="006B405F"/>
    <w:rsid w:val="006B4E4E"/>
    <w:rsid w:val="006B4F22"/>
    <w:rsid w:val="006B4FB9"/>
    <w:rsid w:val="006B5234"/>
    <w:rsid w:val="006B5355"/>
    <w:rsid w:val="006B5583"/>
    <w:rsid w:val="006B59FE"/>
    <w:rsid w:val="006B5FB9"/>
    <w:rsid w:val="006B65BF"/>
    <w:rsid w:val="006B69FC"/>
    <w:rsid w:val="006B6EBE"/>
    <w:rsid w:val="006B75BD"/>
    <w:rsid w:val="006B7A1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66"/>
    <w:rsid w:val="006C61B5"/>
    <w:rsid w:val="006C674F"/>
    <w:rsid w:val="006C6D78"/>
    <w:rsid w:val="006C6F30"/>
    <w:rsid w:val="006C79EE"/>
    <w:rsid w:val="006C7C8F"/>
    <w:rsid w:val="006D050D"/>
    <w:rsid w:val="006D076D"/>
    <w:rsid w:val="006D0973"/>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E6BD1"/>
    <w:rsid w:val="006F0558"/>
    <w:rsid w:val="006F0E43"/>
    <w:rsid w:val="006F1F2A"/>
    <w:rsid w:val="006F2126"/>
    <w:rsid w:val="006F36AB"/>
    <w:rsid w:val="006F399C"/>
    <w:rsid w:val="006F3AED"/>
    <w:rsid w:val="006F3E20"/>
    <w:rsid w:val="006F5677"/>
    <w:rsid w:val="006F59E9"/>
    <w:rsid w:val="006F5B8E"/>
    <w:rsid w:val="006F5B90"/>
    <w:rsid w:val="006F5F7D"/>
    <w:rsid w:val="006F661E"/>
    <w:rsid w:val="006F6804"/>
    <w:rsid w:val="006F6943"/>
    <w:rsid w:val="006F699C"/>
    <w:rsid w:val="006F6B9E"/>
    <w:rsid w:val="006F6F13"/>
    <w:rsid w:val="006F7347"/>
    <w:rsid w:val="00700167"/>
    <w:rsid w:val="0070017A"/>
    <w:rsid w:val="0070053E"/>
    <w:rsid w:val="00700951"/>
    <w:rsid w:val="00700BBB"/>
    <w:rsid w:val="0070186E"/>
    <w:rsid w:val="007021A3"/>
    <w:rsid w:val="0070254E"/>
    <w:rsid w:val="007027E4"/>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DB"/>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A37"/>
    <w:rsid w:val="00736FA4"/>
    <w:rsid w:val="007370F0"/>
    <w:rsid w:val="00737736"/>
    <w:rsid w:val="00737DD4"/>
    <w:rsid w:val="0074010B"/>
    <w:rsid w:val="00740592"/>
    <w:rsid w:val="00740BC2"/>
    <w:rsid w:val="00741121"/>
    <w:rsid w:val="007414F7"/>
    <w:rsid w:val="00741589"/>
    <w:rsid w:val="00742129"/>
    <w:rsid w:val="00742ABD"/>
    <w:rsid w:val="007432E5"/>
    <w:rsid w:val="00743474"/>
    <w:rsid w:val="0074369F"/>
    <w:rsid w:val="00743812"/>
    <w:rsid w:val="0074385D"/>
    <w:rsid w:val="0074387E"/>
    <w:rsid w:val="00743A5C"/>
    <w:rsid w:val="00744235"/>
    <w:rsid w:val="007456E3"/>
    <w:rsid w:val="00745722"/>
    <w:rsid w:val="00745C1E"/>
    <w:rsid w:val="00746B15"/>
    <w:rsid w:val="00746D3C"/>
    <w:rsid w:val="00746EF5"/>
    <w:rsid w:val="00747169"/>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A56"/>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0FA0"/>
    <w:rsid w:val="007A100E"/>
    <w:rsid w:val="007A12D8"/>
    <w:rsid w:val="007A177A"/>
    <w:rsid w:val="007A18D6"/>
    <w:rsid w:val="007A199D"/>
    <w:rsid w:val="007A2298"/>
    <w:rsid w:val="007A23E0"/>
    <w:rsid w:val="007A2704"/>
    <w:rsid w:val="007A2706"/>
    <w:rsid w:val="007A2EEB"/>
    <w:rsid w:val="007A304A"/>
    <w:rsid w:val="007A30CD"/>
    <w:rsid w:val="007A31B0"/>
    <w:rsid w:val="007A341A"/>
    <w:rsid w:val="007A3581"/>
    <w:rsid w:val="007A41F0"/>
    <w:rsid w:val="007A46B6"/>
    <w:rsid w:val="007A4D0A"/>
    <w:rsid w:val="007A5EE2"/>
    <w:rsid w:val="007A5EE4"/>
    <w:rsid w:val="007A66EF"/>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152"/>
    <w:rsid w:val="007D17F0"/>
    <w:rsid w:val="007D1AFF"/>
    <w:rsid w:val="007D1D0F"/>
    <w:rsid w:val="007D20B9"/>
    <w:rsid w:val="007D233A"/>
    <w:rsid w:val="007D254B"/>
    <w:rsid w:val="007D2E9A"/>
    <w:rsid w:val="007D3F15"/>
    <w:rsid w:val="007D441E"/>
    <w:rsid w:val="007D4B86"/>
    <w:rsid w:val="007D4F0B"/>
    <w:rsid w:val="007D5C3D"/>
    <w:rsid w:val="007E1346"/>
    <w:rsid w:val="007E16B6"/>
    <w:rsid w:val="007E1CFA"/>
    <w:rsid w:val="007E281E"/>
    <w:rsid w:val="007E28C5"/>
    <w:rsid w:val="007E2C5E"/>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444"/>
    <w:rsid w:val="007F04DE"/>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0A"/>
    <w:rsid w:val="00801F4A"/>
    <w:rsid w:val="00801FE7"/>
    <w:rsid w:val="00802D4D"/>
    <w:rsid w:val="00802D58"/>
    <w:rsid w:val="0080351E"/>
    <w:rsid w:val="00804096"/>
    <w:rsid w:val="008047BF"/>
    <w:rsid w:val="008049D4"/>
    <w:rsid w:val="00805151"/>
    <w:rsid w:val="008056BA"/>
    <w:rsid w:val="00806DFB"/>
    <w:rsid w:val="00807869"/>
    <w:rsid w:val="0080795D"/>
    <w:rsid w:val="00807EA7"/>
    <w:rsid w:val="008102D9"/>
    <w:rsid w:val="008106B1"/>
    <w:rsid w:val="00810B38"/>
    <w:rsid w:val="0081125F"/>
    <w:rsid w:val="0081185F"/>
    <w:rsid w:val="00811AFA"/>
    <w:rsid w:val="008121DC"/>
    <w:rsid w:val="0081239D"/>
    <w:rsid w:val="00812705"/>
    <w:rsid w:val="00812DC6"/>
    <w:rsid w:val="00813396"/>
    <w:rsid w:val="008136AF"/>
    <w:rsid w:val="00813790"/>
    <w:rsid w:val="00813829"/>
    <w:rsid w:val="00813ADD"/>
    <w:rsid w:val="00813E54"/>
    <w:rsid w:val="0081424D"/>
    <w:rsid w:val="008145FB"/>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0CD"/>
    <w:rsid w:val="00837438"/>
    <w:rsid w:val="00837829"/>
    <w:rsid w:val="00837D88"/>
    <w:rsid w:val="00837D99"/>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1B5"/>
    <w:rsid w:val="008536DB"/>
    <w:rsid w:val="00853734"/>
    <w:rsid w:val="008538BF"/>
    <w:rsid w:val="00854012"/>
    <w:rsid w:val="00854309"/>
    <w:rsid w:val="00854901"/>
    <w:rsid w:val="008557DE"/>
    <w:rsid w:val="008559C0"/>
    <w:rsid w:val="00855A77"/>
    <w:rsid w:val="008562B9"/>
    <w:rsid w:val="00856533"/>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035"/>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900E6"/>
    <w:rsid w:val="00890651"/>
    <w:rsid w:val="00890E45"/>
    <w:rsid w:val="00890E78"/>
    <w:rsid w:val="00891CF9"/>
    <w:rsid w:val="00892323"/>
    <w:rsid w:val="00892356"/>
    <w:rsid w:val="00892E13"/>
    <w:rsid w:val="00893DAA"/>
    <w:rsid w:val="008946FA"/>
    <w:rsid w:val="00894771"/>
    <w:rsid w:val="00895287"/>
    <w:rsid w:val="00895439"/>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7A6"/>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D5F"/>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67C4"/>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575C"/>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149"/>
    <w:rsid w:val="008F556C"/>
    <w:rsid w:val="008F56FE"/>
    <w:rsid w:val="008F5884"/>
    <w:rsid w:val="008F6252"/>
    <w:rsid w:val="008F6F41"/>
    <w:rsid w:val="008F6FEB"/>
    <w:rsid w:val="008F7111"/>
    <w:rsid w:val="008F7319"/>
    <w:rsid w:val="008F781B"/>
    <w:rsid w:val="008F782D"/>
    <w:rsid w:val="008F792E"/>
    <w:rsid w:val="008F7C02"/>
    <w:rsid w:val="009000D3"/>
    <w:rsid w:val="009007D3"/>
    <w:rsid w:val="00900A1F"/>
    <w:rsid w:val="00901428"/>
    <w:rsid w:val="009014F9"/>
    <w:rsid w:val="00902B93"/>
    <w:rsid w:val="00902EBD"/>
    <w:rsid w:val="0090325A"/>
    <w:rsid w:val="009037ED"/>
    <w:rsid w:val="00903BDC"/>
    <w:rsid w:val="00903DEB"/>
    <w:rsid w:val="00903EEC"/>
    <w:rsid w:val="009041AD"/>
    <w:rsid w:val="009047E9"/>
    <w:rsid w:val="009049D2"/>
    <w:rsid w:val="009059C5"/>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64F"/>
    <w:rsid w:val="00930C63"/>
    <w:rsid w:val="00930F0A"/>
    <w:rsid w:val="0093111D"/>
    <w:rsid w:val="0093128C"/>
    <w:rsid w:val="009312D9"/>
    <w:rsid w:val="00931527"/>
    <w:rsid w:val="00931AC3"/>
    <w:rsid w:val="00931EF4"/>
    <w:rsid w:val="0093257A"/>
    <w:rsid w:val="0093272E"/>
    <w:rsid w:val="00932D9D"/>
    <w:rsid w:val="00933694"/>
    <w:rsid w:val="00933BB2"/>
    <w:rsid w:val="00933C81"/>
    <w:rsid w:val="00934006"/>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2D1"/>
    <w:rsid w:val="0095043B"/>
    <w:rsid w:val="009509C8"/>
    <w:rsid w:val="00950A1D"/>
    <w:rsid w:val="00951315"/>
    <w:rsid w:val="009513CB"/>
    <w:rsid w:val="00951A51"/>
    <w:rsid w:val="00951BEC"/>
    <w:rsid w:val="00952906"/>
    <w:rsid w:val="00952A72"/>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2B5"/>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B05"/>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7D"/>
    <w:rsid w:val="009875D2"/>
    <w:rsid w:val="00987AEA"/>
    <w:rsid w:val="009900FD"/>
    <w:rsid w:val="009904A1"/>
    <w:rsid w:val="00990A26"/>
    <w:rsid w:val="009911F4"/>
    <w:rsid w:val="00991EB5"/>
    <w:rsid w:val="0099221D"/>
    <w:rsid w:val="00992A8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ABF"/>
    <w:rsid w:val="009B0B07"/>
    <w:rsid w:val="009B1230"/>
    <w:rsid w:val="009B13F0"/>
    <w:rsid w:val="009B18BB"/>
    <w:rsid w:val="009B19FA"/>
    <w:rsid w:val="009B217E"/>
    <w:rsid w:val="009B2CE0"/>
    <w:rsid w:val="009B359A"/>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3C9B"/>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96A"/>
    <w:rsid w:val="009E1ADF"/>
    <w:rsid w:val="009E1DA5"/>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CB1"/>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1AB"/>
    <w:rsid w:val="00A059C6"/>
    <w:rsid w:val="00A05DE9"/>
    <w:rsid w:val="00A06259"/>
    <w:rsid w:val="00A068BE"/>
    <w:rsid w:val="00A079D4"/>
    <w:rsid w:val="00A10164"/>
    <w:rsid w:val="00A1114E"/>
    <w:rsid w:val="00A11185"/>
    <w:rsid w:val="00A117AC"/>
    <w:rsid w:val="00A11803"/>
    <w:rsid w:val="00A11D4C"/>
    <w:rsid w:val="00A12381"/>
    <w:rsid w:val="00A12A18"/>
    <w:rsid w:val="00A12BDE"/>
    <w:rsid w:val="00A133E1"/>
    <w:rsid w:val="00A13A60"/>
    <w:rsid w:val="00A1401A"/>
    <w:rsid w:val="00A142F8"/>
    <w:rsid w:val="00A150B5"/>
    <w:rsid w:val="00A152E7"/>
    <w:rsid w:val="00A15BD4"/>
    <w:rsid w:val="00A15D4B"/>
    <w:rsid w:val="00A15EAC"/>
    <w:rsid w:val="00A1611E"/>
    <w:rsid w:val="00A16407"/>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5301"/>
    <w:rsid w:val="00A25FC9"/>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59B"/>
    <w:rsid w:val="00A44AB4"/>
    <w:rsid w:val="00A4543B"/>
    <w:rsid w:val="00A454AD"/>
    <w:rsid w:val="00A4553E"/>
    <w:rsid w:val="00A459CF"/>
    <w:rsid w:val="00A461CB"/>
    <w:rsid w:val="00A4635E"/>
    <w:rsid w:val="00A46483"/>
    <w:rsid w:val="00A4680D"/>
    <w:rsid w:val="00A46B9D"/>
    <w:rsid w:val="00A46BB2"/>
    <w:rsid w:val="00A46F80"/>
    <w:rsid w:val="00A47143"/>
    <w:rsid w:val="00A47834"/>
    <w:rsid w:val="00A479A0"/>
    <w:rsid w:val="00A47CAD"/>
    <w:rsid w:val="00A47E29"/>
    <w:rsid w:val="00A50940"/>
    <w:rsid w:val="00A50986"/>
    <w:rsid w:val="00A5127B"/>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CEE"/>
    <w:rsid w:val="00A56E53"/>
    <w:rsid w:val="00A56F39"/>
    <w:rsid w:val="00A572AB"/>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4970"/>
    <w:rsid w:val="00A74AF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25F4"/>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034"/>
    <w:rsid w:val="00A8719A"/>
    <w:rsid w:val="00A8793F"/>
    <w:rsid w:val="00A87C19"/>
    <w:rsid w:val="00A91281"/>
    <w:rsid w:val="00A912B4"/>
    <w:rsid w:val="00A91347"/>
    <w:rsid w:val="00A91A6A"/>
    <w:rsid w:val="00A91E6D"/>
    <w:rsid w:val="00A92293"/>
    <w:rsid w:val="00A92C2D"/>
    <w:rsid w:val="00A92F64"/>
    <w:rsid w:val="00A92FC2"/>
    <w:rsid w:val="00A93831"/>
    <w:rsid w:val="00A93ABC"/>
    <w:rsid w:val="00A9404A"/>
    <w:rsid w:val="00A940E7"/>
    <w:rsid w:val="00A948C3"/>
    <w:rsid w:val="00A94ADD"/>
    <w:rsid w:val="00A94C5D"/>
    <w:rsid w:val="00A950C7"/>
    <w:rsid w:val="00A95789"/>
    <w:rsid w:val="00A959C0"/>
    <w:rsid w:val="00A95A5F"/>
    <w:rsid w:val="00A95CFA"/>
    <w:rsid w:val="00A95ED7"/>
    <w:rsid w:val="00A96026"/>
    <w:rsid w:val="00A96286"/>
    <w:rsid w:val="00A96472"/>
    <w:rsid w:val="00A966D7"/>
    <w:rsid w:val="00A96D6C"/>
    <w:rsid w:val="00A97475"/>
    <w:rsid w:val="00A974D4"/>
    <w:rsid w:val="00A9752A"/>
    <w:rsid w:val="00A9752E"/>
    <w:rsid w:val="00A97941"/>
    <w:rsid w:val="00A97E6B"/>
    <w:rsid w:val="00A97E8A"/>
    <w:rsid w:val="00AA0AB3"/>
    <w:rsid w:val="00AA0BD6"/>
    <w:rsid w:val="00AA1770"/>
    <w:rsid w:val="00AA1FDD"/>
    <w:rsid w:val="00AA275B"/>
    <w:rsid w:val="00AA2A3A"/>
    <w:rsid w:val="00AA2D10"/>
    <w:rsid w:val="00AA314F"/>
    <w:rsid w:val="00AA37A8"/>
    <w:rsid w:val="00AA3A66"/>
    <w:rsid w:val="00AA41D6"/>
    <w:rsid w:val="00AA49A6"/>
    <w:rsid w:val="00AA4DA0"/>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94A"/>
    <w:rsid w:val="00AD0FB7"/>
    <w:rsid w:val="00AD1128"/>
    <w:rsid w:val="00AD12D4"/>
    <w:rsid w:val="00AD17B6"/>
    <w:rsid w:val="00AD18B2"/>
    <w:rsid w:val="00AD18D9"/>
    <w:rsid w:val="00AD24FF"/>
    <w:rsid w:val="00AD2594"/>
    <w:rsid w:val="00AD2889"/>
    <w:rsid w:val="00AD2A14"/>
    <w:rsid w:val="00AD2AC9"/>
    <w:rsid w:val="00AD2EB3"/>
    <w:rsid w:val="00AD31B7"/>
    <w:rsid w:val="00AD3CB3"/>
    <w:rsid w:val="00AD3FBD"/>
    <w:rsid w:val="00AD4520"/>
    <w:rsid w:val="00AD4CF0"/>
    <w:rsid w:val="00AD4E44"/>
    <w:rsid w:val="00AD65AA"/>
    <w:rsid w:val="00AD6670"/>
    <w:rsid w:val="00AD6A34"/>
    <w:rsid w:val="00AD7007"/>
    <w:rsid w:val="00AE0511"/>
    <w:rsid w:val="00AE06C8"/>
    <w:rsid w:val="00AE0861"/>
    <w:rsid w:val="00AE0DB3"/>
    <w:rsid w:val="00AE243B"/>
    <w:rsid w:val="00AE262B"/>
    <w:rsid w:val="00AE33F6"/>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022B"/>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0F"/>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751"/>
    <w:rsid w:val="00B06A1F"/>
    <w:rsid w:val="00B071AE"/>
    <w:rsid w:val="00B072C6"/>
    <w:rsid w:val="00B0769D"/>
    <w:rsid w:val="00B079B6"/>
    <w:rsid w:val="00B07CDC"/>
    <w:rsid w:val="00B10409"/>
    <w:rsid w:val="00B10594"/>
    <w:rsid w:val="00B10ECD"/>
    <w:rsid w:val="00B10F75"/>
    <w:rsid w:val="00B112F7"/>
    <w:rsid w:val="00B115A0"/>
    <w:rsid w:val="00B12A1B"/>
    <w:rsid w:val="00B12B79"/>
    <w:rsid w:val="00B138C5"/>
    <w:rsid w:val="00B146F2"/>
    <w:rsid w:val="00B14924"/>
    <w:rsid w:val="00B14C57"/>
    <w:rsid w:val="00B151F8"/>
    <w:rsid w:val="00B15393"/>
    <w:rsid w:val="00B155E2"/>
    <w:rsid w:val="00B164FD"/>
    <w:rsid w:val="00B1657B"/>
    <w:rsid w:val="00B17F13"/>
    <w:rsid w:val="00B17FA8"/>
    <w:rsid w:val="00B206F1"/>
    <w:rsid w:val="00B212CA"/>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6B5"/>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3D"/>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278"/>
    <w:rsid w:val="00B4134F"/>
    <w:rsid w:val="00B41772"/>
    <w:rsid w:val="00B4352B"/>
    <w:rsid w:val="00B436CA"/>
    <w:rsid w:val="00B447D5"/>
    <w:rsid w:val="00B45567"/>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2D69"/>
    <w:rsid w:val="00B53298"/>
    <w:rsid w:val="00B53382"/>
    <w:rsid w:val="00B5399F"/>
    <w:rsid w:val="00B53CC0"/>
    <w:rsid w:val="00B53E1E"/>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1323"/>
    <w:rsid w:val="00B6214C"/>
    <w:rsid w:val="00B62177"/>
    <w:rsid w:val="00B627D9"/>
    <w:rsid w:val="00B62A61"/>
    <w:rsid w:val="00B62D36"/>
    <w:rsid w:val="00B63F8D"/>
    <w:rsid w:val="00B6403A"/>
    <w:rsid w:val="00B64AAE"/>
    <w:rsid w:val="00B64D07"/>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479D"/>
    <w:rsid w:val="00B754E6"/>
    <w:rsid w:val="00B75A54"/>
    <w:rsid w:val="00B760F4"/>
    <w:rsid w:val="00B7685E"/>
    <w:rsid w:val="00B768C2"/>
    <w:rsid w:val="00B774CC"/>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2BF"/>
    <w:rsid w:val="00B97310"/>
    <w:rsid w:val="00B9731A"/>
    <w:rsid w:val="00B97664"/>
    <w:rsid w:val="00B97800"/>
    <w:rsid w:val="00B97A32"/>
    <w:rsid w:val="00BA0542"/>
    <w:rsid w:val="00BA0673"/>
    <w:rsid w:val="00BA0950"/>
    <w:rsid w:val="00BA0BA0"/>
    <w:rsid w:val="00BA1C50"/>
    <w:rsid w:val="00BA1CB4"/>
    <w:rsid w:val="00BA1E53"/>
    <w:rsid w:val="00BA214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36C"/>
    <w:rsid w:val="00BC173F"/>
    <w:rsid w:val="00BC182F"/>
    <w:rsid w:val="00BC1B64"/>
    <w:rsid w:val="00BC1DC1"/>
    <w:rsid w:val="00BC1EE7"/>
    <w:rsid w:val="00BC2E5C"/>
    <w:rsid w:val="00BC38AA"/>
    <w:rsid w:val="00BC3A9B"/>
    <w:rsid w:val="00BC4354"/>
    <w:rsid w:val="00BC43FB"/>
    <w:rsid w:val="00BC4506"/>
    <w:rsid w:val="00BC464B"/>
    <w:rsid w:val="00BC4939"/>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601"/>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BBF"/>
    <w:rsid w:val="00BF6ED7"/>
    <w:rsid w:val="00BF7FD5"/>
    <w:rsid w:val="00C00239"/>
    <w:rsid w:val="00C002E1"/>
    <w:rsid w:val="00C00572"/>
    <w:rsid w:val="00C00668"/>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56D"/>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3FB"/>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CDB"/>
    <w:rsid w:val="00C23DCF"/>
    <w:rsid w:val="00C23FE1"/>
    <w:rsid w:val="00C24E11"/>
    <w:rsid w:val="00C2538D"/>
    <w:rsid w:val="00C2562B"/>
    <w:rsid w:val="00C25709"/>
    <w:rsid w:val="00C26A6B"/>
    <w:rsid w:val="00C270D6"/>
    <w:rsid w:val="00C27265"/>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301"/>
    <w:rsid w:val="00C40B1E"/>
    <w:rsid w:val="00C40BB8"/>
    <w:rsid w:val="00C4109E"/>
    <w:rsid w:val="00C41181"/>
    <w:rsid w:val="00C411C9"/>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06F"/>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D4D"/>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0908"/>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397"/>
    <w:rsid w:val="00C806AF"/>
    <w:rsid w:val="00C80A95"/>
    <w:rsid w:val="00C80C5C"/>
    <w:rsid w:val="00C81EC4"/>
    <w:rsid w:val="00C81FC3"/>
    <w:rsid w:val="00C82BAC"/>
    <w:rsid w:val="00C82DB5"/>
    <w:rsid w:val="00C83047"/>
    <w:rsid w:val="00C83AA3"/>
    <w:rsid w:val="00C84085"/>
    <w:rsid w:val="00C844BE"/>
    <w:rsid w:val="00C849C8"/>
    <w:rsid w:val="00C85032"/>
    <w:rsid w:val="00C856EC"/>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4AD2"/>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85D"/>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1820"/>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914"/>
    <w:rsid w:val="00CE0B5D"/>
    <w:rsid w:val="00CE0C5D"/>
    <w:rsid w:val="00CE0F81"/>
    <w:rsid w:val="00CE0FA9"/>
    <w:rsid w:val="00CE125F"/>
    <w:rsid w:val="00CE23E1"/>
    <w:rsid w:val="00CE24A6"/>
    <w:rsid w:val="00CE2C6F"/>
    <w:rsid w:val="00CE346A"/>
    <w:rsid w:val="00CE3692"/>
    <w:rsid w:val="00CE40FA"/>
    <w:rsid w:val="00CE42E5"/>
    <w:rsid w:val="00CE4D6E"/>
    <w:rsid w:val="00CE5007"/>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7CD"/>
    <w:rsid w:val="00CE7D0E"/>
    <w:rsid w:val="00CE7FD1"/>
    <w:rsid w:val="00CF0569"/>
    <w:rsid w:val="00CF0638"/>
    <w:rsid w:val="00CF07C9"/>
    <w:rsid w:val="00CF1196"/>
    <w:rsid w:val="00CF13BA"/>
    <w:rsid w:val="00CF151A"/>
    <w:rsid w:val="00CF1E24"/>
    <w:rsid w:val="00CF236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0CEA"/>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106E"/>
    <w:rsid w:val="00D32962"/>
    <w:rsid w:val="00D32C48"/>
    <w:rsid w:val="00D3329F"/>
    <w:rsid w:val="00D33D56"/>
    <w:rsid w:val="00D33FF5"/>
    <w:rsid w:val="00D34CFC"/>
    <w:rsid w:val="00D35390"/>
    <w:rsid w:val="00D35503"/>
    <w:rsid w:val="00D35605"/>
    <w:rsid w:val="00D35E25"/>
    <w:rsid w:val="00D3600E"/>
    <w:rsid w:val="00D3675C"/>
    <w:rsid w:val="00D37255"/>
    <w:rsid w:val="00D37618"/>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1554"/>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0F2"/>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0CAF"/>
    <w:rsid w:val="00D811C2"/>
    <w:rsid w:val="00D8163B"/>
    <w:rsid w:val="00D81A8C"/>
    <w:rsid w:val="00D82390"/>
    <w:rsid w:val="00D825D5"/>
    <w:rsid w:val="00D84389"/>
    <w:rsid w:val="00D84CB7"/>
    <w:rsid w:val="00D8521B"/>
    <w:rsid w:val="00D85377"/>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853"/>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938"/>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0C5"/>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16E"/>
    <w:rsid w:val="00DC46CA"/>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4C4"/>
    <w:rsid w:val="00DD17E4"/>
    <w:rsid w:val="00DD1DEF"/>
    <w:rsid w:val="00DD1E9A"/>
    <w:rsid w:val="00DD2159"/>
    <w:rsid w:val="00DD2906"/>
    <w:rsid w:val="00DD2A70"/>
    <w:rsid w:val="00DD3346"/>
    <w:rsid w:val="00DD426A"/>
    <w:rsid w:val="00DD495B"/>
    <w:rsid w:val="00DD4CE3"/>
    <w:rsid w:val="00DD5EC5"/>
    <w:rsid w:val="00DD6A88"/>
    <w:rsid w:val="00DD6B07"/>
    <w:rsid w:val="00DD73FD"/>
    <w:rsid w:val="00DD7555"/>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61A"/>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4A4E"/>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4D49"/>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BD3"/>
    <w:rsid w:val="00E22D5E"/>
    <w:rsid w:val="00E22E2D"/>
    <w:rsid w:val="00E23286"/>
    <w:rsid w:val="00E23FC6"/>
    <w:rsid w:val="00E2417F"/>
    <w:rsid w:val="00E243A4"/>
    <w:rsid w:val="00E246F9"/>
    <w:rsid w:val="00E2494A"/>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C93"/>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6D"/>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1F9"/>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29A"/>
    <w:rsid w:val="00E86791"/>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AB4"/>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2C28"/>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5E0"/>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564"/>
    <w:rsid w:val="00EC3DA9"/>
    <w:rsid w:val="00EC4079"/>
    <w:rsid w:val="00EC42A7"/>
    <w:rsid w:val="00EC4C81"/>
    <w:rsid w:val="00EC55E3"/>
    <w:rsid w:val="00EC58DA"/>
    <w:rsid w:val="00EC5E00"/>
    <w:rsid w:val="00EC5EEB"/>
    <w:rsid w:val="00EC5F4C"/>
    <w:rsid w:val="00EC616E"/>
    <w:rsid w:val="00EC694C"/>
    <w:rsid w:val="00EC71B5"/>
    <w:rsid w:val="00EC79BC"/>
    <w:rsid w:val="00EC7C59"/>
    <w:rsid w:val="00ED0634"/>
    <w:rsid w:val="00ED0869"/>
    <w:rsid w:val="00ED0A60"/>
    <w:rsid w:val="00ED0A99"/>
    <w:rsid w:val="00ED0D11"/>
    <w:rsid w:val="00ED102C"/>
    <w:rsid w:val="00ED12EE"/>
    <w:rsid w:val="00ED1415"/>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B36"/>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0C7F"/>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5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627"/>
    <w:rsid w:val="00F07A35"/>
    <w:rsid w:val="00F10948"/>
    <w:rsid w:val="00F11C8F"/>
    <w:rsid w:val="00F122FA"/>
    <w:rsid w:val="00F12B9B"/>
    <w:rsid w:val="00F12FD7"/>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1DF"/>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0C3"/>
    <w:rsid w:val="00F272EC"/>
    <w:rsid w:val="00F2756B"/>
    <w:rsid w:val="00F278A4"/>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0DF0"/>
    <w:rsid w:val="00F42C20"/>
    <w:rsid w:val="00F432B7"/>
    <w:rsid w:val="00F43486"/>
    <w:rsid w:val="00F43813"/>
    <w:rsid w:val="00F439D6"/>
    <w:rsid w:val="00F43D09"/>
    <w:rsid w:val="00F445F1"/>
    <w:rsid w:val="00F4474A"/>
    <w:rsid w:val="00F447A1"/>
    <w:rsid w:val="00F44AF8"/>
    <w:rsid w:val="00F44BC1"/>
    <w:rsid w:val="00F45172"/>
    <w:rsid w:val="00F45FF1"/>
    <w:rsid w:val="00F466FF"/>
    <w:rsid w:val="00F46C25"/>
    <w:rsid w:val="00F47061"/>
    <w:rsid w:val="00F47D5F"/>
    <w:rsid w:val="00F47F69"/>
    <w:rsid w:val="00F500A0"/>
    <w:rsid w:val="00F50DF4"/>
    <w:rsid w:val="00F5171D"/>
    <w:rsid w:val="00F51EC7"/>
    <w:rsid w:val="00F51F1C"/>
    <w:rsid w:val="00F520B1"/>
    <w:rsid w:val="00F52BD1"/>
    <w:rsid w:val="00F53329"/>
    <w:rsid w:val="00F5419C"/>
    <w:rsid w:val="00F5486A"/>
    <w:rsid w:val="00F54EB8"/>
    <w:rsid w:val="00F5558A"/>
    <w:rsid w:val="00F5611D"/>
    <w:rsid w:val="00F5622A"/>
    <w:rsid w:val="00F565C0"/>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0A4"/>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3B6"/>
    <w:rsid w:val="00F96F9C"/>
    <w:rsid w:val="00F97322"/>
    <w:rsid w:val="00FA061D"/>
    <w:rsid w:val="00FA0860"/>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2F61"/>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5C5"/>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CCB"/>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 w:type="paragraph" w:styleId="Web">
    <w:name w:val="Normal (Web)"/>
    <w:basedOn w:val="a"/>
    <w:semiHidden/>
    <w:unhideWhenUsed/>
    <w:rsid w:val="002C7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08568885">
      <w:bodyDiv w:val="1"/>
      <w:marLeft w:val="0"/>
      <w:marRight w:val="0"/>
      <w:marTop w:val="0"/>
      <w:marBottom w:val="0"/>
      <w:divBdr>
        <w:top w:val="none" w:sz="0" w:space="0" w:color="auto"/>
        <w:left w:val="none" w:sz="0" w:space="0" w:color="auto"/>
        <w:bottom w:val="none" w:sz="0" w:space="0" w:color="auto"/>
        <w:right w:val="none" w:sz="0" w:space="0" w:color="auto"/>
      </w:divBdr>
      <w:divsChild>
        <w:div w:id="381752638">
          <w:marLeft w:val="0"/>
          <w:marRight w:val="0"/>
          <w:marTop w:val="0"/>
          <w:marBottom w:val="0"/>
          <w:divBdr>
            <w:top w:val="none" w:sz="0" w:space="0" w:color="auto"/>
            <w:left w:val="none" w:sz="0" w:space="0" w:color="auto"/>
            <w:bottom w:val="none" w:sz="0" w:space="0" w:color="auto"/>
            <w:right w:val="none" w:sz="0" w:space="0" w:color="auto"/>
          </w:divBdr>
          <w:divsChild>
            <w:div w:id="5349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A94D4-CC2F-46D9-BDD5-ADCAD6825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202</Pages>
  <Words>86642</Words>
  <Characters>517119</Characters>
  <Application>Microsoft Office Word</Application>
  <DocSecurity>0</DocSecurity>
  <Lines>4309</Lines>
  <Paragraphs>1205</Paragraphs>
  <ScaleCrop>false</ScaleCrop>
  <Company>理律法律事務所</Company>
  <LinksUpToDate>false</LinksUpToDate>
  <CharactersWithSpaces>602556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12</cp:revision>
  <cp:lastPrinted>2024-07-31T05:40:00Z</cp:lastPrinted>
  <dcterms:created xsi:type="dcterms:W3CDTF">2025-05-13T08:49:00Z</dcterms:created>
  <dcterms:modified xsi:type="dcterms:W3CDTF">2025-05-14T04:05:00Z</dcterms:modified>
</cp:coreProperties>
</file>