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A1" w:rsidRDefault="00074355" w:rsidP="002A6023">
      <w:pPr>
        <w:pStyle w:val="a3"/>
        <w:jc w:val="center"/>
        <w:rPr>
          <w:rFonts w:ascii="標楷體" w:eastAsia="標楷體" w:hAnsi="標楷體"/>
          <w:color w:val="000000"/>
          <w:sz w:val="30"/>
          <w:u w:val="single"/>
        </w:rPr>
      </w:pPr>
      <w:r>
        <w:rPr>
          <w:rFonts w:ascii="標楷體" w:eastAsia="標楷體" w:hAnsi="標楷體" w:hint="eastAsia"/>
          <w:color w:val="000000"/>
          <w:sz w:val="30"/>
          <w:u w:val="single"/>
        </w:rPr>
        <w:t>臺灣證券交易所審查</w:t>
      </w:r>
      <w:r w:rsidR="00E46392">
        <w:rPr>
          <w:rFonts w:ascii="標楷體" w:eastAsia="標楷體" w:hAnsi="標楷體" w:hint="eastAsia"/>
          <w:color w:val="000000"/>
          <w:sz w:val="30"/>
          <w:u w:val="single"/>
        </w:rPr>
        <w:t xml:space="preserve">　　</w:t>
      </w:r>
      <w:r>
        <w:rPr>
          <w:rFonts w:ascii="標楷體" w:eastAsia="標楷體" w:hAnsi="標楷體" w:hint="eastAsia"/>
          <w:color w:val="000000"/>
          <w:sz w:val="30"/>
          <w:u w:val="single"/>
        </w:rPr>
        <w:t>投信申請</w:t>
      </w:r>
      <w:r w:rsidR="00E46392">
        <w:rPr>
          <w:rFonts w:ascii="標楷體" w:eastAsia="標楷體" w:hAnsi="標楷體" w:hint="eastAsia"/>
          <w:color w:val="000000"/>
          <w:sz w:val="30"/>
          <w:u w:val="single"/>
        </w:rPr>
        <w:t xml:space="preserve">　　　　　　</w:t>
      </w:r>
      <w:r w:rsidRPr="00572DE1">
        <w:rPr>
          <w:rFonts w:ascii="標楷體" w:eastAsia="標楷體" w:hAnsi="標楷體" w:hint="eastAsia"/>
          <w:color w:val="000000"/>
          <w:sz w:val="30"/>
          <w:u w:val="single"/>
        </w:rPr>
        <w:t>指數認可案件檢查表</w:t>
      </w:r>
    </w:p>
    <w:p w:rsidR="002F58D1" w:rsidRDefault="002F58D1">
      <w:pPr>
        <w:pStyle w:val="a3"/>
        <w:spacing w:line="360" w:lineRule="auto"/>
        <w:rPr>
          <w:rFonts w:eastAsia="標楷體"/>
          <w:color w:val="000000"/>
        </w:rPr>
      </w:pPr>
      <w:r>
        <w:rPr>
          <w:rFonts w:eastAsia="標楷體" w:hint="eastAsia"/>
          <w:color w:val="000000"/>
        </w:rPr>
        <w:t>申請人</w:t>
      </w:r>
      <w:r>
        <w:rPr>
          <w:rFonts w:eastAsia="標楷體" w:hint="eastAsia"/>
          <w:color w:val="000000"/>
        </w:rPr>
        <w:t>:</w:t>
      </w:r>
      <w:r>
        <w:rPr>
          <w:rFonts w:ascii="標楷體" w:eastAsia="標楷體" w:hAnsi="標楷體" w:hint="eastAsia"/>
          <w:color w:val="000000"/>
        </w:rPr>
        <w:t>＿＿＿＿＿＿＿＿＿＿</w:t>
      </w:r>
      <w:r w:rsidR="00AD04E9">
        <w:rPr>
          <w:rFonts w:ascii="標楷體" w:eastAsia="標楷體" w:hAnsi="標楷體" w:hint="eastAsia"/>
          <w:color w:val="000000"/>
        </w:rPr>
        <w:t>公司</w:t>
      </w:r>
    </w:p>
    <w:p w:rsidR="00E371A1" w:rsidRPr="0085048F" w:rsidRDefault="00E371A1">
      <w:pPr>
        <w:pStyle w:val="a3"/>
        <w:spacing w:line="360" w:lineRule="auto"/>
        <w:rPr>
          <w:rFonts w:eastAsia="標楷體"/>
          <w:color w:val="000000"/>
        </w:rPr>
      </w:pPr>
      <w:r w:rsidRPr="0085048F">
        <w:rPr>
          <w:rFonts w:eastAsia="標楷體" w:hint="eastAsia"/>
          <w:color w:val="000000"/>
        </w:rPr>
        <w:t>填表注意事項：</w:t>
      </w:r>
    </w:p>
    <w:p w:rsidR="00E371A1" w:rsidRPr="0085048F" w:rsidRDefault="00A933A2" w:rsidP="00A933A2">
      <w:pPr>
        <w:pStyle w:val="a4"/>
        <w:spacing w:line="360" w:lineRule="auto"/>
        <w:rPr>
          <w:rFonts w:eastAsia="標楷體"/>
          <w:color w:val="000000"/>
        </w:rPr>
      </w:pPr>
      <w:r>
        <w:rPr>
          <w:rFonts w:ascii="Times New Roman" w:eastAsia="標楷體" w:hint="eastAsia"/>
          <w:color w:val="000000"/>
        </w:rPr>
        <w:t>一、</w:t>
      </w:r>
      <w:r w:rsidR="00E371A1" w:rsidRPr="0085048F">
        <w:rPr>
          <w:rFonts w:eastAsia="標楷體" w:hint="eastAsia"/>
          <w:color w:val="000000"/>
        </w:rPr>
        <w:t>發行人應據實填報</w:t>
      </w:r>
      <w:r w:rsidRPr="0085048F">
        <w:rPr>
          <w:rFonts w:ascii="Times New Roman" w:eastAsia="標楷體" w:hint="eastAsia"/>
          <w:color w:val="000000"/>
        </w:rPr>
        <w:t>本案件檢查表</w:t>
      </w:r>
      <w:r w:rsidR="00E371A1" w:rsidRPr="0085048F">
        <w:rPr>
          <w:rFonts w:eastAsia="標楷體" w:hint="eastAsia"/>
          <w:color w:val="000000"/>
        </w:rPr>
        <w:t>，如有錯誤、疏漏、虛偽不實或隱匿之情事者，本</w:t>
      </w:r>
      <w:r>
        <w:rPr>
          <w:rFonts w:eastAsia="標楷體" w:hint="eastAsia"/>
          <w:color w:val="000000"/>
        </w:rPr>
        <w:t>公司將請發行人重新補件，並視影響情形處理</w:t>
      </w:r>
      <w:r w:rsidR="00E371A1" w:rsidRPr="0085048F">
        <w:rPr>
          <w:rFonts w:eastAsia="標楷體" w:hint="eastAsia"/>
          <w:color w:val="000000"/>
        </w:rPr>
        <w:t>。</w:t>
      </w:r>
    </w:p>
    <w:p w:rsidR="00E371A1" w:rsidRPr="0085048F" w:rsidRDefault="00A933A2">
      <w:pPr>
        <w:spacing w:line="360" w:lineRule="auto"/>
        <w:ind w:left="480" w:hanging="480"/>
        <w:rPr>
          <w:rFonts w:eastAsia="標楷體"/>
          <w:color w:val="000000"/>
        </w:rPr>
      </w:pPr>
      <w:r>
        <w:rPr>
          <w:rFonts w:eastAsia="標楷體" w:hint="eastAsia"/>
          <w:color w:val="000000"/>
        </w:rPr>
        <w:t>二</w:t>
      </w:r>
      <w:r w:rsidR="00E371A1" w:rsidRPr="0085048F">
        <w:rPr>
          <w:rFonts w:eastAsia="標楷體" w:hint="eastAsia"/>
          <w:color w:val="000000"/>
        </w:rPr>
        <w:t>、發行人填報異常或不適用之項目，應於備註欄確實說明其原因。</w:t>
      </w:r>
    </w:p>
    <w:p w:rsidR="00E371A1" w:rsidRPr="0085048F" w:rsidRDefault="003B77BF" w:rsidP="003B77BF">
      <w:pPr>
        <w:jc w:val="right"/>
        <w:rPr>
          <w:rFonts w:eastAsia="標楷體"/>
          <w:color w:val="000000"/>
        </w:rPr>
      </w:pPr>
      <w:r>
        <w:rPr>
          <w:rFonts w:eastAsia="標楷體" w:hint="eastAsia"/>
          <w:color w:val="000000"/>
        </w:rPr>
        <w:t>填寫日期：</w:t>
      </w:r>
      <w:r w:rsidR="00074355">
        <w:rPr>
          <w:rFonts w:eastAsia="標楷體" w:hint="eastAsia"/>
          <w:color w:val="000000"/>
        </w:rPr>
        <w:t xml:space="preserve">   </w:t>
      </w:r>
      <w:r>
        <w:rPr>
          <w:rFonts w:eastAsia="標楷體" w:hint="eastAsia"/>
          <w:color w:val="000000"/>
        </w:rPr>
        <w:t>年</w:t>
      </w:r>
      <w:r w:rsidR="00074355">
        <w:rPr>
          <w:rFonts w:eastAsia="標楷體" w:hint="eastAsia"/>
          <w:color w:val="000000"/>
        </w:rPr>
        <w:t xml:space="preserve">   </w:t>
      </w:r>
      <w:r>
        <w:rPr>
          <w:rFonts w:eastAsia="標楷體" w:hint="eastAsia"/>
          <w:color w:val="000000"/>
        </w:rPr>
        <w:t>月</w:t>
      </w:r>
      <w:r w:rsidR="00074355">
        <w:rPr>
          <w:rFonts w:eastAsia="標楷體" w:hint="eastAsia"/>
          <w:color w:val="000000"/>
        </w:rPr>
        <w:t xml:space="preserve">   </w:t>
      </w:r>
      <w:r>
        <w:rPr>
          <w:rFonts w:eastAsia="標楷體" w:hint="eastAsia"/>
          <w:color w:val="000000"/>
        </w:rPr>
        <w:t>日</w:t>
      </w:r>
    </w:p>
    <w:tbl>
      <w:tblPr>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623"/>
        <w:gridCol w:w="2017"/>
      </w:tblGrid>
      <w:tr w:rsidR="00E371A1" w:rsidRPr="0085048F" w:rsidTr="004F72AE">
        <w:trPr>
          <w:cantSplit/>
          <w:tblHeader/>
        </w:trPr>
        <w:tc>
          <w:tcPr>
            <w:tcW w:w="6388" w:type="dxa"/>
            <w:vMerge w:val="restart"/>
            <w:vAlign w:val="center"/>
          </w:tcPr>
          <w:p w:rsidR="00E371A1" w:rsidRPr="0085048F" w:rsidRDefault="00E371A1">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hint="eastAsia"/>
                <w:color w:val="000000"/>
              </w:rPr>
              <w:t>項目</w:t>
            </w:r>
          </w:p>
        </w:tc>
        <w:tc>
          <w:tcPr>
            <w:tcW w:w="4924" w:type="dxa"/>
            <w:gridSpan w:val="4"/>
          </w:tcPr>
          <w:p w:rsidR="00E371A1" w:rsidRPr="0085048F" w:rsidRDefault="00E371A1">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gridSpan w:val="2"/>
            <w:vAlign w:val="center"/>
          </w:tcPr>
          <w:p w:rsidR="00E371A1" w:rsidRPr="0085048F" w:rsidRDefault="00A933A2" w:rsidP="008517D4">
            <w:pPr>
              <w:spacing w:before="120" w:after="120" w:line="240" w:lineRule="exact"/>
              <w:jc w:val="center"/>
              <w:rPr>
                <w:rFonts w:eastAsia="標楷體"/>
                <w:color w:val="000000"/>
              </w:rPr>
            </w:pPr>
            <w:r>
              <w:rPr>
                <w:rFonts w:eastAsia="標楷體" w:hint="eastAsia"/>
                <w:color w:val="000000"/>
              </w:rPr>
              <w:t>交易所審查</w:t>
            </w:r>
            <w:r w:rsidR="00E371A1" w:rsidRPr="0085048F">
              <w:rPr>
                <w:rFonts w:eastAsia="標楷體" w:hint="eastAsia"/>
                <w:color w:val="000000"/>
              </w:rPr>
              <w:t>意見</w:t>
            </w:r>
          </w:p>
        </w:tc>
      </w:tr>
      <w:tr w:rsidR="00E55016" w:rsidRPr="0085048F" w:rsidTr="004F72AE">
        <w:trPr>
          <w:cantSplit/>
          <w:tblHeader/>
        </w:trPr>
        <w:tc>
          <w:tcPr>
            <w:tcW w:w="6388" w:type="dxa"/>
            <w:vMerge/>
          </w:tcPr>
          <w:p w:rsidR="00E55016" w:rsidRPr="0085048F" w:rsidRDefault="00E55016">
            <w:pPr>
              <w:spacing w:before="120" w:after="120" w:line="240" w:lineRule="exact"/>
              <w:rPr>
                <w:rFonts w:eastAsia="標楷體"/>
                <w:color w:val="000000"/>
              </w:rPr>
            </w:pPr>
          </w:p>
        </w:tc>
        <w:tc>
          <w:tcPr>
            <w:tcW w:w="722"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異常</w:t>
            </w:r>
          </w:p>
        </w:tc>
        <w:tc>
          <w:tcPr>
            <w:tcW w:w="842" w:type="dxa"/>
          </w:tcPr>
          <w:p w:rsidR="00E55016" w:rsidRPr="0085048F" w:rsidRDefault="00E55016">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E55016" w:rsidRPr="0085048F" w:rsidRDefault="00E55016" w:rsidP="00C254AA">
            <w:pPr>
              <w:spacing w:before="120" w:after="120" w:line="240" w:lineRule="exact"/>
              <w:ind w:right="84"/>
              <w:jc w:val="distribute"/>
              <w:rPr>
                <w:rFonts w:eastAsia="標楷體"/>
                <w:color w:val="000000"/>
              </w:rPr>
            </w:pPr>
            <w:r>
              <w:rPr>
                <w:rFonts w:eastAsia="標楷體" w:hint="eastAsia"/>
                <w:color w:val="000000"/>
              </w:rPr>
              <w:t>備註</w:t>
            </w:r>
            <w:r>
              <w:rPr>
                <w:rFonts w:eastAsia="標楷體" w:hint="eastAsia"/>
                <w:color w:val="000000"/>
              </w:rPr>
              <w:t>(</w:t>
            </w:r>
            <w:r>
              <w:rPr>
                <w:rFonts w:eastAsia="標楷體" w:hint="eastAsia"/>
                <w:color w:val="000000"/>
              </w:rPr>
              <w:t>附件索引</w:t>
            </w:r>
            <w:r>
              <w:rPr>
                <w:rFonts w:eastAsia="標楷體" w:hint="eastAsia"/>
                <w:color w:val="000000"/>
              </w:rPr>
              <w:t>)</w:t>
            </w:r>
          </w:p>
        </w:tc>
        <w:tc>
          <w:tcPr>
            <w:tcW w:w="623" w:type="dxa"/>
            <w:vAlign w:val="center"/>
          </w:tcPr>
          <w:p w:rsidR="00E55016" w:rsidRPr="0085048F" w:rsidRDefault="00E55016" w:rsidP="00E55016">
            <w:pPr>
              <w:spacing w:after="120" w:line="240" w:lineRule="exact"/>
              <w:jc w:val="center"/>
              <w:rPr>
                <w:rFonts w:eastAsia="標楷體"/>
                <w:color w:val="000000"/>
              </w:rPr>
            </w:pPr>
            <w:r w:rsidRPr="0085048F">
              <w:rPr>
                <w:rFonts w:eastAsia="標楷體" w:hint="eastAsia"/>
                <w:color w:val="000000"/>
              </w:rPr>
              <w:t>正常</w:t>
            </w:r>
          </w:p>
        </w:tc>
        <w:tc>
          <w:tcPr>
            <w:tcW w:w="2017" w:type="dxa"/>
            <w:vAlign w:val="center"/>
          </w:tcPr>
          <w:p w:rsidR="00E55016" w:rsidRPr="0085048F" w:rsidRDefault="00E55016" w:rsidP="00E90187">
            <w:pPr>
              <w:spacing w:after="120" w:line="240" w:lineRule="exact"/>
              <w:jc w:val="center"/>
              <w:rPr>
                <w:rFonts w:eastAsia="標楷體"/>
                <w:color w:val="000000"/>
              </w:rPr>
            </w:pPr>
            <w:r w:rsidRPr="0085048F">
              <w:rPr>
                <w:rFonts w:eastAsia="標楷體" w:hint="eastAsia"/>
                <w:color w:val="000000"/>
              </w:rPr>
              <w:t>異常</w:t>
            </w:r>
            <w:r w:rsidR="005E0137">
              <w:rPr>
                <w:rFonts w:eastAsia="標楷體" w:hint="eastAsia"/>
                <w:color w:val="000000"/>
              </w:rPr>
              <w:t>原因</w:t>
            </w:r>
            <w:r w:rsidR="00E90187">
              <w:rPr>
                <w:rFonts w:eastAsia="標楷體" w:hint="eastAsia"/>
                <w:color w:val="000000"/>
              </w:rPr>
              <w:t>說明</w:t>
            </w:r>
          </w:p>
        </w:tc>
      </w:tr>
      <w:tr w:rsidR="00E55016" w:rsidRPr="0085048F" w:rsidTr="004F72AE">
        <w:trPr>
          <w:cantSplit/>
        </w:trPr>
        <w:tc>
          <w:tcPr>
            <w:tcW w:w="6388" w:type="dxa"/>
          </w:tcPr>
          <w:p w:rsidR="00E55016" w:rsidRPr="006E0081" w:rsidRDefault="00E55016" w:rsidP="00572DE1">
            <w:pPr>
              <w:spacing w:before="120" w:after="120" w:line="240" w:lineRule="exact"/>
              <w:ind w:left="480" w:hanging="480"/>
              <w:jc w:val="both"/>
              <w:rPr>
                <w:rFonts w:eastAsia="標楷體"/>
                <w:b/>
                <w:color w:val="000000"/>
              </w:rPr>
            </w:pPr>
            <w:r>
              <w:rPr>
                <w:rFonts w:eastAsia="標楷體" w:hint="eastAsia"/>
                <w:b/>
                <w:color w:val="000000"/>
              </w:rPr>
              <w:t>一、發行人與</w:t>
            </w:r>
            <w:r>
              <w:rPr>
                <w:rFonts w:eastAsia="標楷體" w:hint="eastAsia"/>
                <w:b/>
                <w:color w:val="000000"/>
              </w:rPr>
              <w:t>ETF</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vAlign w:val="center"/>
          </w:tcPr>
          <w:p w:rsidR="00E55016" w:rsidRPr="0085048F" w:rsidRDefault="00E55016" w:rsidP="00EC42D6">
            <w:pPr>
              <w:spacing w:after="120" w:line="240" w:lineRule="exact"/>
              <w:jc w:val="center"/>
              <w:rPr>
                <w:rFonts w:eastAsia="標楷體"/>
                <w:color w:val="000000"/>
              </w:rPr>
            </w:pPr>
          </w:p>
        </w:tc>
        <w:tc>
          <w:tcPr>
            <w:tcW w:w="2017" w:type="dxa"/>
            <w:vAlign w:val="center"/>
          </w:tcPr>
          <w:p w:rsidR="00E55016" w:rsidRPr="0085048F" w:rsidRDefault="00E55016" w:rsidP="00EC42D6">
            <w:pPr>
              <w:spacing w:after="120" w:line="240" w:lineRule="exact"/>
              <w:jc w:val="center"/>
              <w:rPr>
                <w:rFonts w:eastAsia="標楷體"/>
                <w:color w:val="000000"/>
              </w:rPr>
            </w:pPr>
          </w:p>
        </w:tc>
      </w:tr>
      <w:tr w:rsidR="00E55016" w:rsidRPr="0085048F" w:rsidTr="004F72AE">
        <w:trPr>
          <w:cantSplit/>
        </w:trPr>
        <w:tc>
          <w:tcPr>
            <w:tcW w:w="6388" w:type="dxa"/>
          </w:tcPr>
          <w:p w:rsidR="00E55016" w:rsidRPr="00722638" w:rsidRDefault="00E55016" w:rsidP="008517D4">
            <w:pPr>
              <w:spacing w:before="120" w:after="120" w:line="240" w:lineRule="exact"/>
              <w:ind w:left="480" w:hanging="480"/>
              <w:jc w:val="both"/>
              <w:rPr>
                <w:rFonts w:eastAsia="標楷體"/>
                <w:color w:val="000000"/>
              </w:rPr>
            </w:pPr>
            <w:r w:rsidRPr="00722638">
              <w:rPr>
                <w:rFonts w:eastAsia="標楷體" w:hint="eastAsia"/>
                <w:color w:val="000000"/>
              </w:rPr>
              <w:t>(</w:t>
            </w:r>
            <w:r w:rsidRPr="00722638">
              <w:rPr>
                <w:rFonts w:eastAsia="標楷體" w:hint="eastAsia"/>
                <w:color w:val="000000"/>
              </w:rPr>
              <w:t>一</w:t>
            </w:r>
            <w:r w:rsidRPr="00722638">
              <w:rPr>
                <w:rFonts w:eastAsia="標楷體" w:hint="eastAsia"/>
                <w:color w:val="000000"/>
              </w:rPr>
              <w:t>)</w:t>
            </w:r>
            <w:r>
              <w:rPr>
                <w:rFonts w:eastAsia="標楷體" w:hint="eastAsia"/>
                <w:color w:val="000000"/>
              </w:rPr>
              <w:t>申請之</w:t>
            </w:r>
            <w:r>
              <w:rPr>
                <w:rFonts w:eastAsia="標楷體" w:hint="eastAsia"/>
                <w:color w:val="000000"/>
              </w:rPr>
              <w:t>ETF</w:t>
            </w:r>
            <w:r>
              <w:rPr>
                <w:rFonts w:eastAsia="標楷體" w:hint="eastAsia"/>
                <w:color w:val="000000"/>
              </w:rPr>
              <w:t>及標的指數符合證券投資信託基金管理辦法第</w:t>
            </w:r>
            <w:r>
              <w:rPr>
                <w:rFonts w:eastAsia="標楷體" w:hint="eastAsia"/>
                <w:color w:val="000000"/>
              </w:rPr>
              <w:t>37</w:t>
            </w:r>
            <w:r>
              <w:rPr>
                <w:rFonts w:eastAsia="標楷體" w:hint="eastAsia"/>
                <w:color w:val="000000"/>
              </w:rPr>
              <w:t>條或期貨信託基金管理辦法第</w:t>
            </w:r>
            <w:r>
              <w:rPr>
                <w:rFonts w:eastAsia="標楷體" w:hint="eastAsia"/>
                <w:color w:val="000000"/>
              </w:rPr>
              <w:t>10</w:t>
            </w:r>
            <w:r>
              <w:rPr>
                <w:rFonts w:eastAsia="標楷體" w:hint="eastAsia"/>
                <w:color w:val="000000"/>
              </w:rPr>
              <w:t>條之</w:t>
            </w:r>
            <w:r>
              <w:rPr>
                <w:rFonts w:eastAsia="標楷體" w:hint="eastAsia"/>
                <w:color w:val="000000"/>
              </w:rPr>
              <w:t>1</w:t>
            </w:r>
            <w:r>
              <w:rPr>
                <w:rFonts w:eastAsia="標楷體" w:hint="eastAsia"/>
                <w:color w:val="000000"/>
              </w:rPr>
              <w:t>規範。</w:t>
            </w:r>
          </w:p>
        </w:tc>
        <w:tc>
          <w:tcPr>
            <w:tcW w:w="722" w:type="dxa"/>
          </w:tcPr>
          <w:p w:rsidR="00E55016" w:rsidRPr="0096165C"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722638" w:rsidRDefault="00E55016" w:rsidP="008517D4">
            <w:pPr>
              <w:spacing w:before="120" w:after="120" w:line="240" w:lineRule="exact"/>
              <w:ind w:left="480" w:hanging="480"/>
              <w:jc w:val="both"/>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eastAsia="標楷體" w:hint="eastAsia"/>
                <w:color w:val="000000"/>
              </w:rPr>
              <w:t>申請公司具國內證券投資信託或期貨信託事業證照</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6E0081" w:rsidRDefault="00E55016" w:rsidP="00572DE1">
            <w:pPr>
              <w:spacing w:before="120" w:after="120" w:line="240" w:lineRule="exact"/>
              <w:ind w:left="480" w:hanging="480"/>
              <w:jc w:val="both"/>
              <w:rPr>
                <w:rFonts w:eastAsia="標楷體"/>
                <w:b/>
                <w:color w:val="000000"/>
              </w:rPr>
            </w:pPr>
            <w:r>
              <w:rPr>
                <w:rFonts w:eastAsia="標楷體" w:hint="eastAsia"/>
                <w:b/>
                <w:color w:val="000000"/>
              </w:rPr>
              <w:t>二</w:t>
            </w:r>
            <w:r w:rsidRPr="006E0081">
              <w:rPr>
                <w:rFonts w:eastAsia="標楷體" w:hint="eastAsia"/>
                <w:b/>
                <w:color w:val="000000"/>
              </w:rPr>
              <w:t>、指數編製機構：</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rsidP="008517D4">
            <w:pPr>
              <w:spacing w:before="120" w:after="120" w:line="240" w:lineRule="exact"/>
              <w:ind w:left="480" w:hanging="480"/>
              <w:jc w:val="both"/>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Pr>
                <w:rFonts w:eastAsia="標楷體" w:hint="eastAsia"/>
                <w:color w:val="000000"/>
              </w:rPr>
              <w:t>檢具與指數編製機構簽訂之指數授權契約。</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rsidP="008517D4">
            <w:pPr>
              <w:spacing w:before="120" w:after="120" w:line="240" w:lineRule="exact"/>
              <w:ind w:left="480" w:hanging="480"/>
              <w:jc w:val="both"/>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eastAsia="標楷體" w:hint="eastAsia"/>
                <w:color w:val="000000"/>
              </w:rPr>
              <w:t>檢具足資證明指數編製機構符合下列</w:t>
            </w:r>
            <w:r w:rsidRPr="00B240BA">
              <w:rPr>
                <w:rFonts w:eastAsia="標楷體" w:hint="eastAsia"/>
                <w:color w:val="000000"/>
              </w:rPr>
              <w:t>各款資格條件</w:t>
            </w:r>
            <w:r>
              <w:rPr>
                <w:rFonts w:eastAsia="標楷體" w:hint="eastAsia"/>
                <w:color w:val="000000"/>
              </w:rPr>
              <w:t>之相關書面資料：</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80" w:hanging="480"/>
              <w:jc w:val="both"/>
              <w:rPr>
                <w:rFonts w:eastAsia="標楷體"/>
                <w:color w:val="000000"/>
              </w:rPr>
            </w:pPr>
            <w:r>
              <w:rPr>
                <w:rFonts w:eastAsia="標楷體" w:hint="eastAsia"/>
                <w:color w:val="000000"/>
              </w:rPr>
              <w:t xml:space="preserve">  1.</w:t>
            </w:r>
            <w:r>
              <w:rPr>
                <w:rFonts w:eastAsia="標楷體" w:hint="eastAsia"/>
                <w:color w:val="000000"/>
              </w:rPr>
              <w:t>指數編製及維護之經驗及能力：</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80" w:hanging="480"/>
              <w:jc w:val="both"/>
              <w:rPr>
                <w:rFonts w:eastAsia="標楷體"/>
                <w:color w:val="000000"/>
              </w:rPr>
            </w:pPr>
            <w:r>
              <w:rPr>
                <w:rFonts w:eastAsia="標楷體" w:hint="eastAsia"/>
                <w:color w:val="000000"/>
              </w:rPr>
              <w:t xml:space="preserve">   (1)</w:t>
            </w:r>
            <w:r>
              <w:rPr>
                <w:rFonts w:eastAsia="標楷體" w:hint="eastAsia"/>
                <w:color w:val="000000"/>
              </w:rPr>
              <w:t>具備編製指數</w:t>
            </w:r>
            <w:r>
              <w:rPr>
                <w:rFonts w:eastAsia="標楷體" w:hint="eastAsia"/>
                <w:color w:val="000000"/>
              </w:rPr>
              <w:t>5</w:t>
            </w:r>
            <w:r>
              <w:rPr>
                <w:rFonts w:eastAsia="標楷體" w:hint="eastAsia"/>
                <w:color w:val="000000"/>
              </w:rPr>
              <w:t>年以上之經驗。</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pPr>
              <w:spacing w:before="120" w:after="120" w:line="240" w:lineRule="exact"/>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right"/>
              <w:rPr>
                <w:rFonts w:eastAsia="標楷體"/>
                <w:color w:val="000000"/>
              </w:rPr>
            </w:pP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p>
        </w:tc>
        <w:tc>
          <w:tcPr>
            <w:tcW w:w="2017" w:type="dxa"/>
          </w:tcPr>
          <w:p w:rsidR="00E55016" w:rsidRPr="0085048F" w:rsidRDefault="00E55016">
            <w:pPr>
              <w:spacing w:before="120" w:after="120" w:line="240" w:lineRule="exact"/>
              <w:jc w:val="right"/>
              <w:rPr>
                <w:rFonts w:eastAsia="標楷體"/>
                <w:color w:val="000000"/>
              </w:rPr>
            </w:pPr>
          </w:p>
        </w:tc>
      </w:tr>
      <w:tr w:rsidR="00E55016" w:rsidRPr="0085048F" w:rsidTr="004F72AE">
        <w:trPr>
          <w:cantSplit/>
          <w:trHeight w:val="457"/>
        </w:trPr>
        <w:tc>
          <w:tcPr>
            <w:tcW w:w="6388" w:type="dxa"/>
          </w:tcPr>
          <w:p w:rsidR="00E55016" w:rsidRPr="0085048F" w:rsidRDefault="00E55016">
            <w:pPr>
              <w:spacing w:before="120" w:after="120" w:line="240" w:lineRule="exact"/>
              <w:ind w:left="476" w:hanging="476"/>
              <w:jc w:val="both"/>
              <w:rPr>
                <w:rFonts w:eastAsia="標楷體"/>
                <w:color w:val="000000"/>
              </w:rPr>
            </w:pPr>
            <w:r>
              <w:rPr>
                <w:rFonts w:eastAsia="標楷體" w:hint="eastAsia"/>
                <w:color w:val="000000"/>
              </w:rPr>
              <w:t xml:space="preserve">   (2)</w:t>
            </w:r>
            <w:r>
              <w:rPr>
                <w:rFonts w:eastAsia="標楷體" w:hint="eastAsia"/>
                <w:color w:val="000000"/>
              </w:rPr>
              <w:t>具備建構及檢討指數編製規則之能力。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457"/>
        </w:trPr>
        <w:tc>
          <w:tcPr>
            <w:tcW w:w="6388" w:type="dxa"/>
          </w:tcPr>
          <w:p w:rsidR="00E55016" w:rsidRPr="0085048F" w:rsidRDefault="00E55016" w:rsidP="00AC648E">
            <w:pPr>
              <w:spacing w:before="120" w:after="120" w:line="240" w:lineRule="exact"/>
              <w:jc w:val="both"/>
              <w:rPr>
                <w:rFonts w:eastAsia="標楷體"/>
                <w:color w:val="000000"/>
              </w:rPr>
            </w:pPr>
            <w:r>
              <w:rPr>
                <w:rFonts w:eastAsia="標楷體" w:hint="eastAsia"/>
                <w:color w:val="000000"/>
              </w:rPr>
              <w:t xml:space="preserve">   (3)</w:t>
            </w:r>
            <w:r>
              <w:rPr>
                <w:rFonts w:eastAsia="標楷體" w:hint="eastAsia"/>
                <w:color w:val="000000"/>
              </w:rPr>
              <w:t>具備每日維護或更新指數成分檔案之能力。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457"/>
        </w:trPr>
        <w:tc>
          <w:tcPr>
            <w:tcW w:w="6388" w:type="dxa"/>
          </w:tcPr>
          <w:p w:rsidR="00E55016" w:rsidRPr="0085048F" w:rsidRDefault="00E55016" w:rsidP="002D576E">
            <w:pPr>
              <w:spacing w:before="120" w:after="120" w:line="240" w:lineRule="exact"/>
              <w:ind w:left="708" w:hangingChars="295" w:hanging="708"/>
              <w:jc w:val="both"/>
              <w:rPr>
                <w:rFonts w:eastAsia="標楷體"/>
                <w:color w:val="000000"/>
              </w:rPr>
            </w:pPr>
            <w:r>
              <w:rPr>
                <w:rFonts w:eastAsia="標楷體" w:hint="eastAsia"/>
                <w:color w:val="000000"/>
              </w:rPr>
              <w:lastRenderedPageBreak/>
              <w:t xml:space="preserve">   (4)</w:t>
            </w:r>
            <w:r>
              <w:rPr>
                <w:rFonts w:eastAsia="標楷體" w:hint="eastAsia"/>
                <w:color w:val="000000"/>
              </w:rPr>
              <w:t>若該編製機構為證券商、銀行或與發行人具備利害關係者，其公司內部必須就指數編製規則及檔案維護更新等作業，建立完整之防火牆機制。（無則免附）</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509"/>
        </w:trPr>
        <w:tc>
          <w:tcPr>
            <w:tcW w:w="6388" w:type="dxa"/>
          </w:tcPr>
          <w:p w:rsidR="00E55016" w:rsidRPr="0085048F" w:rsidRDefault="00E55016" w:rsidP="00AC648E">
            <w:pPr>
              <w:spacing w:before="120" w:after="120" w:line="240" w:lineRule="exact"/>
              <w:jc w:val="both"/>
              <w:rPr>
                <w:rFonts w:eastAsia="標楷體"/>
                <w:color w:val="000000"/>
              </w:rPr>
            </w:pPr>
            <w:r>
              <w:rPr>
                <w:rFonts w:eastAsia="標楷體" w:hint="eastAsia"/>
                <w:color w:val="000000"/>
              </w:rPr>
              <w:t xml:space="preserve">  2.</w:t>
            </w:r>
            <w:r>
              <w:rPr>
                <w:rFonts w:eastAsia="標楷體" w:hint="eastAsia"/>
                <w:color w:val="000000"/>
              </w:rPr>
              <w:t>指數計算能力：</w:t>
            </w:r>
          </w:p>
        </w:tc>
        <w:tc>
          <w:tcPr>
            <w:tcW w:w="722" w:type="dxa"/>
          </w:tcPr>
          <w:p w:rsidR="00E55016" w:rsidRPr="0096165C"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Height w:val="509"/>
        </w:trPr>
        <w:tc>
          <w:tcPr>
            <w:tcW w:w="6388" w:type="dxa"/>
          </w:tcPr>
          <w:p w:rsidR="00E55016" w:rsidRPr="00C207E5" w:rsidRDefault="00E55016" w:rsidP="006E0081">
            <w:pPr>
              <w:spacing w:before="120" w:after="120" w:line="240" w:lineRule="exact"/>
              <w:ind w:left="425" w:hangingChars="177" w:hanging="425"/>
              <w:jc w:val="both"/>
              <w:rPr>
                <w:rFonts w:eastAsia="標楷體"/>
                <w:color w:val="000000"/>
              </w:rPr>
            </w:pPr>
            <w:r w:rsidRPr="00C207E5">
              <w:rPr>
                <w:rFonts w:eastAsia="標楷體" w:hint="eastAsia"/>
                <w:color w:val="000000"/>
              </w:rPr>
              <w:t xml:space="preserve">   </w:t>
            </w:r>
            <w:r w:rsidRPr="00C207E5">
              <w:rPr>
                <w:rFonts w:eastAsia="標楷體" w:hint="eastAsia"/>
                <w:color w:val="000000"/>
              </w:rPr>
              <w:t>具備計算盤中即時指數值之能力，或與市場資訊廠商簽約以計算指數值。</w:t>
            </w:r>
            <w:r w:rsidRPr="00C207E5">
              <w:rPr>
                <w:rFonts w:eastAsia="標楷體" w:hint="eastAsia"/>
                <w:color w:val="000000"/>
              </w:rPr>
              <w:t>(</w:t>
            </w:r>
            <w:r w:rsidRPr="00C207E5">
              <w:rPr>
                <w:rFonts w:eastAsia="標楷體" w:hint="eastAsia"/>
                <w:color w:val="000000"/>
              </w:rPr>
              <w:t>如有，請於備註敘明簽約廠商</w:t>
            </w:r>
            <w:r w:rsidRPr="00C207E5">
              <w:rPr>
                <w:rFonts w:eastAsia="標楷體" w:hint="eastAsia"/>
                <w:color w:val="000000"/>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207E5" w:rsidRDefault="00E55016" w:rsidP="006E0081">
            <w:pPr>
              <w:spacing w:before="120" w:after="120" w:line="240" w:lineRule="exact"/>
              <w:jc w:val="both"/>
              <w:rPr>
                <w:rFonts w:eastAsia="標楷體"/>
                <w:color w:val="000000"/>
              </w:rPr>
            </w:pPr>
            <w:r w:rsidRPr="00C207E5">
              <w:rPr>
                <w:rFonts w:eastAsia="標楷體" w:hint="eastAsia"/>
                <w:color w:val="000000"/>
              </w:rPr>
              <w:t xml:space="preserve">  3.</w:t>
            </w:r>
            <w:r w:rsidRPr="00C207E5">
              <w:rPr>
                <w:rFonts w:eastAsia="標楷體" w:hint="eastAsia"/>
                <w:color w:val="000000"/>
              </w:rPr>
              <w:t>指數傳輸能力：</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207E5" w:rsidRDefault="00E55016" w:rsidP="006E0081">
            <w:pPr>
              <w:spacing w:before="120" w:after="120" w:line="240" w:lineRule="exact"/>
              <w:ind w:left="425" w:hangingChars="177" w:hanging="425"/>
              <w:jc w:val="both"/>
              <w:rPr>
                <w:rFonts w:eastAsia="標楷體"/>
                <w:color w:val="000000"/>
              </w:rPr>
            </w:pPr>
            <w:r w:rsidRPr="00C207E5">
              <w:rPr>
                <w:rFonts w:eastAsia="標楷體" w:hint="eastAsia"/>
                <w:color w:val="000000"/>
              </w:rPr>
              <w:t xml:space="preserve">   </w:t>
            </w:r>
            <w:r w:rsidRPr="00C207E5">
              <w:rPr>
                <w:rFonts w:eastAsia="標楷體" w:hint="eastAsia"/>
                <w:color w:val="000000"/>
              </w:rPr>
              <w:t>具備將盤中即時指數值傳輸市場週知之能力，或與至少二家以上的市場資訊廠商簽約以傳輸指數值。</w:t>
            </w:r>
            <w:r w:rsidRPr="00C207E5">
              <w:rPr>
                <w:rFonts w:eastAsia="標楷體" w:hint="eastAsia"/>
                <w:color w:val="000000"/>
              </w:rPr>
              <w:t>(</w:t>
            </w:r>
            <w:r w:rsidRPr="00C207E5">
              <w:rPr>
                <w:rFonts w:eastAsia="標楷體" w:hint="eastAsia"/>
                <w:color w:val="000000"/>
              </w:rPr>
              <w:t>如有，請於備註敘明簽約廠商</w:t>
            </w:r>
            <w:r w:rsidRPr="00C207E5">
              <w:rPr>
                <w:rFonts w:eastAsia="標楷體" w:hint="eastAsia"/>
                <w:color w:val="000000"/>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A47579" w:rsidRDefault="00E55016">
            <w:pPr>
              <w:spacing w:before="120" w:after="120" w:line="240" w:lineRule="exact"/>
              <w:ind w:right="84"/>
              <w:jc w:val="both"/>
              <w:rPr>
                <w:rFonts w:eastAsia="標楷體"/>
                <w:color w:val="000000"/>
                <w:szCs w:val="24"/>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Default="00E55016" w:rsidP="006E0081">
            <w:pPr>
              <w:spacing w:before="120" w:after="120" w:line="240" w:lineRule="exact"/>
              <w:jc w:val="both"/>
              <w:rPr>
                <w:rFonts w:eastAsia="標楷體"/>
                <w:color w:val="000000"/>
              </w:rPr>
            </w:pPr>
            <w:r>
              <w:rPr>
                <w:rFonts w:eastAsia="標楷體" w:hint="eastAsia"/>
                <w:b/>
                <w:color w:val="000000"/>
              </w:rPr>
              <w:t>三</w:t>
            </w:r>
            <w:r w:rsidRPr="006E0081">
              <w:rPr>
                <w:rFonts w:eastAsia="標楷體" w:hint="eastAsia"/>
                <w:b/>
                <w:color w:val="000000"/>
              </w:rPr>
              <w:t>、標的指數成分：</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8517D4">
            <w:pPr>
              <w:spacing w:before="120" w:after="120" w:line="240" w:lineRule="exact"/>
              <w:ind w:left="426" w:hanging="397"/>
              <w:jc w:val="both"/>
              <w:rPr>
                <w:rFonts w:eastAsia="標楷體"/>
                <w:color w:val="000000"/>
              </w:rPr>
            </w:pPr>
            <w:r>
              <w:rPr>
                <w:rFonts w:eastAsia="標楷體" w:hint="eastAsia"/>
                <w:color w:val="000000"/>
              </w:rPr>
              <w:t xml:space="preserve">   </w:t>
            </w:r>
            <w:r>
              <w:rPr>
                <w:rFonts w:eastAsia="標楷體" w:hint="eastAsia"/>
                <w:color w:val="000000"/>
              </w:rPr>
              <w:t>檢具足資證明標的指數之成分符合下列各款資格條件之相關書面資料。</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pPr>
              <w:spacing w:before="120" w:after="120" w:line="240" w:lineRule="exact"/>
              <w:ind w:left="476" w:hanging="476"/>
              <w:jc w:val="both"/>
              <w:rPr>
                <w:rFonts w:eastAsia="標楷體"/>
                <w:color w:val="000000"/>
              </w:rPr>
            </w:pPr>
            <w:r>
              <w:rPr>
                <w:rFonts w:eastAsia="標楷體" w:hint="eastAsia"/>
              </w:rPr>
              <w:t>(</w:t>
            </w:r>
            <w:r>
              <w:rPr>
                <w:rFonts w:eastAsia="標楷體" w:hint="eastAsia"/>
              </w:rPr>
              <w:t>一</w:t>
            </w:r>
            <w:r>
              <w:rPr>
                <w:rFonts w:eastAsia="標楷體" w:hint="eastAsia"/>
              </w:rPr>
              <w:t>)</w:t>
            </w:r>
            <w:r>
              <w:rPr>
                <w:rFonts w:eastAsia="標楷體" w:hint="eastAsia"/>
              </w:rPr>
              <w:t>符合下列標準</w:t>
            </w:r>
            <w:r w:rsidRPr="00B240BA">
              <w:rPr>
                <w:rFonts w:eastAsia="標楷體" w:hint="eastAsia"/>
              </w:rPr>
              <w:t>之一（或以上）者</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rPr>
                <w:rFonts w:eastAsia="標楷體"/>
                <w:color w:val="000000"/>
              </w:rPr>
            </w:pPr>
            <w:r>
              <w:rPr>
                <w:rFonts w:eastAsia="標楷體" w:hint="eastAsia"/>
              </w:rPr>
              <w:t xml:space="preserve">  1.</w:t>
            </w:r>
            <w:r>
              <w:rPr>
                <w:rFonts w:eastAsia="標楷體" w:hint="eastAsia"/>
              </w:rPr>
              <w:t>於本</w:t>
            </w:r>
            <w:r>
              <w:rPr>
                <w:rFonts w:eastAsia="標楷體" w:hint="eastAsia"/>
                <w:color w:val="000000"/>
              </w:rPr>
              <w:t>公司掛牌交易</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rPr>
                <w:rFonts w:eastAsia="標楷體"/>
                <w:color w:val="000000"/>
              </w:rPr>
            </w:pPr>
            <w:r>
              <w:rPr>
                <w:rFonts w:eastAsia="標楷體" w:hint="eastAsia"/>
              </w:rPr>
              <w:t xml:space="preserve">  2.</w:t>
            </w:r>
            <w:r>
              <w:rPr>
                <w:rFonts w:eastAsia="標楷體" w:hint="eastAsia"/>
              </w:rPr>
              <w:t>於財團法人中華民國證券櫃檯買賣中心</w:t>
            </w:r>
            <w:r>
              <w:rPr>
                <w:rFonts w:eastAsia="標楷體" w:hint="eastAsia"/>
                <w:color w:val="000000"/>
              </w:rPr>
              <w:t>掛牌交易</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ind w:left="425" w:hangingChars="177" w:hanging="425"/>
              <w:jc w:val="both"/>
              <w:rPr>
                <w:rFonts w:eastAsia="標楷體"/>
                <w:color w:val="000000"/>
              </w:rPr>
            </w:pPr>
            <w:r>
              <w:rPr>
                <w:rFonts w:eastAsia="標楷體" w:hint="eastAsia"/>
              </w:rPr>
              <w:t xml:space="preserve">  3.</w:t>
            </w:r>
            <w:r w:rsidRPr="003305FD">
              <w:rPr>
                <w:rFonts w:eastAsia="標楷體"/>
              </w:rPr>
              <w:t>於外國證券集中交易市場</w:t>
            </w:r>
            <w:r w:rsidRPr="003305FD">
              <w:rPr>
                <w:rFonts w:eastAsia="標楷體" w:hint="eastAsia"/>
              </w:rPr>
              <w:t>或</w:t>
            </w:r>
            <w:r w:rsidRPr="003305FD">
              <w:rPr>
                <w:rFonts w:eastAsia="標楷體"/>
              </w:rPr>
              <w:t>主管機關核准之店頭市場掛牌交易，並符合證券投資信託基金投資外國有價證券之種類及範圍相關規範</w:t>
            </w:r>
            <w:r w:rsidRPr="003305FD">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jc w:val="both"/>
              <w:rPr>
                <w:rFonts w:eastAsia="標楷體"/>
                <w:color w:val="000000"/>
              </w:rPr>
            </w:pPr>
            <w:r>
              <w:rPr>
                <w:rFonts w:eastAsia="標楷體" w:hint="eastAsia"/>
              </w:rPr>
              <w:t xml:space="preserve">  4.</w:t>
            </w:r>
            <w:r w:rsidRPr="003305FD">
              <w:rPr>
                <w:rFonts w:eastAsia="標楷體" w:hint="eastAsia"/>
              </w:rPr>
              <w:t>於臺灣期貨交易所掛牌交易。</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ind w:leftChars="60" w:left="458" w:hangingChars="131" w:hanging="314"/>
              <w:jc w:val="both"/>
              <w:rPr>
                <w:rFonts w:eastAsia="標楷體"/>
                <w:color w:val="000000"/>
              </w:rPr>
            </w:pPr>
            <w:r>
              <w:rPr>
                <w:rFonts w:eastAsia="標楷體" w:hint="eastAsia"/>
              </w:rPr>
              <w:t xml:space="preserve"> 5.</w:t>
            </w:r>
            <w:r w:rsidRPr="003305FD">
              <w:rPr>
                <w:rFonts w:eastAsia="標楷體" w:hint="eastAsia"/>
              </w:rPr>
              <w:t>於外國期貨交易市場交易或主管機關核准之期貨交易與期貨相關之現貨商品，並符合期貨信託基金之運用範圍相關規範</w:t>
            </w:r>
            <w:r>
              <w:rPr>
                <w:rFonts w:eastAsia="標楷體" w:hint="eastAsia"/>
              </w:rPr>
              <w:t>。</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85048F" w:rsidRDefault="00E55016" w:rsidP="00E55016">
            <w:pPr>
              <w:spacing w:beforeLines="20" w:before="72" w:afterLines="20" w:after="72" w:line="260" w:lineRule="exact"/>
              <w:jc w:val="both"/>
              <w:rPr>
                <w:rFonts w:eastAsia="標楷體"/>
                <w:color w:val="000000"/>
              </w:rPr>
            </w:pPr>
            <w:r>
              <w:rPr>
                <w:rFonts w:eastAsia="標楷體" w:hint="eastAsia"/>
              </w:rPr>
              <w:t xml:space="preserve">  6.</w:t>
            </w:r>
            <w:r w:rsidRPr="003305FD">
              <w:rPr>
                <w:rFonts w:eastAsia="標楷體" w:hint="eastAsia"/>
              </w:rPr>
              <w:t>其他經主管機關核准之商品。</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E55016" w:rsidRPr="0085048F" w:rsidTr="004F72AE">
        <w:trPr>
          <w:cantSplit/>
        </w:trPr>
        <w:tc>
          <w:tcPr>
            <w:tcW w:w="6388" w:type="dxa"/>
          </w:tcPr>
          <w:p w:rsidR="00E55016" w:rsidRPr="00C67BC5" w:rsidRDefault="00E55016" w:rsidP="003B77BF">
            <w:pPr>
              <w:spacing w:before="120" w:after="120" w:line="240" w:lineRule="exact"/>
              <w:ind w:left="504" w:hanging="504"/>
              <w:jc w:val="both"/>
              <w:rPr>
                <w:rFonts w:eastAsia="標楷體"/>
                <w:color w:val="000000"/>
              </w:rPr>
            </w:pPr>
            <w:r w:rsidRPr="00C67BC5">
              <w:rPr>
                <w:rFonts w:eastAsia="標楷體" w:hint="eastAsia"/>
                <w:color w:val="000000"/>
              </w:rPr>
              <w:lastRenderedPageBreak/>
              <w:t>(</w:t>
            </w:r>
            <w:r w:rsidRPr="00C67BC5">
              <w:rPr>
                <w:rFonts w:eastAsia="標楷體" w:hint="eastAsia"/>
                <w:color w:val="000000"/>
              </w:rPr>
              <w:t>二</w:t>
            </w:r>
            <w:r w:rsidRPr="00C67BC5">
              <w:rPr>
                <w:rFonts w:eastAsia="標楷體" w:hint="eastAsia"/>
                <w:color w:val="000000"/>
              </w:rPr>
              <w:t>)</w:t>
            </w:r>
            <w:r w:rsidRPr="00C67BC5">
              <w:rPr>
                <w:rFonts w:eastAsia="標楷體" w:hint="eastAsia"/>
              </w:rPr>
              <w:t>具備下列</w:t>
            </w:r>
            <w:r w:rsidR="004F72AE" w:rsidRPr="00C67BC5">
              <w:rPr>
                <w:rFonts w:eastAsia="標楷體" w:hint="eastAsia"/>
              </w:rPr>
              <w:t>各</w:t>
            </w:r>
            <w:r w:rsidRPr="00C67BC5">
              <w:rPr>
                <w:rFonts w:eastAsia="標楷體" w:hint="eastAsia"/>
              </w:rPr>
              <w:t>款屬性標準：</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jc w:val="both"/>
              <w:rPr>
                <w:rFonts w:eastAsia="標楷體"/>
                <w:color w:val="000000"/>
              </w:rPr>
            </w:pPr>
          </w:p>
        </w:tc>
        <w:tc>
          <w:tcPr>
            <w:tcW w:w="623" w:type="dxa"/>
          </w:tcPr>
          <w:p w:rsidR="00E55016" w:rsidRPr="0085048F" w:rsidRDefault="00E55016">
            <w:pPr>
              <w:spacing w:before="120" w:after="120" w:line="240" w:lineRule="exact"/>
              <w:ind w:left="-28" w:right="-28"/>
              <w:jc w:val="both"/>
              <w:rPr>
                <w:rFonts w:eastAsia="標楷體"/>
                <w:color w:val="000000"/>
              </w:rPr>
            </w:pPr>
          </w:p>
        </w:tc>
        <w:tc>
          <w:tcPr>
            <w:tcW w:w="2017" w:type="dxa"/>
          </w:tcPr>
          <w:p w:rsidR="00E55016" w:rsidRPr="0085048F" w:rsidRDefault="00E55016">
            <w:pPr>
              <w:spacing w:before="120" w:after="120" w:line="240" w:lineRule="exact"/>
              <w:ind w:left="-28" w:right="-28"/>
              <w:jc w:val="both"/>
              <w:rPr>
                <w:rFonts w:eastAsia="標楷體"/>
                <w:color w:val="000000"/>
              </w:rPr>
            </w:pPr>
          </w:p>
        </w:tc>
      </w:tr>
      <w:tr w:rsidR="00E55016" w:rsidRPr="0085048F" w:rsidTr="004F72AE">
        <w:trPr>
          <w:cantSplit/>
        </w:trPr>
        <w:tc>
          <w:tcPr>
            <w:tcW w:w="6388" w:type="dxa"/>
          </w:tcPr>
          <w:p w:rsidR="00E55016" w:rsidRPr="00C67BC5" w:rsidRDefault="00E55016" w:rsidP="009F41D6">
            <w:pPr>
              <w:spacing w:before="120" w:after="120" w:line="240" w:lineRule="exact"/>
              <w:ind w:left="480" w:hangingChars="200" w:hanging="480"/>
              <w:jc w:val="both"/>
              <w:rPr>
                <w:rFonts w:eastAsia="標楷體"/>
                <w:color w:val="000000"/>
              </w:rPr>
            </w:pPr>
            <w:r w:rsidRPr="00C67BC5">
              <w:rPr>
                <w:rFonts w:eastAsia="標楷體" w:hint="eastAsia"/>
                <w:color w:val="000000"/>
              </w:rPr>
              <w:t xml:space="preserve">  1.</w:t>
            </w:r>
            <w:r w:rsidRPr="00C67BC5">
              <w:rPr>
                <w:rFonts w:eastAsia="標楷體" w:hint="eastAsia"/>
                <w:color w:val="000000"/>
              </w:rPr>
              <w:t>指數成分之分散性：占該指數市值比重最高者，所占之比重不得高於</w:t>
            </w:r>
            <w:r w:rsidRPr="00C67BC5">
              <w:rPr>
                <w:rFonts w:eastAsia="標楷體"/>
                <w:color w:val="000000"/>
              </w:rPr>
              <w:t>30%</w:t>
            </w:r>
            <w:r w:rsidRPr="00C67BC5">
              <w:rPr>
                <w:rFonts w:eastAsia="標楷體" w:hint="eastAsia"/>
                <w:color w:val="000000"/>
              </w:rPr>
              <w:t>，且累計前五大成分之市值，占該指數之比重不得超過</w:t>
            </w:r>
            <w:r w:rsidRPr="00C67BC5">
              <w:rPr>
                <w:rFonts w:eastAsia="標楷體"/>
                <w:color w:val="000000"/>
              </w:rPr>
              <w:t>65%</w:t>
            </w:r>
            <w:r w:rsidRPr="00C67BC5">
              <w:rPr>
                <w:rFonts w:eastAsia="標楷體" w:hint="eastAsia"/>
                <w:color w:val="000000"/>
              </w:rPr>
              <w:t>。但</w:t>
            </w:r>
            <w:r w:rsidR="00EC42D6" w:rsidRPr="00C67BC5">
              <w:rPr>
                <w:rFonts w:eastAsia="標楷體" w:hint="eastAsia"/>
                <w:color w:val="000000"/>
              </w:rPr>
              <w:t>基金投資因標的指數之特性，而有期貨信託基金管理辦法第十條之一第三</w:t>
            </w:r>
            <w:r w:rsidRPr="00C67BC5">
              <w:rPr>
                <w:rFonts w:eastAsia="標楷體" w:hint="eastAsia"/>
                <w:color w:val="000000"/>
              </w:rPr>
              <w:t>項第三款情形者，不在此限。</w:t>
            </w:r>
          </w:p>
        </w:tc>
        <w:tc>
          <w:tcPr>
            <w:tcW w:w="722" w:type="dxa"/>
          </w:tcPr>
          <w:p w:rsidR="00E55016" w:rsidRPr="0085048F" w:rsidRDefault="00E55016" w:rsidP="0096165C">
            <w:pPr>
              <w:spacing w:before="120" w:after="120" w:line="240" w:lineRule="exact"/>
              <w:jc w:val="center"/>
              <w:rPr>
                <w:rFonts w:eastAsia="標楷體"/>
                <w:color w:val="000000"/>
              </w:rPr>
            </w:pPr>
          </w:p>
        </w:tc>
        <w:tc>
          <w:tcPr>
            <w:tcW w:w="720" w:type="dxa"/>
          </w:tcPr>
          <w:p w:rsidR="00E55016" w:rsidRPr="0085048F" w:rsidRDefault="00E55016" w:rsidP="0096165C">
            <w:pPr>
              <w:spacing w:before="120" w:after="120" w:line="240" w:lineRule="exact"/>
              <w:jc w:val="center"/>
              <w:rPr>
                <w:rFonts w:eastAsia="標楷體"/>
                <w:color w:val="000000"/>
              </w:rPr>
            </w:pPr>
          </w:p>
        </w:tc>
        <w:tc>
          <w:tcPr>
            <w:tcW w:w="842" w:type="dxa"/>
          </w:tcPr>
          <w:p w:rsidR="00E55016" w:rsidRPr="0085048F" w:rsidRDefault="00E55016" w:rsidP="0096165C">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both"/>
              <w:rPr>
                <w:rFonts w:eastAsia="標楷體"/>
                <w:color w:val="000000"/>
              </w:rPr>
            </w:pPr>
          </w:p>
        </w:tc>
        <w:tc>
          <w:tcPr>
            <w:tcW w:w="623" w:type="dxa"/>
          </w:tcPr>
          <w:p w:rsidR="00E55016" w:rsidRPr="0085048F" w:rsidRDefault="00E55016">
            <w:pPr>
              <w:spacing w:before="120" w:after="120" w:line="240" w:lineRule="exact"/>
              <w:ind w:left="-28"/>
              <w:jc w:val="both"/>
              <w:rPr>
                <w:rFonts w:eastAsia="標楷體"/>
                <w:color w:val="000000"/>
              </w:rPr>
            </w:pPr>
          </w:p>
        </w:tc>
        <w:tc>
          <w:tcPr>
            <w:tcW w:w="2017" w:type="dxa"/>
          </w:tcPr>
          <w:p w:rsidR="00E55016" w:rsidRPr="0085048F" w:rsidRDefault="00E55016">
            <w:pPr>
              <w:spacing w:before="120" w:after="120" w:line="240" w:lineRule="exact"/>
              <w:ind w:left="-28"/>
              <w:jc w:val="both"/>
              <w:rPr>
                <w:rFonts w:eastAsia="標楷體"/>
                <w:color w:val="000000"/>
              </w:rPr>
            </w:pPr>
          </w:p>
        </w:tc>
      </w:tr>
      <w:tr w:rsidR="00E55016" w:rsidRPr="0085048F" w:rsidTr="004F72AE">
        <w:trPr>
          <w:cantSplit/>
        </w:trPr>
        <w:tc>
          <w:tcPr>
            <w:tcW w:w="6388" w:type="dxa"/>
          </w:tcPr>
          <w:p w:rsidR="00E55016" w:rsidRPr="00C67BC5" w:rsidRDefault="00E55016" w:rsidP="003B77BF">
            <w:pPr>
              <w:spacing w:before="120" w:after="120"/>
              <w:jc w:val="both"/>
              <w:rPr>
                <w:rFonts w:eastAsia="標楷體"/>
                <w:color w:val="000000"/>
              </w:rPr>
            </w:pPr>
            <w:r w:rsidRPr="00C67BC5">
              <w:rPr>
                <w:rFonts w:eastAsia="標楷體" w:hint="eastAsia"/>
                <w:color w:val="000000"/>
              </w:rPr>
              <w:t xml:space="preserve">  2.</w:t>
            </w:r>
            <w:r w:rsidRPr="00C67BC5">
              <w:rPr>
                <w:rFonts w:eastAsia="標楷體" w:hint="eastAsia"/>
                <w:color w:val="000000"/>
              </w:rPr>
              <w:t>指數成分之流動性：</w:t>
            </w:r>
          </w:p>
        </w:tc>
        <w:tc>
          <w:tcPr>
            <w:tcW w:w="722" w:type="dxa"/>
          </w:tcPr>
          <w:p w:rsidR="00E55016" w:rsidRPr="0085048F" w:rsidRDefault="00E55016">
            <w:pPr>
              <w:spacing w:before="120" w:after="120" w:line="240" w:lineRule="exact"/>
              <w:jc w:val="center"/>
              <w:rPr>
                <w:rFonts w:eastAsia="標楷體"/>
                <w:color w:val="000000"/>
              </w:rPr>
            </w:pPr>
          </w:p>
        </w:tc>
        <w:tc>
          <w:tcPr>
            <w:tcW w:w="720" w:type="dxa"/>
          </w:tcPr>
          <w:p w:rsidR="00E55016" w:rsidRPr="0085048F" w:rsidRDefault="00E55016" w:rsidP="0096165C">
            <w:pPr>
              <w:pStyle w:val="a3"/>
              <w:spacing w:before="120" w:after="120"/>
              <w:jc w:val="center"/>
              <w:rPr>
                <w:rFonts w:eastAsia="標楷體"/>
                <w:color w:val="000000"/>
              </w:rPr>
            </w:pPr>
          </w:p>
        </w:tc>
        <w:tc>
          <w:tcPr>
            <w:tcW w:w="842" w:type="dxa"/>
          </w:tcPr>
          <w:p w:rsidR="00E55016" w:rsidRPr="0085048F" w:rsidRDefault="00E55016">
            <w:pPr>
              <w:spacing w:before="120" w:after="120" w:line="240" w:lineRule="exact"/>
              <w:jc w:val="center"/>
              <w:rPr>
                <w:rFonts w:eastAsia="標楷體"/>
                <w:color w:val="000000"/>
              </w:rPr>
            </w:pPr>
          </w:p>
        </w:tc>
        <w:tc>
          <w:tcPr>
            <w:tcW w:w="2640" w:type="dxa"/>
          </w:tcPr>
          <w:p w:rsidR="00E55016" w:rsidRPr="0085048F" w:rsidRDefault="00E55016">
            <w:pPr>
              <w:spacing w:before="120" w:after="120" w:line="240" w:lineRule="exact"/>
              <w:ind w:right="84"/>
              <w:jc w:val="center"/>
              <w:rPr>
                <w:rFonts w:eastAsia="標楷體"/>
                <w:color w:val="000000"/>
              </w:rPr>
            </w:pPr>
          </w:p>
        </w:tc>
        <w:tc>
          <w:tcPr>
            <w:tcW w:w="623" w:type="dxa"/>
          </w:tcPr>
          <w:p w:rsidR="00E55016" w:rsidRPr="0085048F" w:rsidRDefault="00E55016">
            <w:pPr>
              <w:spacing w:before="120" w:after="120" w:line="240" w:lineRule="exact"/>
              <w:jc w:val="both"/>
              <w:rPr>
                <w:rFonts w:eastAsia="標楷體"/>
                <w:color w:val="000000"/>
              </w:rPr>
            </w:pPr>
          </w:p>
        </w:tc>
        <w:tc>
          <w:tcPr>
            <w:tcW w:w="2017" w:type="dxa"/>
          </w:tcPr>
          <w:p w:rsidR="00E55016" w:rsidRPr="0085048F" w:rsidRDefault="00E55016">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C67BC5" w:rsidRDefault="004F72AE" w:rsidP="004F72AE">
            <w:pPr>
              <w:spacing w:before="120" w:after="120"/>
              <w:ind w:left="422" w:hangingChars="176" w:hanging="422"/>
              <w:jc w:val="both"/>
              <w:rPr>
                <w:rFonts w:eastAsia="標楷體"/>
                <w:color w:val="000000"/>
              </w:rPr>
            </w:pPr>
            <w:r w:rsidRPr="00C67BC5">
              <w:rPr>
                <w:rFonts w:eastAsia="標楷體" w:hint="eastAsia"/>
                <w:color w:val="000000"/>
              </w:rPr>
              <w:t xml:space="preserve">  3.</w:t>
            </w:r>
            <w:r w:rsidRPr="00C67BC5">
              <w:rPr>
                <w:rFonts w:eastAsia="標楷體" w:hint="eastAsia"/>
                <w:color w:val="000000"/>
              </w:rPr>
              <w:t>指數成分同時包括股票及債券者，應於指數名稱標明平衡字樣，其指數編製規則應訂定固定之股票及債券配置比例，或訂定指標條件及各指標條件下適用之股票及債券配置比例。</w:t>
            </w:r>
            <w:bookmarkStart w:id="0" w:name="_GoBack"/>
            <w:bookmarkEnd w:id="0"/>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pStyle w:val="a3"/>
              <w:spacing w:before="120" w:after="120"/>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4F72AE">
            <w:pPr>
              <w:spacing w:before="120" w:after="120" w:line="240" w:lineRule="exact"/>
              <w:ind w:right="84"/>
              <w:jc w:val="center"/>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Height w:val="620"/>
        </w:trPr>
        <w:tc>
          <w:tcPr>
            <w:tcW w:w="6388" w:type="dxa"/>
          </w:tcPr>
          <w:p w:rsidR="004F72AE" w:rsidRPr="003B77BF" w:rsidRDefault="004F72AE" w:rsidP="004F72AE">
            <w:pPr>
              <w:spacing w:before="120" w:after="120" w:line="240" w:lineRule="exact"/>
              <w:jc w:val="both"/>
              <w:rPr>
                <w:rFonts w:eastAsia="標楷體"/>
                <w:b/>
                <w:color w:val="000000"/>
              </w:rPr>
            </w:pPr>
            <w:r>
              <w:rPr>
                <w:rFonts w:eastAsia="標楷體" w:hint="eastAsia"/>
                <w:b/>
                <w:color w:val="000000"/>
              </w:rPr>
              <w:t>四</w:t>
            </w:r>
            <w:r w:rsidRPr="003B77BF">
              <w:rPr>
                <w:rFonts w:eastAsia="標楷體" w:hint="eastAsia"/>
                <w:b/>
                <w:color w:val="000000"/>
              </w:rPr>
              <w:t>、標的指數</w:t>
            </w:r>
            <w:r>
              <w:rPr>
                <w:rFonts w:eastAsia="標楷體" w:hint="eastAsia"/>
                <w:b/>
                <w:color w:val="000000"/>
              </w:rPr>
              <w:t>資訊揭露</w:t>
            </w:r>
            <w:r w:rsidRPr="003B77BF">
              <w:rPr>
                <w:rFonts w:eastAsia="標楷體" w:hint="eastAsia"/>
                <w:b/>
                <w:color w:val="000000"/>
              </w:rPr>
              <w:t>：</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4F72AE">
            <w:pPr>
              <w:spacing w:before="120" w:after="120" w:line="240" w:lineRule="exact"/>
              <w:ind w:right="84"/>
              <w:jc w:val="both"/>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85048F" w:rsidRDefault="004F72AE" w:rsidP="004F72AE">
            <w:pPr>
              <w:spacing w:before="120" w:after="120" w:line="240" w:lineRule="exact"/>
              <w:ind w:left="425" w:hangingChars="177" w:hanging="425"/>
              <w:jc w:val="both"/>
              <w:rPr>
                <w:rFonts w:eastAsia="標楷體"/>
                <w:color w:val="000000"/>
              </w:rPr>
            </w:pPr>
            <w:r>
              <w:rPr>
                <w:rFonts w:eastAsia="標楷體" w:hint="eastAsia"/>
                <w:color w:val="000000"/>
              </w:rPr>
              <w:t xml:space="preserve">  1.</w:t>
            </w:r>
            <w:r>
              <w:rPr>
                <w:rFonts w:eastAsia="標楷體" w:hint="eastAsia"/>
                <w:color w:val="000000"/>
              </w:rPr>
              <w:t>檢附標的指數詳細之計算方法與依據，以及標的指數成分的採納及替換原則。</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4F72AE">
            <w:pPr>
              <w:spacing w:before="120" w:after="120" w:line="240" w:lineRule="exact"/>
              <w:ind w:right="84"/>
              <w:jc w:val="both"/>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Pr>
        <w:tc>
          <w:tcPr>
            <w:tcW w:w="6388" w:type="dxa"/>
          </w:tcPr>
          <w:p w:rsidR="004F72AE" w:rsidRPr="0085048F" w:rsidRDefault="004F72AE" w:rsidP="004F72AE">
            <w:pPr>
              <w:spacing w:before="120" w:after="120" w:line="240" w:lineRule="exact"/>
              <w:ind w:left="720" w:hanging="720"/>
              <w:jc w:val="both"/>
              <w:rPr>
                <w:rFonts w:eastAsia="標楷體"/>
                <w:color w:val="000000"/>
              </w:rPr>
            </w:pPr>
            <w:r>
              <w:rPr>
                <w:rFonts w:eastAsia="標楷體" w:hint="eastAsia"/>
                <w:color w:val="000000"/>
              </w:rPr>
              <w:t xml:space="preserve">  2.</w:t>
            </w:r>
            <w:r>
              <w:rPr>
                <w:rFonts w:eastAsia="標楷體" w:hint="eastAsia"/>
                <w:color w:val="000000"/>
              </w:rPr>
              <w:t>檢附標的指數最近至少一年以上之歷史資料。</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4F72AE">
            <w:pPr>
              <w:spacing w:before="120" w:after="120" w:line="240" w:lineRule="exact"/>
              <w:ind w:right="84"/>
              <w:jc w:val="both"/>
              <w:rPr>
                <w:rFonts w:eastAsia="標楷體"/>
                <w:color w:val="000000"/>
              </w:rPr>
            </w:pPr>
          </w:p>
        </w:tc>
        <w:tc>
          <w:tcPr>
            <w:tcW w:w="623" w:type="dxa"/>
          </w:tcPr>
          <w:p w:rsidR="004F72AE" w:rsidRPr="0085048F" w:rsidRDefault="004F72AE" w:rsidP="004F72AE">
            <w:pPr>
              <w:spacing w:before="120" w:after="120" w:line="240" w:lineRule="exact"/>
              <w:jc w:val="both"/>
              <w:rPr>
                <w:rFonts w:eastAsia="標楷體"/>
                <w:color w:val="000000"/>
              </w:rPr>
            </w:pPr>
          </w:p>
        </w:tc>
        <w:tc>
          <w:tcPr>
            <w:tcW w:w="2017" w:type="dxa"/>
          </w:tcPr>
          <w:p w:rsidR="004F72AE" w:rsidRPr="0085048F" w:rsidRDefault="004F72AE" w:rsidP="004F72AE">
            <w:pPr>
              <w:spacing w:before="120" w:after="120" w:line="240" w:lineRule="exact"/>
              <w:jc w:val="both"/>
              <w:rPr>
                <w:rFonts w:eastAsia="標楷體"/>
                <w:color w:val="000000"/>
              </w:rPr>
            </w:pPr>
          </w:p>
        </w:tc>
      </w:tr>
      <w:tr w:rsidR="004F72AE" w:rsidRPr="0085048F" w:rsidTr="004F72AE">
        <w:trPr>
          <w:cantSplit/>
          <w:trHeight w:val="608"/>
        </w:trPr>
        <w:tc>
          <w:tcPr>
            <w:tcW w:w="6388" w:type="dxa"/>
          </w:tcPr>
          <w:p w:rsidR="004F72AE" w:rsidRPr="0085048F" w:rsidRDefault="004F72AE" w:rsidP="004F72AE">
            <w:pPr>
              <w:spacing w:before="120" w:after="120" w:line="240" w:lineRule="exact"/>
              <w:ind w:left="426" w:hanging="426"/>
              <w:jc w:val="both"/>
              <w:rPr>
                <w:rFonts w:eastAsia="標楷體"/>
                <w:color w:val="000000"/>
              </w:rPr>
            </w:pPr>
            <w:r>
              <w:rPr>
                <w:rFonts w:eastAsia="標楷體" w:hint="eastAsia"/>
                <w:color w:val="000000"/>
              </w:rPr>
              <w:t xml:space="preserve">  3.</w:t>
            </w:r>
            <w:r>
              <w:rPr>
                <w:rFonts w:eastAsia="標楷體" w:hint="eastAsia"/>
                <w:color w:val="000000"/>
              </w:rPr>
              <w:t>說明所有可供我國投資人取得該指數相關資訊之管道，以及相關資訊之內容。</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center"/>
              <w:rPr>
                <w:rFonts w:eastAsia="標楷體"/>
                <w:color w:val="000000"/>
              </w:rPr>
            </w:pPr>
          </w:p>
        </w:tc>
        <w:tc>
          <w:tcPr>
            <w:tcW w:w="842" w:type="dxa"/>
          </w:tcPr>
          <w:p w:rsidR="004F72AE" w:rsidRPr="0085048F" w:rsidRDefault="004F72AE" w:rsidP="004F72AE">
            <w:pPr>
              <w:spacing w:before="120" w:after="120" w:line="240" w:lineRule="exact"/>
              <w:jc w:val="center"/>
              <w:rPr>
                <w:rFonts w:eastAsia="標楷體"/>
                <w:color w:val="000000"/>
              </w:rPr>
            </w:pPr>
          </w:p>
        </w:tc>
        <w:tc>
          <w:tcPr>
            <w:tcW w:w="2640" w:type="dxa"/>
          </w:tcPr>
          <w:p w:rsidR="004F72AE" w:rsidRPr="0085048F" w:rsidRDefault="004F72AE" w:rsidP="004F72AE">
            <w:pPr>
              <w:spacing w:before="120" w:after="120" w:line="240" w:lineRule="exact"/>
              <w:jc w:val="both"/>
              <w:rPr>
                <w:rFonts w:eastAsia="標楷體"/>
                <w:color w:val="000000"/>
              </w:rPr>
            </w:pPr>
          </w:p>
        </w:tc>
        <w:tc>
          <w:tcPr>
            <w:tcW w:w="623" w:type="dxa"/>
          </w:tcPr>
          <w:p w:rsidR="004F72AE" w:rsidRPr="0085048F" w:rsidRDefault="004F72AE" w:rsidP="004F72AE">
            <w:pPr>
              <w:spacing w:before="120" w:after="120" w:line="240" w:lineRule="exact"/>
              <w:ind w:left="-28"/>
              <w:jc w:val="both"/>
              <w:rPr>
                <w:rFonts w:eastAsia="標楷體"/>
                <w:color w:val="000000"/>
              </w:rPr>
            </w:pPr>
          </w:p>
        </w:tc>
        <w:tc>
          <w:tcPr>
            <w:tcW w:w="2017" w:type="dxa"/>
          </w:tcPr>
          <w:p w:rsidR="004F72AE" w:rsidRPr="0085048F" w:rsidRDefault="004F72AE" w:rsidP="004F72AE">
            <w:pPr>
              <w:spacing w:before="120" w:after="120" w:line="240" w:lineRule="exact"/>
              <w:ind w:left="-28"/>
              <w:jc w:val="both"/>
              <w:rPr>
                <w:rFonts w:eastAsia="標楷體"/>
                <w:color w:val="000000"/>
              </w:rPr>
            </w:pPr>
          </w:p>
        </w:tc>
      </w:tr>
      <w:tr w:rsidR="004F72AE" w:rsidRPr="0085048F" w:rsidTr="004F72AE">
        <w:trPr>
          <w:cantSplit/>
          <w:trHeight w:val="608"/>
        </w:trPr>
        <w:tc>
          <w:tcPr>
            <w:tcW w:w="6388" w:type="dxa"/>
          </w:tcPr>
          <w:p w:rsidR="004F72AE" w:rsidRPr="009C1132" w:rsidRDefault="004F72AE" w:rsidP="004F72AE">
            <w:pPr>
              <w:spacing w:before="120" w:after="120" w:line="240" w:lineRule="exact"/>
              <w:ind w:left="426" w:hanging="426"/>
              <w:jc w:val="both"/>
              <w:rPr>
                <w:rFonts w:eastAsia="標楷體"/>
                <w:b/>
                <w:color w:val="000000"/>
              </w:rPr>
            </w:pPr>
            <w:r w:rsidRPr="009C1132">
              <w:rPr>
                <w:rFonts w:eastAsia="標楷體" w:hint="eastAsia"/>
                <w:b/>
                <w:color w:val="000000"/>
              </w:rPr>
              <w:t>五、申請表附件資料檢具完備</w:t>
            </w:r>
          </w:p>
        </w:tc>
        <w:tc>
          <w:tcPr>
            <w:tcW w:w="722" w:type="dxa"/>
          </w:tcPr>
          <w:p w:rsidR="004F72AE" w:rsidRPr="0085048F" w:rsidRDefault="004F72AE" w:rsidP="004F72AE">
            <w:pPr>
              <w:spacing w:before="120" w:after="120" w:line="240" w:lineRule="exact"/>
              <w:jc w:val="center"/>
              <w:rPr>
                <w:rFonts w:eastAsia="標楷體"/>
                <w:color w:val="000000"/>
              </w:rPr>
            </w:pPr>
          </w:p>
        </w:tc>
        <w:tc>
          <w:tcPr>
            <w:tcW w:w="720" w:type="dxa"/>
          </w:tcPr>
          <w:p w:rsidR="004F72AE" w:rsidRPr="0085048F" w:rsidRDefault="004F72AE" w:rsidP="004F72AE">
            <w:pPr>
              <w:spacing w:before="120" w:after="120" w:line="240" w:lineRule="exact"/>
              <w:jc w:val="both"/>
              <w:rPr>
                <w:rFonts w:eastAsia="標楷體"/>
                <w:color w:val="000000"/>
              </w:rPr>
            </w:pPr>
          </w:p>
        </w:tc>
        <w:tc>
          <w:tcPr>
            <w:tcW w:w="842" w:type="dxa"/>
          </w:tcPr>
          <w:p w:rsidR="004F72AE" w:rsidRPr="0085048F" w:rsidRDefault="004F72AE" w:rsidP="004F72AE">
            <w:pPr>
              <w:spacing w:before="120" w:after="120" w:line="240" w:lineRule="exact"/>
              <w:jc w:val="both"/>
              <w:rPr>
                <w:rFonts w:eastAsia="標楷體"/>
                <w:color w:val="000000"/>
              </w:rPr>
            </w:pPr>
          </w:p>
        </w:tc>
        <w:tc>
          <w:tcPr>
            <w:tcW w:w="2640" w:type="dxa"/>
          </w:tcPr>
          <w:p w:rsidR="004F72AE" w:rsidRPr="0085048F" w:rsidRDefault="004F72AE" w:rsidP="004F72AE">
            <w:pPr>
              <w:spacing w:before="120" w:after="120" w:line="240" w:lineRule="exact"/>
              <w:jc w:val="both"/>
              <w:rPr>
                <w:rFonts w:eastAsia="標楷體"/>
                <w:color w:val="000000"/>
              </w:rPr>
            </w:pPr>
          </w:p>
        </w:tc>
        <w:tc>
          <w:tcPr>
            <w:tcW w:w="623" w:type="dxa"/>
          </w:tcPr>
          <w:p w:rsidR="004F72AE" w:rsidRPr="0085048F" w:rsidRDefault="004F72AE" w:rsidP="004F72AE">
            <w:pPr>
              <w:spacing w:before="120" w:after="120" w:line="240" w:lineRule="exact"/>
              <w:ind w:left="-28"/>
              <w:jc w:val="both"/>
              <w:rPr>
                <w:rFonts w:eastAsia="標楷體"/>
                <w:color w:val="000000"/>
              </w:rPr>
            </w:pPr>
          </w:p>
        </w:tc>
        <w:tc>
          <w:tcPr>
            <w:tcW w:w="2017" w:type="dxa"/>
          </w:tcPr>
          <w:p w:rsidR="004F72AE" w:rsidRPr="0085048F" w:rsidRDefault="004F72AE" w:rsidP="004F72AE">
            <w:pPr>
              <w:spacing w:before="120" w:after="120" w:line="240" w:lineRule="exact"/>
              <w:ind w:left="-28"/>
              <w:jc w:val="both"/>
              <w:rPr>
                <w:rFonts w:eastAsia="標楷體"/>
                <w:color w:val="000000"/>
              </w:rPr>
            </w:pPr>
          </w:p>
        </w:tc>
      </w:tr>
    </w:tbl>
    <w:p w:rsidR="00E371A1" w:rsidRPr="0085048F" w:rsidRDefault="00E371A1">
      <w:pPr>
        <w:rPr>
          <w:rFonts w:eastAsia="標楷體"/>
          <w:color w:val="000000"/>
        </w:rPr>
      </w:pPr>
      <w:r w:rsidRPr="0085048F">
        <w:rPr>
          <w:rFonts w:eastAsia="標楷體" w:hint="eastAsia"/>
          <w:color w:val="000000"/>
        </w:rPr>
        <w:t>製表</w:t>
      </w:r>
      <w:r w:rsidR="003D007D">
        <w:rPr>
          <w:rFonts w:eastAsia="標楷體" w:hint="eastAsia"/>
          <w:color w:val="000000"/>
        </w:rPr>
        <w:t>：</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008517D4">
        <w:rPr>
          <w:rFonts w:eastAsia="標楷體" w:hint="eastAsia"/>
          <w:color w:val="000000"/>
        </w:rPr>
        <w:t xml:space="preserve">                           </w:t>
      </w:r>
      <w:r w:rsidRPr="0085048F">
        <w:rPr>
          <w:rFonts w:eastAsia="標楷體" w:hint="eastAsia"/>
          <w:color w:val="000000"/>
        </w:rPr>
        <w:tab/>
      </w:r>
      <w:r w:rsidR="009C1132">
        <w:rPr>
          <w:rFonts w:eastAsia="標楷體" w:hint="eastAsia"/>
          <w:color w:val="000000"/>
        </w:rPr>
        <w:t>法令遵循</w:t>
      </w:r>
      <w:r w:rsidRPr="0085048F">
        <w:rPr>
          <w:rFonts w:eastAsia="標楷體" w:hint="eastAsia"/>
          <w:color w:val="000000"/>
        </w:rPr>
        <w:t>主管</w:t>
      </w:r>
      <w:r w:rsidR="003D007D">
        <w:rPr>
          <w:rFonts w:eastAsia="標楷體" w:hint="eastAsia"/>
          <w:color w:val="000000"/>
        </w:rPr>
        <w:t>：</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p>
    <w:p w:rsidR="008517D4" w:rsidRDefault="008517D4">
      <w:pPr>
        <w:rPr>
          <w:rFonts w:eastAsia="標楷體"/>
          <w:color w:val="000000"/>
        </w:rPr>
      </w:pPr>
    </w:p>
    <w:p w:rsidR="00074355" w:rsidRPr="0085048F" w:rsidRDefault="008517D4" w:rsidP="004F72AE">
      <w:pPr>
        <w:rPr>
          <w:rFonts w:eastAsia="標楷體"/>
          <w:color w:val="000000"/>
        </w:rPr>
      </w:pPr>
      <w:r>
        <w:rPr>
          <w:rFonts w:eastAsia="標楷體" w:hint="eastAsia"/>
          <w:color w:val="000000"/>
        </w:rPr>
        <w:t>(</w:t>
      </w:r>
      <w:r w:rsidR="00074355">
        <w:rPr>
          <w:rFonts w:eastAsia="標楷體" w:hint="eastAsia"/>
          <w:color w:val="000000"/>
        </w:rPr>
        <w:t>申請</w:t>
      </w:r>
      <w:r>
        <w:rPr>
          <w:rFonts w:eastAsia="標楷體" w:hint="eastAsia"/>
          <w:color w:val="000000"/>
        </w:rPr>
        <w:t>公司章</w:t>
      </w:r>
      <w:r>
        <w:rPr>
          <w:rFonts w:eastAsia="標楷體" w:hint="eastAsia"/>
          <w:color w:val="000000"/>
        </w:rPr>
        <w:t>)</w:t>
      </w:r>
      <w:r w:rsidRPr="0085048F">
        <w:rPr>
          <w:rFonts w:eastAsia="標楷體" w:hint="eastAsia"/>
          <w:color w:val="000000"/>
        </w:rPr>
        <w:tab/>
      </w:r>
    </w:p>
    <w:sectPr w:rsidR="00074355" w:rsidRPr="0085048F" w:rsidSect="0093081B">
      <w:footerReference w:type="even" r:id="rId8"/>
      <w:footerReference w:type="default" r:id="rId9"/>
      <w:pgSz w:w="16840" w:h="11907" w:orient="landscape" w:code="9"/>
      <w:pgMar w:top="720" w:right="1440"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D6" w:rsidRDefault="00EC42D6">
      <w:r>
        <w:separator/>
      </w:r>
    </w:p>
  </w:endnote>
  <w:endnote w:type="continuationSeparator" w:id="0">
    <w:p w:rsidR="00EC42D6" w:rsidRDefault="00E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6" w:rsidRDefault="00EC42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C42D6" w:rsidRDefault="00EC42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D6" w:rsidRDefault="00EC42D6">
    <w:pPr>
      <w:pStyle w:val="a5"/>
      <w:framePr w:w="558" w:wrap="around" w:vAnchor="text" w:hAnchor="margin" w:xAlign="center" w:y="-99"/>
      <w:jc w:val="right"/>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C67BC5">
      <w:rPr>
        <w:rStyle w:val="a6"/>
        <w:noProof/>
        <w:sz w:val="24"/>
        <w:szCs w:val="24"/>
      </w:rPr>
      <w:t>1</w:t>
    </w:r>
    <w:r>
      <w:rPr>
        <w:rStyle w:val="a6"/>
        <w:sz w:val="24"/>
        <w:szCs w:val="24"/>
      </w:rPr>
      <w:fldChar w:fldCharType="end"/>
    </w:r>
  </w:p>
  <w:p w:rsidR="00EC42D6" w:rsidRDefault="00EC42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D6" w:rsidRDefault="00EC42D6">
      <w:r>
        <w:separator/>
      </w:r>
    </w:p>
  </w:footnote>
  <w:footnote w:type="continuationSeparator" w:id="0">
    <w:p w:rsidR="00EC42D6" w:rsidRDefault="00E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8F2EC5C">
      <w:start w:val="1"/>
      <w:numFmt w:val="decimal"/>
      <w:lvlText w:val="(%1)"/>
      <w:lvlJc w:val="left"/>
      <w:pPr>
        <w:tabs>
          <w:tab w:val="num" w:pos="1560"/>
        </w:tabs>
        <w:ind w:left="1560" w:hanging="360"/>
      </w:pPr>
      <w:rPr>
        <w:rFonts w:hint="eastAsia"/>
      </w:rPr>
    </w:lvl>
    <w:lvl w:ilvl="1" w:tplc="4078A85C" w:tentative="1">
      <w:start w:val="1"/>
      <w:numFmt w:val="ideographTraditional"/>
      <w:lvlText w:val="%2、"/>
      <w:lvlJc w:val="left"/>
      <w:pPr>
        <w:tabs>
          <w:tab w:val="num" w:pos="2160"/>
        </w:tabs>
        <w:ind w:left="2160" w:hanging="480"/>
      </w:pPr>
    </w:lvl>
    <w:lvl w:ilvl="2" w:tplc="5D887E56" w:tentative="1">
      <w:start w:val="1"/>
      <w:numFmt w:val="lowerRoman"/>
      <w:lvlText w:val="%3."/>
      <w:lvlJc w:val="right"/>
      <w:pPr>
        <w:tabs>
          <w:tab w:val="num" w:pos="2640"/>
        </w:tabs>
        <w:ind w:left="2640" w:hanging="480"/>
      </w:pPr>
    </w:lvl>
    <w:lvl w:ilvl="3" w:tplc="0C2C7720" w:tentative="1">
      <w:start w:val="1"/>
      <w:numFmt w:val="decimal"/>
      <w:lvlText w:val="%4."/>
      <w:lvlJc w:val="left"/>
      <w:pPr>
        <w:tabs>
          <w:tab w:val="num" w:pos="3120"/>
        </w:tabs>
        <w:ind w:left="3120" w:hanging="480"/>
      </w:pPr>
    </w:lvl>
    <w:lvl w:ilvl="4" w:tplc="88F47094" w:tentative="1">
      <w:start w:val="1"/>
      <w:numFmt w:val="ideographTraditional"/>
      <w:lvlText w:val="%5、"/>
      <w:lvlJc w:val="left"/>
      <w:pPr>
        <w:tabs>
          <w:tab w:val="num" w:pos="3600"/>
        </w:tabs>
        <w:ind w:left="3600" w:hanging="480"/>
      </w:pPr>
    </w:lvl>
    <w:lvl w:ilvl="5" w:tplc="717E8826" w:tentative="1">
      <w:start w:val="1"/>
      <w:numFmt w:val="lowerRoman"/>
      <w:lvlText w:val="%6."/>
      <w:lvlJc w:val="right"/>
      <w:pPr>
        <w:tabs>
          <w:tab w:val="num" w:pos="4080"/>
        </w:tabs>
        <w:ind w:left="4080" w:hanging="480"/>
      </w:pPr>
    </w:lvl>
    <w:lvl w:ilvl="6" w:tplc="BD5AC95E" w:tentative="1">
      <w:start w:val="1"/>
      <w:numFmt w:val="decimal"/>
      <w:lvlText w:val="%7."/>
      <w:lvlJc w:val="left"/>
      <w:pPr>
        <w:tabs>
          <w:tab w:val="num" w:pos="4560"/>
        </w:tabs>
        <w:ind w:left="4560" w:hanging="480"/>
      </w:pPr>
    </w:lvl>
    <w:lvl w:ilvl="7" w:tplc="8EF860D6" w:tentative="1">
      <w:start w:val="1"/>
      <w:numFmt w:val="ideographTraditional"/>
      <w:lvlText w:val="%8、"/>
      <w:lvlJc w:val="left"/>
      <w:pPr>
        <w:tabs>
          <w:tab w:val="num" w:pos="5040"/>
        </w:tabs>
        <w:ind w:left="5040" w:hanging="480"/>
      </w:pPr>
    </w:lvl>
    <w:lvl w:ilvl="8" w:tplc="5F8842B6"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6"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8"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140E01C5"/>
    <w:multiLevelType w:val="hybridMultilevel"/>
    <w:tmpl w:val="8586019C"/>
    <w:lvl w:ilvl="0" w:tplc="5F280CDE">
      <w:start w:val="1"/>
      <w:numFmt w:val="decimal"/>
      <w:lvlText w:val="%1."/>
      <w:lvlJc w:val="left"/>
      <w:pPr>
        <w:tabs>
          <w:tab w:val="num" w:pos="960"/>
        </w:tabs>
        <w:ind w:left="960" w:hanging="360"/>
      </w:pPr>
      <w:rPr>
        <w:rFonts w:hint="eastAsia"/>
        <w:b w:val="0"/>
        <w:color w:val="auto"/>
        <w:u w:val="none"/>
      </w:rPr>
    </w:lvl>
    <w:lvl w:ilvl="1" w:tplc="F3B4FB04" w:tentative="1">
      <w:start w:val="1"/>
      <w:numFmt w:val="ideographTraditional"/>
      <w:lvlText w:val="%2、"/>
      <w:lvlJc w:val="left"/>
      <w:pPr>
        <w:tabs>
          <w:tab w:val="num" w:pos="1560"/>
        </w:tabs>
        <w:ind w:left="1560" w:hanging="480"/>
      </w:pPr>
    </w:lvl>
    <w:lvl w:ilvl="2" w:tplc="78C227FC" w:tentative="1">
      <w:start w:val="1"/>
      <w:numFmt w:val="lowerRoman"/>
      <w:lvlText w:val="%3."/>
      <w:lvlJc w:val="right"/>
      <w:pPr>
        <w:tabs>
          <w:tab w:val="num" w:pos="2040"/>
        </w:tabs>
        <w:ind w:left="2040" w:hanging="480"/>
      </w:pPr>
    </w:lvl>
    <w:lvl w:ilvl="3" w:tplc="707239B2" w:tentative="1">
      <w:start w:val="1"/>
      <w:numFmt w:val="decimal"/>
      <w:lvlText w:val="%4."/>
      <w:lvlJc w:val="left"/>
      <w:pPr>
        <w:tabs>
          <w:tab w:val="num" w:pos="2520"/>
        </w:tabs>
        <w:ind w:left="2520" w:hanging="480"/>
      </w:pPr>
    </w:lvl>
    <w:lvl w:ilvl="4" w:tplc="CFF4654E" w:tentative="1">
      <w:start w:val="1"/>
      <w:numFmt w:val="ideographTraditional"/>
      <w:lvlText w:val="%5、"/>
      <w:lvlJc w:val="left"/>
      <w:pPr>
        <w:tabs>
          <w:tab w:val="num" w:pos="3000"/>
        </w:tabs>
        <w:ind w:left="3000" w:hanging="480"/>
      </w:pPr>
    </w:lvl>
    <w:lvl w:ilvl="5" w:tplc="CDE41DC6" w:tentative="1">
      <w:start w:val="1"/>
      <w:numFmt w:val="lowerRoman"/>
      <w:lvlText w:val="%6."/>
      <w:lvlJc w:val="right"/>
      <w:pPr>
        <w:tabs>
          <w:tab w:val="num" w:pos="3480"/>
        </w:tabs>
        <w:ind w:left="3480" w:hanging="480"/>
      </w:pPr>
    </w:lvl>
    <w:lvl w:ilvl="6" w:tplc="93407A86" w:tentative="1">
      <w:start w:val="1"/>
      <w:numFmt w:val="decimal"/>
      <w:lvlText w:val="%7."/>
      <w:lvlJc w:val="left"/>
      <w:pPr>
        <w:tabs>
          <w:tab w:val="num" w:pos="3960"/>
        </w:tabs>
        <w:ind w:left="3960" w:hanging="480"/>
      </w:pPr>
    </w:lvl>
    <w:lvl w:ilvl="7" w:tplc="E85E090E" w:tentative="1">
      <w:start w:val="1"/>
      <w:numFmt w:val="ideographTraditional"/>
      <w:lvlText w:val="%8、"/>
      <w:lvlJc w:val="left"/>
      <w:pPr>
        <w:tabs>
          <w:tab w:val="num" w:pos="4440"/>
        </w:tabs>
        <w:ind w:left="4440" w:hanging="480"/>
      </w:pPr>
    </w:lvl>
    <w:lvl w:ilvl="8" w:tplc="9C4811E8" w:tentative="1">
      <w:start w:val="1"/>
      <w:numFmt w:val="lowerRoman"/>
      <w:lvlText w:val="%9."/>
      <w:lvlJc w:val="right"/>
      <w:pPr>
        <w:tabs>
          <w:tab w:val="num" w:pos="4920"/>
        </w:tabs>
        <w:ind w:left="4920" w:hanging="480"/>
      </w:pPr>
    </w:lvl>
  </w:abstractNum>
  <w:abstractNum w:abstractNumId="10"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1"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2"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3"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4"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5"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16" w15:restartNumberingAfterBreak="0">
    <w:nsid w:val="2EA06374"/>
    <w:multiLevelType w:val="hybridMultilevel"/>
    <w:tmpl w:val="59629BF8"/>
    <w:lvl w:ilvl="0" w:tplc="8B7EFA7A">
      <w:start w:val="1"/>
      <w:numFmt w:val="taiwaneseCountingThousand"/>
      <w:lvlText w:val="(%1)"/>
      <w:lvlJc w:val="left"/>
      <w:pPr>
        <w:tabs>
          <w:tab w:val="num" w:pos="720"/>
        </w:tabs>
        <w:ind w:left="720" w:hanging="360"/>
      </w:pPr>
      <w:rPr>
        <w:rFonts w:hint="eastAsia"/>
      </w:rPr>
    </w:lvl>
    <w:lvl w:ilvl="1" w:tplc="B55400F8" w:tentative="1">
      <w:start w:val="1"/>
      <w:numFmt w:val="ideographTraditional"/>
      <w:lvlText w:val="%2、"/>
      <w:lvlJc w:val="left"/>
      <w:pPr>
        <w:tabs>
          <w:tab w:val="num" w:pos="1320"/>
        </w:tabs>
        <w:ind w:left="1320" w:hanging="480"/>
      </w:pPr>
    </w:lvl>
    <w:lvl w:ilvl="2" w:tplc="65026846" w:tentative="1">
      <w:start w:val="1"/>
      <w:numFmt w:val="lowerRoman"/>
      <w:lvlText w:val="%3."/>
      <w:lvlJc w:val="right"/>
      <w:pPr>
        <w:tabs>
          <w:tab w:val="num" w:pos="1800"/>
        </w:tabs>
        <w:ind w:left="1800" w:hanging="480"/>
      </w:pPr>
    </w:lvl>
    <w:lvl w:ilvl="3" w:tplc="E2B494B2" w:tentative="1">
      <w:start w:val="1"/>
      <w:numFmt w:val="decimal"/>
      <w:lvlText w:val="%4."/>
      <w:lvlJc w:val="left"/>
      <w:pPr>
        <w:tabs>
          <w:tab w:val="num" w:pos="2280"/>
        </w:tabs>
        <w:ind w:left="2280" w:hanging="480"/>
      </w:pPr>
    </w:lvl>
    <w:lvl w:ilvl="4" w:tplc="D5E66986" w:tentative="1">
      <w:start w:val="1"/>
      <w:numFmt w:val="ideographTraditional"/>
      <w:lvlText w:val="%5、"/>
      <w:lvlJc w:val="left"/>
      <w:pPr>
        <w:tabs>
          <w:tab w:val="num" w:pos="2760"/>
        </w:tabs>
        <w:ind w:left="2760" w:hanging="480"/>
      </w:pPr>
    </w:lvl>
    <w:lvl w:ilvl="5" w:tplc="DA5474B6" w:tentative="1">
      <w:start w:val="1"/>
      <w:numFmt w:val="lowerRoman"/>
      <w:lvlText w:val="%6."/>
      <w:lvlJc w:val="right"/>
      <w:pPr>
        <w:tabs>
          <w:tab w:val="num" w:pos="3240"/>
        </w:tabs>
        <w:ind w:left="3240" w:hanging="480"/>
      </w:pPr>
    </w:lvl>
    <w:lvl w:ilvl="6" w:tplc="066A5D2E" w:tentative="1">
      <w:start w:val="1"/>
      <w:numFmt w:val="decimal"/>
      <w:lvlText w:val="%7."/>
      <w:lvlJc w:val="left"/>
      <w:pPr>
        <w:tabs>
          <w:tab w:val="num" w:pos="3720"/>
        </w:tabs>
        <w:ind w:left="3720" w:hanging="480"/>
      </w:pPr>
    </w:lvl>
    <w:lvl w:ilvl="7" w:tplc="4C2C8FA8" w:tentative="1">
      <w:start w:val="1"/>
      <w:numFmt w:val="ideographTraditional"/>
      <w:lvlText w:val="%8、"/>
      <w:lvlJc w:val="left"/>
      <w:pPr>
        <w:tabs>
          <w:tab w:val="num" w:pos="4200"/>
        </w:tabs>
        <w:ind w:left="4200" w:hanging="480"/>
      </w:pPr>
    </w:lvl>
    <w:lvl w:ilvl="8" w:tplc="909898FA" w:tentative="1">
      <w:start w:val="1"/>
      <w:numFmt w:val="lowerRoman"/>
      <w:lvlText w:val="%9."/>
      <w:lvlJc w:val="right"/>
      <w:pPr>
        <w:tabs>
          <w:tab w:val="num" w:pos="4680"/>
        </w:tabs>
        <w:ind w:left="4680" w:hanging="480"/>
      </w:pPr>
    </w:lvl>
  </w:abstractNum>
  <w:abstractNum w:abstractNumId="17"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BB3922"/>
    <w:multiLevelType w:val="hybridMultilevel"/>
    <w:tmpl w:val="E71E2B78"/>
    <w:lvl w:ilvl="0" w:tplc="3440F158">
      <w:start w:val="1"/>
      <w:numFmt w:val="decimal"/>
      <w:lvlText w:val="%1."/>
      <w:lvlJc w:val="left"/>
      <w:pPr>
        <w:tabs>
          <w:tab w:val="num" w:pos="1564"/>
        </w:tabs>
        <w:ind w:left="1564" w:hanging="360"/>
      </w:pPr>
      <w:rPr>
        <w:rFonts w:hint="eastAsia"/>
      </w:rPr>
    </w:lvl>
    <w:lvl w:ilvl="1" w:tplc="7F101BD0" w:tentative="1">
      <w:start w:val="1"/>
      <w:numFmt w:val="ideographTraditional"/>
      <w:lvlText w:val="%2、"/>
      <w:lvlJc w:val="left"/>
      <w:pPr>
        <w:tabs>
          <w:tab w:val="num" w:pos="2164"/>
        </w:tabs>
        <w:ind w:left="2164" w:hanging="480"/>
      </w:pPr>
    </w:lvl>
    <w:lvl w:ilvl="2" w:tplc="76B8050C" w:tentative="1">
      <w:start w:val="1"/>
      <w:numFmt w:val="lowerRoman"/>
      <w:lvlText w:val="%3."/>
      <w:lvlJc w:val="right"/>
      <w:pPr>
        <w:tabs>
          <w:tab w:val="num" w:pos="2644"/>
        </w:tabs>
        <w:ind w:left="2644" w:hanging="480"/>
      </w:pPr>
    </w:lvl>
    <w:lvl w:ilvl="3" w:tplc="DCBCC494" w:tentative="1">
      <w:start w:val="1"/>
      <w:numFmt w:val="decimal"/>
      <w:lvlText w:val="%4."/>
      <w:lvlJc w:val="left"/>
      <w:pPr>
        <w:tabs>
          <w:tab w:val="num" w:pos="3124"/>
        </w:tabs>
        <w:ind w:left="3124" w:hanging="480"/>
      </w:pPr>
    </w:lvl>
    <w:lvl w:ilvl="4" w:tplc="108882E8" w:tentative="1">
      <w:start w:val="1"/>
      <w:numFmt w:val="ideographTraditional"/>
      <w:lvlText w:val="%5、"/>
      <w:lvlJc w:val="left"/>
      <w:pPr>
        <w:tabs>
          <w:tab w:val="num" w:pos="3604"/>
        </w:tabs>
        <w:ind w:left="3604" w:hanging="480"/>
      </w:pPr>
    </w:lvl>
    <w:lvl w:ilvl="5" w:tplc="6DD4C472" w:tentative="1">
      <w:start w:val="1"/>
      <w:numFmt w:val="lowerRoman"/>
      <w:lvlText w:val="%6."/>
      <w:lvlJc w:val="right"/>
      <w:pPr>
        <w:tabs>
          <w:tab w:val="num" w:pos="4084"/>
        </w:tabs>
        <w:ind w:left="4084" w:hanging="480"/>
      </w:pPr>
    </w:lvl>
    <w:lvl w:ilvl="6" w:tplc="BB820A4A" w:tentative="1">
      <w:start w:val="1"/>
      <w:numFmt w:val="decimal"/>
      <w:lvlText w:val="%7."/>
      <w:lvlJc w:val="left"/>
      <w:pPr>
        <w:tabs>
          <w:tab w:val="num" w:pos="4564"/>
        </w:tabs>
        <w:ind w:left="4564" w:hanging="480"/>
      </w:pPr>
    </w:lvl>
    <w:lvl w:ilvl="7" w:tplc="1A081BD4" w:tentative="1">
      <w:start w:val="1"/>
      <w:numFmt w:val="ideographTraditional"/>
      <w:lvlText w:val="%8、"/>
      <w:lvlJc w:val="left"/>
      <w:pPr>
        <w:tabs>
          <w:tab w:val="num" w:pos="5044"/>
        </w:tabs>
        <w:ind w:left="5044" w:hanging="480"/>
      </w:pPr>
    </w:lvl>
    <w:lvl w:ilvl="8" w:tplc="10BC3778" w:tentative="1">
      <w:start w:val="1"/>
      <w:numFmt w:val="lowerRoman"/>
      <w:lvlText w:val="%9."/>
      <w:lvlJc w:val="right"/>
      <w:pPr>
        <w:tabs>
          <w:tab w:val="num" w:pos="5524"/>
        </w:tabs>
        <w:ind w:left="5524" w:hanging="480"/>
      </w:pPr>
    </w:lvl>
  </w:abstractNum>
  <w:abstractNum w:abstractNumId="19"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0" w15:restartNumberingAfterBreak="0">
    <w:nsid w:val="414D5723"/>
    <w:multiLevelType w:val="hybridMultilevel"/>
    <w:tmpl w:val="4E2C6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C0312"/>
    <w:multiLevelType w:val="hybridMultilevel"/>
    <w:tmpl w:val="7076CBC2"/>
    <w:lvl w:ilvl="0" w:tplc="1BE8102E">
      <w:start w:val="1"/>
      <w:numFmt w:val="decimal"/>
      <w:lvlText w:val="%1."/>
      <w:lvlJc w:val="left"/>
      <w:pPr>
        <w:tabs>
          <w:tab w:val="num" w:pos="1320"/>
        </w:tabs>
        <w:ind w:left="1320" w:hanging="360"/>
      </w:pPr>
      <w:rPr>
        <w:rFonts w:hint="eastAsia"/>
      </w:rPr>
    </w:lvl>
    <w:lvl w:ilvl="1" w:tplc="30D006E0" w:tentative="1">
      <w:start w:val="1"/>
      <w:numFmt w:val="ideographTraditional"/>
      <w:lvlText w:val="%2、"/>
      <w:lvlJc w:val="left"/>
      <w:pPr>
        <w:tabs>
          <w:tab w:val="num" w:pos="1920"/>
        </w:tabs>
        <w:ind w:left="1920" w:hanging="480"/>
      </w:pPr>
    </w:lvl>
    <w:lvl w:ilvl="2" w:tplc="087CF0FC" w:tentative="1">
      <w:start w:val="1"/>
      <w:numFmt w:val="lowerRoman"/>
      <w:lvlText w:val="%3."/>
      <w:lvlJc w:val="right"/>
      <w:pPr>
        <w:tabs>
          <w:tab w:val="num" w:pos="2400"/>
        </w:tabs>
        <w:ind w:left="2400" w:hanging="480"/>
      </w:pPr>
    </w:lvl>
    <w:lvl w:ilvl="3" w:tplc="93245778" w:tentative="1">
      <w:start w:val="1"/>
      <w:numFmt w:val="decimal"/>
      <w:lvlText w:val="%4."/>
      <w:lvlJc w:val="left"/>
      <w:pPr>
        <w:tabs>
          <w:tab w:val="num" w:pos="2880"/>
        </w:tabs>
        <w:ind w:left="2880" w:hanging="480"/>
      </w:pPr>
    </w:lvl>
    <w:lvl w:ilvl="4" w:tplc="0C5A2136" w:tentative="1">
      <w:start w:val="1"/>
      <w:numFmt w:val="ideographTraditional"/>
      <w:lvlText w:val="%5、"/>
      <w:lvlJc w:val="left"/>
      <w:pPr>
        <w:tabs>
          <w:tab w:val="num" w:pos="3360"/>
        </w:tabs>
        <w:ind w:left="3360" w:hanging="480"/>
      </w:pPr>
    </w:lvl>
    <w:lvl w:ilvl="5" w:tplc="5748CDD4" w:tentative="1">
      <w:start w:val="1"/>
      <w:numFmt w:val="lowerRoman"/>
      <w:lvlText w:val="%6."/>
      <w:lvlJc w:val="right"/>
      <w:pPr>
        <w:tabs>
          <w:tab w:val="num" w:pos="3840"/>
        </w:tabs>
        <w:ind w:left="3840" w:hanging="480"/>
      </w:pPr>
    </w:lvl>
    <w:lvl w:ilvl="6" w:tplc="D026E534" w:tentative="1">
      <w:start w:val="1"/>
      <w:numFmt w:val="decimal"/>
      <w:lvlText w:val="%7."/>
      <w:lvlJc w:val="left"/>
      <w:pPr>
        <w:tabs>
          <w:tab w:val="num" w:pos="4320"/>
        </w:tabs>
        <w:ind w:left="4320" w:hanging="480"/>
      </w:pPr>
    </w:lvl>
    <w:lvl w:ilvl="7" w:tplc="BC685726" w:tentative="1">
      <w:start w:val="1"/>
      <w:numFmt w:val="ideographTraditional"/>
      <w:lvlText w:val="%8、"/>
      <w:lvlJc w:val="left"/>
      <w:pPr>
        <w:tabs>
          <w:tab w:val="num" w:pos="4800"/>
        </w:tabs>
        <w:ind w:left="4800" w:hanging="480"/>
      </w:pPr>
    </w:lvl>
    <w:lvl w:ilvl="8" w:tplc="9E3AB7A8" w:tentative="1">
      <w:start w:val="1"/>
      <w:numFmt w:val="lowerRoman"/>
      <w:lvlText w:val="%9."/>
      <w:lvlJc w:val="right"/>
      <w:pPr>
        <w:tabs>
          <w:tab w:val="num" w:pos="5280"/>
        </w:tabs>
        <w:ind w:left="5280" w:hanging="480"/>
      </w:pPr>
    </w:lvl>
  </w:abstractNum>
  <w:abstractNum w:abstractNumId="22" w15:restartNumberingAfterBreak="0">
    <w:nsid w:val="4C841FB5"/>
    <w:multiLevelType w:val="hybridMultilevel"/>
    <w:tmpl w:val="14C42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9A6913"/>
    <w:multiLevelType w:val="hybridMultilevel"/>
    <w:tmpl w:val="15BE92D0"/>
    <w:lvl w:ilvl="0" w:tplc="4EDCB080">
      <w:start w:val="1"/>
      <w:numFmt w:val="taiwaneseCountingThousand"/>
      <w:lvlText w:val="(%1)"/>
      <w:lvlJc w:val="left"/>
      <w:pPr>
        <w:tabs>
          <w:tab w:val="num" w:pos="1080"/>
        </w:tabs>
        <w:ind w:left="1080" w:hanging="360"/>
      </w:pPr>
      <w:rPr>
        <w:rFonts w:hint="eastAsia"/>
      </w:rPr>
    </w:lvl>
    <w:lvl w:ilvl="1" w:tplc="B41AC286" w:tentative="1">
      <w:start w:val="1"/>
      <w:numFmt w:val="ideographTraditional"/>
      <w:lvlText w:val="%2、"/>
      <w:lvlJc w:val="left"/>
      <w:pPr>
        <w:tabs>
          <w:tab w:val="num" w:pos="1680"/>
        </w:tabs>
        <w:ind w:left="1680" w:hanging="480"/>
      </w:pPr>
    </w:lvl>
    <w:lvl w:ilvl="2" w:tplc="4476E830" w:tentative="1">
      <w:start w:val="1"/>
      <w:numFmt w:val="lowerRoman"/>
      <w:lvlText w:val="%3."/>
      <w:lvlJc w:val="right"/>
      <w:pPr>
        <w:tabs>
          <w:tab w:val="num" w:pos="2160"/>
        </w:tabs>
        <w:ind w:left="2160" w:hanging="480"/>
      </w:pPr>
    </w:lvl>
    <w:lvl w:ilvl="3" w:tplc="36E2FD0C" w:tentative="1">
      <w:start w:val="1"/>
      <w:numFmt w:val="decimal"/>
      <w:lvlText w:val="%4."/>
      <w:lvlJc w:val="left"/>
      <w:pPr>
        <w:tabs>
          <w:tab w:val="num" w:pos="2640"/>
        </w:tabs>
        <w:ind w:left="2640" w:hanging="480"/>
      </w:pPr>
    </w:lvl>
    <w:lvl w:ilvl="4" w:tplc="57C6AE36" w:tentative="1">
      <w:start w:val="1"/>
      <w:numFmt w:val="ideographTraditional"/>
      <w:lvlText w:val="%5、"/>
      <w:lvlJc w:val="left"/>
      <w:pPr>
        <w:tabs>
          <w:tab w:val="num" w:pos="3120"/>
        </w:tabs>
        <w:ind w:left="3120" w:hanging="480"/>
      </w:pPr>
    </w:lvl>
    <w:lvl w:ilvl="5" w:tplc="F1A6F012" w:tentative="1">
      <w:start w:val="1"/>
      <w:numFmt w:val="lowerRoman"/>
      <w:lvlText w:val="%6."/>
      <w:lvlJc w:val="right"/>
      <w:pPr>
        <w:tabs>
          <w:tab w:val="num" w:pos="3600"/>
        </w:tabs>
        <w:ind w:left="3600" w:hanging="480"/>
      </w:pPr>
    </w:lvl>
    <w:lvl w:ilvl="6" w:tplc="67E4366E" w:tentative="1">
      <w:start w:val="1"/>
      <w:numFmt w:val="decimal"/>
      <w:lvlText w:val="%7."/>
      <w:lvlJc w:val="left"/>
      <w:pPr>
        <w:tabs>
          <w:tab w:val="num" w:pos="4080"/>
        </w:tabs>
        <w:ind w:left="4080" w:hanging="480"/>
      </w:pPr>
    </w:lvl>
    <w:lvl w:ilvl="7" w:tplc="9A8A1CC2" w:tentative="1">
      <w:start w:val="1"/>
      <w:numFmt w:val="ideographTraditional"/>
      <w:lvlText w:val="%8、"/>
      <w:lvlJc w:val="left"/>
      <w:pPr>
        <w:tabs>
          <w:tab w:val="num" w:pos="4560"/>
        </w:tabs>
        <w:ind w:left="4560" w:hanging="480"/>
      </w:pPr>
    </w:lvl>
    <w:lvl w:ilvl="8" w:tplc="9A04F816" w:tentative="1">
      <w:start w:val="1"/>
      <w:numFmt w:val="lowerRoman"/>
      <w:lvlText w:val="%9."/>
      <w:lvlJc w:val="right"/>
      <w:pPr>
        <w:tabs>
          <w:tab w:val="num" w:pos="5040"/>
        </w:tabs>
        <w:ind w:left="5040" w:hanging="480"/>
      </w:pPr>
    </w:lvl>
  </w:abstractNum>
  <w:abstractNum w:abstractNumId="24"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28"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29"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30"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31"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0"/>
  </w:num>
  <w:num w:numId="2">
    <w:abstractNumId w:val="29"/>
  </w:num>
  <w:num w:numId="3">
    <w:abstractNumId w:val="10"/>
  </w:num>
  <w:num w:numId="4">
    <w:abstractNumId w:val="27"/>
  </w:num>
  <w:num w:numId="5">
    <w:abstractNumId w:val="14"/>
  </w:num>
  <w:num w:numId="6">
    <w:abstractNumId w:val="13"/>
  </w:num>
  <w:num w:numId="7">
    <w:abstractNumId w:val="33"/>
  </w:num>
  <w:num w:numId="8">
    <w:abstractNumId w:val="5"/>
  </w:num>
  <w:num w:numId="9">
    <w:abstractNumId w:val="4"/>
  </w:num>
  <w:num w:numId="10">
    <w:abstractNumId w:val="19"/>
  </w:num>
  <w:num w:numId="11">
    <w:abstractNumId w:val="0"/>
  </w:num>
  <w:num w:numId="12">
    <w:abstractNumId w:val="8"/>
  </w:num>
  <w:num w:numId="13">
    <w:abstractNumId w:val="6"/>
  </w:num>
  <w:num w:numId="14">
    <w:abstractNumId w:val="1"/>
  </w:num>
  <w:num w:numId="15">
    <w:abstractNumId w:val="7"/>
  </w:num>
  <w:num w:numId="16">
    <w:abstractNumId w:val="25"/>
  </w:num>
  <w:num w:numId="17">
    <w:abstractNumId w:val="16"/>
  </w:num>
  <w:num w:numId="18">
    <w:abstractNumId w:val="9"/>
  </w:num>
  <w:num w:numId="19">
    <w:abstractNumId w:val="18"/>
  </w:num>
  <w:num w:numId="20">
    <w:abstractNumId w:val="2"/>
  </w:num>
  <w:num w:numId="21">
    <w:abstractNumId w:val="23"/>
  </w:num>
  <w:num w:numId="22">
    <w:abstractNumId w:val="21"/>
  </w:num>
  <w:num w:numId="23">
    <w:abstractNumId w:val="15"/>
  </w:num>
  <w:num w:numId="24">
    <w:abstractNumId w:val="11"/>
  </w:num>
  <w:num w:numId="25">
    <w:abstractNumId w:val="28"/>
  </w:num>
  <w:num w:numId="26">
    <w:abstractNumId w:val="17"/>
  </w:num>
  <w:num w:numId="27">
    <w:abstractNumId w:val="31"/>
  </w:num>
  <w:num w:numId="28">
    <w:abstractNumId w:val="24"/>
  </w:num>
  <w:num w:numId="29">
    <w:abstractNumId w:val="3"/>
  </w:num>
  <w:num w:numId="30">
    <w:abstractNumId w:val="32"/>
  </w:num>
  <w:num w:numId="31">
    <w:abstractNumId w:val="26"/>
  </w:num>
  <w:num w:numId="32">
    <w:abstractNumId w:val="12"/>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1"/>
    <w:rsid w:val="000039E2"/>
    <w:rsid w:val="00011DAC"/>
    <w:rsid w:val="00012327"/>
    <w:rsid w:val="0005185B"/>
    <w:rsid w:val="00072FC1"/>
    <w:rsid w:val="00074355"/>
    <w:rsid w:val="0008478E"/>
    <w:rsid w:val="000915D3"/>
    <w:rsid w:val="00096D0D"/>
    <w:rsid w:val="000A0FA0"/>
    <w:rsid w:val="000B0DB0"/>
    <w:rsid w:val="000E11E7"/>
    <w:rsid w:val="000F307F"/>
    <w:rsid w:val="000F7D41"/>
    <w:rsid w:val="001238EA"/>
    <w:rsid w:val="001447C1"/>
    <w:rsid w:val="00150BE0"/>
    <w:rsid w:val="00160CB1"/>
    <w:rsid w:val="00182336"/>
    <w:rsid w:val="0019235F"/>
    <w:rsid w:val="00193C5F"/>
    <w:rsid w:val="001B4E12"/>
    <w:rsid w:val="001C2CBC"/>
    <w:rsid w:val="001C2CCF"/>
    <w:rsid w:val="001E1A45"/>
    <w:rsid w:val="001F430E"/>
    <w:rsid w:val="00215D7B"/>
    <w:rsid w:val="00250105"/>
    <w:rsid w:val="00265822"/>
    <w:rsid w:val="00276D01"/>
    <w:rsid w:val="002907CE"/>
    <w:rsid w:val="0029330B"/>
    <w:rsid w:val="00293B5B"/>
    <w:rsid w:val="002961F7"/>
    <w:rsid w:val="002A5E4B"/>
    <w:rsid w:val="002A6023"/>
    <w:rsid w:val="002B337D"/>
    <w:rsid w:val="002B7A4B"/>
    <w:rsid w:val="002C16EB"/>
    <w:rsid w:val="002C1858"/>
    <w:rsid w:val="002C65E0"/>
    <w:rsid w:val="002D0B5E"/>
    <w:rsid w:val="002D576E"/>
    <w:rsid w:val="002E2128"/>
    <w:rsid w:val="002F58D1"/>
    <w:rsid w:val="0030218A"/>
    <w:rsid w:val="003350B1"/>
    <w:rsid w:val="003509C4"/>
    <w:rsid w:val="003669CC"/>
    <w:rsid w:val="003669ED"/>
    <w:rsid w:val="003704AA"/>
    <w:rsid w:val="00381DE1"/>
    <w:rsid w:val="003A35C0"/>
    <w:rsid w:val="003A53F1"/>
    <w:rsid w:val="003A5E50"/>
    <w:rsid w:val="003B5ACF"/>
    <w:rsid w:val="003B77BF"/>
    <w:rsid w:val="003D007D"/>
    <w:rsid w:val="003D1101"/>
    <w:rsid w:val="003E2FD2"/>
    <w:rsid w:val="003F2253"/>
    <w:rsid w:val="0041584F"/>
    <w:rsid w:val="00423736"/>
    <w:rsid w:val="004316FE"/>
    <w:rsid w:val="004325B4"/>
    <w:rsid w:val="00467B57"/>
    <w:rsid w:val="00473BBB"/>
    <w:rsid w:val="00482CC7"/>
    <w:rsid w:val="00485FE9"/>
    <w:rsid w:val="00496317"/>
    <w:rsid w:val="004A3BCB"/>
    <w:rsid w:val="004A61B1"/>
    <w:rsid w:val="004B5A2A"/>
    <w:rsid w:val="004B6544"/>
    <w:rsid w:val="004C31A7"/>
    <w:rsid w:val="004F3158"/>
    <w:rsid w:val="004F72AE"/>
    <w:rsid w:val="005075A8"/>
    <w:rsid w:val="005317D0"/>
    <w:rsid w:val="005324C3"/>
    <w:rsid w:val="005439A9"/>
    <w:rsid w:val="00550A26"/>
    <w:rsid w:val="005541F3"/>
    <w:rsid w:val="00572DE1"/>
    <w:rsid w:val="00583335"/>
    <w:rsid w:val="005A5131"/>
    <w:rsid w:val="005B220C"/>
    <w:rsid w:val="005B60EB"/>
    <w:rsid w:val="005B6793"/>
    <w:rsid w:val="005E0137"/>
    <w:rsid w:val="005F0112"/>
    <w:rsid w:val="005F2A9C"/>
    <w:rsid w:val="005F6552"/>
    <w:rsid w:val="006049EA"/>
    <w:rsid w:val="006147A3"/>
    <w:rsid w:val="0062368A"/>
    <w:rsid w:val="00630365"/>
    <w:rsid w:val="00636EEE"/>
    <w:rsid w:val="006421A1"/>
    <w:rsid w:val="00653409"/>
    <w:rsid w:val="0065458E"/>
    <w:rsid w:val="006647AF"/>
    <w:rsid w:val="00665B38"/>
    <w:rsid w:val="006674DD"/>
    <w:rsid w:val="0067621D"/>
    <w:rsid w:val="006766BC"/>
    <w:rsid w:val="00686CF6"/>
    <w:rsid w:val="006944E6"/>
    <w:rsid w:val="00695F77"/>
    <w:rsid w:val="006A3D68"/>
    <w:rsid w:val="006A44C9"/>
    <w:rsid w:val="006A7A47"/>
    <w:rsid w:val="006C5D5E"/>
    <w:rsid w:val="006C77DD"/>
    <w:rsid w:val="006D738D"/>
    <w:rsid w:val="006E0081"/>
    <w:rsid w:val="006E3261"/>
    <w:rsid w:val="006F315F"/>
    <w:rsid w:val="00701F3E"/>
    <w:rsid w:val="00722638"/>
    <w:rsid w:val="0073452C"/>
    <w:rsid w:val="007602AF"/>
    <w:rsid w:val="00760980"/>
    <w:rsid w:val="00760CF0"/>
    <w:rsid w:val="00765E59"/>
    <w:rsid w:val="007753E3"/>
    <w:rsid w:val="007D398A"/>
    <w:rsid w:val="007E0D90"/>
    <w:rsid w:val="007E16AD"/>
    <w:rsid w:val="007F2918"/>
    <w:rsid w:val="00800402"/>
    <w:rsid w:val="008302D1"/>
    <w:rsid w:val="00841A07"/>
    <w:rsid w:val="00845A61"/>
    <w:rsid w:val="0085048F"/>
    <w:rsid w:val="00850E26"/>
    <w:rsid w:val="008517D4"/>
    <w:rsid w:val="0086323C"/>
    <w:rsid w:val="008635D1"/>
    <w:rsid w:val="00867FAA"/>
    <w:rsid w:val="00870152"/>
    <w:rsid w:val="008A3E3E"/>
    <w:rsid w:val="008A4072"/>
    <w:rsid w:val="008B2349"/>
    <w:rsid w:val="008B5227"/>
    <w:rsid w:val="008F085E"/>
    <w:rsid w:val="00901130"/>
    <w:rsid w:val="00904101"/>
    <w:rsid w:val="0092013D"/>
    <w:rsid w:val="0093081B"/>
    <w:rsid w:val="00931A04"/>
    <w:rsid w:val="0094241B"/>
    <w:rsid w:val="00951E28"/>
    <w:rsid w:val="00960458"/>
    <w:rsid w:val="0096165C"/>
    <w:rsid w:val="00965DDF"/>
    <w:rsid w:val="00975C0B"/>
    <w:rsid w:val="009C1132"/>
    <w:rsid w:val="009C2CDF"/>
    <w:rsid w:val="009D4977"/>
    <w:rsid w:val="009E1940"/>
    <w:rsid w:val="009E492A"/>
    <w:rsid w:val="009F41D6"/>
    <w:rsid w:val="009F67E9"/>
    <w:rsid w:val="00A03488"/>
    <w:rsid w:val="00A03928"/>
    <w:rsid w:val="00A0407C"/>
    <w:rsid w:val="00A358ED"/>
    <w:rsid w:val="00A412FE"/>
    <w:rsid w:val="00A46AB3"/>
    <w:rsid w:val="00A47579"/>
    <w:rsid w:val="00A50CBC"/>
    <w:rsid w:val="00A54128"/>
    <w:rsid w:val="00A73BC5"/>
    <w:rsid w:val="00A855CD"/>
    <w:rsid w:val="00A87192"/>
    <w:rsid w:val="00A933A2"/>
    <w:rsid w:val="00A959DA"/>
    <w:rsid w:val="00AB1743"/>
    <w:rsid w:val="00AC34C7"/>
    <w:rsid w:val="00AC648E"/>
    <w:rsid w:val="00AC6F26"/>
    <w:rsid w:val="00AD04E9"/>
    <w:rsid w:val="00AE2FF8"/>
    <w:rsid w:val="00B10CD6"/>
    <w:rsid w:val="00B1167A"/>
    <w:rsid w:val="00B13D83"/>
    <w:rsid w:val="00B16C83"/>
    <w:rsid w:val="00B23504"/>
    <w:rsid w:val="00B240BA"/>
    <w:rsid w:val="00B54869"/>
    <w:rsid w:val="00B54941"/>
    <w:rsid w:val="00B620CC"/>
    <w:rsid w:val="00B723DD"/>
    <w:rsid w:val="00B76468"/>
    <w:rsid w:val="00B85BB0"/>
    <w:rsid w:val="00B86E54"/>
    <w:rsid w:val="00B91EC8"/>
    <w:rsid w:val="00B931AE"/>
    <w:rsid w:val="00B97955"/>
    <w:rsid w:val="00B97EBD"/>
    <w:rsid w:val="00BA085A"/>
    <w:rsid w:val="00BB3F5E"/>
    <w:rsid w:val="00BB53F4"/>
    <w:rsid w:val="00BC709C"/>
    <w:rsid w:val="00BE7940"/>
    <w:rsid w:val="00C02149"/>
    <w:rsid w:val="00C02AD3"/>
    <w:rsid w:val="00C1618E"/>
    <w:rsid w:val="00C207E5"/>
    <w:rsid w:val="00C20870"/>
    <w:rsid w:val="00C254AA"/>
    <w:rsid w:val="00C26ECA"/>
    <w:rsid w:val="00C435CE"/>
    <w:rsid w:val="00C64815"/>
    <w:rsid w:val="00C67BC5"/>
    <w:rsid w:val="00C84353"/>
    <w:rsid w:val="00CA7CE3"/>
    <w:rsid w:val="00CC34EA"/>
    <w:rsid w:val="00CF607D"/>
    <w:rsid w:val="00D011DF"/>
    <w:rsid w:val="00D078EC"/>
    <w:rsid w:val="00D10476"/>
    <w:rsid w:val="00D116F1"/>
    <w:rsid w:val="00D135B8"/>
    <w:rsid w:val="00D15957"/>
    <w:rsid w:val="00D23565"/>
    <w:rsid w:val="00D33B06"/>
    <w:rsid w:val="00D5472A"/>
    <w:rsid w:val="00D71F03"/>
    <w:rsid w:val="00D85709"/>
    <w:rsid w:val="00D90913"/>
    <w:rsid w:val="00D90B9B"/>
    <w:rsid w:val="00D93CE1"/>
    <w:rsid w:val="00DC0FC4"/>
    <w:rsid w:val="00DC1720"/>
    <w:rsid w:val="00DC193B"/>
    <w:rsid w:val="00DD26DF"/>
    <w:rsid w:val="00E02F7A"/>
    <w:rsid w:val="00E32520"/>
    <w:rsid w:val="00E342EE"/>
    <w:rsid w:val="00E34555"/>
    <w:rsid w:val="00E371A1"/>
    <w:rsid w:val="00E46392"/>
    <w:rsid w:val="00E479A0"/>
    <w:rsid w:val="00E51A0C"/>
    <w:rsid w:val="00E54BAF"/>
    <w:rsid w:val="00E55016"/>
    <w:rsid w:val="00E56833"/>
    <w:rsid w:val="00E60E1E"/>
    <w:rsid w:val="00E6230F"/>
    <w:rsid w:val="00E73E2D"/>
    <w:rsid w:val="00E826B1"/>
    <w:rsid w:val="00E90187"/>
    <w:rsid w:val="00E922D6"/>
    <w:rsid w:val="00EA03CC"/>
    <w:rsid w:val="00EB5E02"/>
    <w:rsid w:val="00EC35E3"/>
    <w:rsid w:val="00EC42D6"/>
    <w:rsid w:val="00EC4EE3"/>
    <w:rsid w:val="00EE100D"/>
    <w:rsid w:val="00F144DC"/>
    <w:rsid w:val="00F2285A"/>
    <w:rsid w:val="00F24126"/>
    <w:rsid w:val="00F24DB9"/>
    <w:rsid w:val="00F27807"/>
    <w:rsid w:val="00F54790"/>
    <w:rsid w:val="00F96AA2"/>
    <w:rsid w:val="00FE0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665F19-C5B1-4DAE-851E-FF6BA9CC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81B"/>
    <w:pPr>
      <w:widowControl w:val="0"/>
    </w:pPr>
    <w:rPr>
      <w:kern w:val="2"/>
      <w:sz w:val="24"/>
    </w:rPr>
  </w:style>
  <w:style w:type="paragraph" w:styleId="1">
    <w:name w:val="heading 1"/>
    <w:basedOn w:val="a"/>
    <w:next w:val="a"/>
    <w:qFormat/>
    <w:rsid w:val="0093081B"/>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93081B"/>
  </w:style>
  <w:style w:type="paragraph" w:styleId="a4">
    <w:name w:val="Body Text Indent"/>
    <w:basedOn w:val="a"/>
    <w:rsid w:val="0093081B"/>
    <w:pPr>
      <w:ind w:left="480" w:hanging="480"/>
    </w:pPr>
    <w:rPr>
      <w:rFonts w:ascii="華康中楷體" w:eastAsia="華康中楷體"/>
    </w:rPr>
  </w:style>
  <w:style w:type="paragraph" w:styleId="a5">
    <w:name w:val="footer"/>
    <w:basedOn w:val="a"/>
    <w:rsid w:val="0093081B"/>
    <w:pPr>
      <w:tabs>
        <w:tab w:val="center" w:pos="4153"/>
        <w:tab w:val="right" w:pos="8306"/>
      </w:tabs>
      <w:snapToGrid w:val="0"/>
    </w:pPr>
    <w:rPr>
      <w:sz w:val="20"/>
    </w:rPr>
  </w:style>
  <w:style w:type="character" w:styleId="a6">
    <w:name w:val="page number"/>
    <w:basedOn w:val="a0"/>
    <w:rsid w:val="0093081B"/>
  </w:style>
  <w:style w:type="paragraph" w:styleId="a7">
    <w:name w:val="header"/>
    <w:basedOn w:val="a"/>
    <w:rsid w:val="0093081B"/>
    <w:pPr>
      <w:tabs>
        <w:tab w:val="center" w:pos="4153"/>
        <w:tab w:val="right" w:pos="8306"/>
      </w:tabs>
      <w:snapToGrid w:val="0"/>
    </w:pPr>
    <w:rPr>
      <w:sz w:val="20"/>
    </w:rPr>
  </w:style>
  <w:style w:type="character" w:styleId="a8">
    <w:name w:val="Hyperlink"/>
    <w:rsid w:val="0093081B"/>
    <w:rPr>
      <w:color w:val="0000FF"/>
      <w:u w:val="single"/>
    </w:rPr>
  </w:style>
  <w:style w:type="paragraph" w:styleId="2">
    <w:name w:val="Body Text Indent 2"/>
    <w:basedOn w:val="a"/>
    <w:rsid w:val="0093081B"/>
    <w:pPr>
      <w:spacing w:before="120" w:after="120" w:line="240" w:lineRule="exact"/>
      <w:ind w:left="1247" w:hanging="907"/>
      <w:jc w:val="both"/>
    </w:pPr>
    <w:rPr>
      <w:rFonts w:eastAsia="標楷體"/>
    </w:rPr>
  </w:style>
  <w:style w:type="table" w:styleId="a9">
    <w:name w:val="Table Grid"/>
    <w:basedOn w:val="a1"/>
    <w:rsid w:val="009308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rsid w:val="0093081B"/>
    <w:rPr>
      <w:rFonts w:eastAsia="標楷體"/>
      <w:color w:val="993366"/>
      <w:u w:val="single"/>
    </w:rPr>
  </w:style>
  <w:style w:type="paragraph" w:styleId="ab">
    <w:name w:val="Closing"/>
    <w:basedOn w:val="a"/>
    <w:rsid w:val="0093081B"/>
    <w:pPr>
      <w:ind w:leftChars="1800" w:left="100"/>
    </w:pPr>
    <w:rPr>
      <w:rFonts w:eastAsia="標楷體"/>
      <w:color w:val="993366"/>
      <w:u w:val="single"/>
    </w:rPr>
  </w:style>
  <w:style w:type="paragraph" w:styleId="ac">
    <w:name w:val="Balloon Text"/>
    <w:basedOn w:val="a"/>
    <w:semiHidden/>
    <w:rsid w:val="0093081B"/>
    <w:rPr>
      <w:rFonts w:ascii="Arial" w:hAnsi="Arial"/>
      <w:sz w:val="18"/>
      <w:szCs w:val="18"/>
    </w:rPr>
  </w:style>
  <w:style w:type="paragraph" w:customStyle="1" w:styleId="ad">
    <w:name w:val="字元 字元 字元 字元"/>
    <w:basedOn w:val="a"/>
    <w:rsid w:val="0093081B"/>
    <w:pPr>
      <w:widowControl/>
      <w:spacing w:after="160" w:line="240" w:lineRule="exact"/>
    </w:pPr>
    <w:rPr>
      <w:rFonts w:ascii="Arial" w:eastAsia="Times New Roman" w:hAnsi="Arial" w:cs="Arial"/>
      <w:kern w:val="0"/>
      <w:sz w:val="20"/>
      <w:lang w:eastAsia="en-US"/>
    </w:rPr>
  </w:style>
  <w:style w:type="paragraph" w:customStyle="1" w:styleId="Char">
    <w:name w:val="字元 字元 Char"/>
    <w:basedOn w:val="a"/>
    <w:rsid w:val="0093081B"/>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930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rsid w:val="0093081B"/>
    <w:rPr>
      <w:rFonts w:ascii="細明體" w:eastAsia="細明體" w:hAnsi="細明體" w:cs="細明體"/>
      <w:color w:val="33333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3325">
      <w:bodyDiv w:val="1"/>
      <w:marLeft w:val="0"/>
      <w:marRight w:val="0"/>
      <w:marTop w:val="0"/>
      <w:marBottom w:val="0"/>
      <w:divBdr>
        <w:top w:val="none" w:sz="0" w:space="0" w:color="auto"/>
        <w:left w:val="none" w:sz="0" w:space="0" w:color="auto"/>
        <w:bottom w:val="none" w:sz="0" w:space="0" w:color="auto"/>
        <w:right w:val="none" w:sz="0" w:space="0" w:color="auto"/>
      </w:divBdr>
    </w:div>
    <w:div w:id="18674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B4B4-6D70-4064-95CE-3E1522E3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435</Characters>
  <Application>Microsoft Office Word</Application>
  <DocSecurity>0</DocSecurity>
  <Lines>3</Lines>
  <Paragraphs>3</Paragraphs>
  <ScaleCrop>false</ScaleCrop>
  <Manager>行政院金融監督管理委員會</Manager>
  <Company>367020000D</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發行人募集與發行有價證券案件檢查表</dc:title>
  <dc:subject>修正「發行人募集與發行有價證券處理準則」規定應檢附書件</dc:subject>
  <dc:creator>行政院金融監督管理委員會證券期貨局</dc:creator>
  <cp:keywords>案件檢查表</cp:keywords>
  <dc:description>修正「發行人募集與發行有價證券處理準則」規定應檢附書件</dc:description>
  <cp:lastModifiedBy>吳俊瑩</cp:lastModifiedBy>
  <cp:revision>6</cp:revision>
  <cp:lastPrinted>2017-06-01T03:23:00Z</cp:lastPrinted>
  <dcterms:created xsi:type="dcterms:W3CDTF">2024-12-27T02:47:00Z</dcterms:created>
  <dcterms:modified xsi:type="dcterms:W3CDTF">2024-12-27T11:37:00Z</dcterms:modified>
  <cp:category>540;481;822</cp:category>
</cp:coreProperties>
</file>