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76123" w14:textId="61789992" w:rsidR="00BE28CD" w:rsidRPr="00475DF5" w:rsidRDefault="00BE28CD" w:rsidP="00035AD6">
      <w:pPr>
        <w:spacing w:line="44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475DF5">
        <w:rPr>
          <w:rFonts w:ascii="微軟正黑體" w:eastAsia="微軟正黑體" w:hAnsi="微軟正黑體" w:hint="eastAsia"/>
          <w:b/>
          <w:sz w:val="32"/>
          <w:szCs w:val="32"/>
        </w:rPr>
        <w:t>提升企業價值計畫內部簽核檢核表(範本)</w:t>
      </w:r>
    </w:p>
    <w:p w14:paraId="0A563770" w14:textId="77777777" w:rsidR="00BE28CD" w:rsidRPr="009F7D2A" w:rsidRDefault="00BE28CD" w:rsidP="00BE28CD">
      <w:pPr>
        <w:spacing w:line="400" w:lineRule="exact"/>
        <w:jc w:val="both"/>
        <w:rPr>
          <w:rFonts w:ascii="微軟正黑體" w:eastAsia="微軟正黑體" w:hAnsi="微軟正黑體"/>
          <w:bCs/>
          <w:color w:val="C00000"/>
          <w:sz w:val="28"/>
          <w:szCs w:val="28"/>
        </w:rPr>
      </w:pPr>
      <w:r w:rsidRPr="00475DF5">
        <w:rPr>
          <w:rFonts w:ascii="微軟正黑體" w:eastAsia="微軟正黑體" w:hAnsi="微軟正黑體" w:hint="eastAsia"/>
          <w:bCs/>
          <w:sz w:val="28"/>
          <w:szCs w:val="28"/>
        </w:rPr>
        <w:t>(</w:t>
      </w:r>
      <w:r w:rsidRPr="00475DF5">
        <w:rPr>
          <w:rFonts w:ascii="微軟正黑體" w:eastAsia="微軟正黑體" w:hAnsi="微軟正黑體"/>
          <w:bCs/>
          <w:sz w:val="28"/>
          <w:szCs w:val="28"/>
        </w:rPr>
        <w:t>本檢</w:t>
      </w:r>
      <w:r w:rsidRPr="00475DF5">
        <w:rPr>
          <w:rFonts w:ascii="微軟正黑體" w:eastAsia="微軟正黑體" w:hAnsi="微軟正黑體" w:hint="eastAsia"/>
          <w:bCs/>
          <w:sz w:val="28"/>
          <w:szCs w:val="28"/>
        </w:rPr>
        <w:t>核</w:t>
      </w:r>
      <w:r w:rsidRPr="00475DF5">
        <w:rPr>
          <w:rFonts w:ascii="微軟正黑體" w:eastAsia="微軟正黑體" w:hAnsi="微軟正黑體"/>
          <w:bCs/>
          <w:sz w:val="28"/>
          <w:szCs w:val="28"/>
        </w:rPr>
        <w:t>表設計目的係為提供上市公司</w:t>
      </w:r>
      <w:r w:rsidRPr="00475DF5">
        <w:rPr>
          <w:rFonts w:ascii="微軟正黑體" w:eastAsia="微軟正黑體" w:hAnsi="微軟正黑體" w:hint="eastAsia"/>
          <w:bCs/>
          <w:sz w:val="28"/>
          <w:szCs w:val="28"/>
        </w:rPr>
        <w:t>依「</w:t>
      </w:r>
      <w:hyperlink r:id="rId7" w:history="1">
        <w:r w:rsidRPr="00475DF5">
          <w:rPr>
            <w:rFonts w:ascii="微軟正黑體" w:eastAsia="微軟正黑體" w:hAnsi="微軟正黑體"/>
            <w:bCs/>
            <w:sz w:val="28"/>
            <w:szCs w:val="28"/>
          </w:rPr>
          <w:t>上市上櫃公司治理實務守則</w:t>
        </w:r>
      </w:hyperlink>
      <w:r w:rsidRPr="00475DF5">
        <w:rPr>
          <w:rFonts w:ascii="微軟正黑體" w:eastAsia="微軟正黑體" w:hAnsi="微軟正黑體" w:hint="eastAsia"/>
          <w:bCs/>
          <w:sz w:val="28"/>
          <w:szCs w:val="28"/>
        </w:rPr>
        <w:t>」編製「提升企業價值計畫」時</w:t>
      </w:r>
      <w:r w:rsidRPr="00475DF5">
        <w:rPr>
          <w:rFonts w:ascii="微軟正黑體" w:eastAsia="微軟正黑體" w:hAnsi="微軟正黑體"/>
          <w:bCs/>
          <w:sz w:val="28"/>
          <w:szCs w:val="28"/>
        </w:rPr>
        <w:t>之內部輔助檢查工具，</w:t>
      </w:r>
      <w:r w:rsidRPr="00475DF5">
        <w:rPr>
          <w:rFonts w:ascii="微軟正黑體" w:eastAsia="微軟正黑體" w:hAnsi="微軟正黑體" w:hint="eastAsia"/>
          <w:bCs/>
          <w:sz w:val="28"/>
          <w:szCs w:val="28"/>
        </w:rPr>
        <w:t>以提醒上市公司編製計畫時之注意事項、強化法規及內部控制之遵循</w:t>
      </w:r>
      <w:r w:rsidRPr="00475DF5">
        <w:rPr>
          <w:rFonts w:ascii="微軟正黑體" w:eastAsia="微軟正黑體" w:hAnsi="微軟正黑體"/>
          <w:bCs/>
          <w:sz w:val="28"/>
          <w:szCs w:val="28"/>
        </w:rPr>
        <w:t>。</w:t>
      </w:r>
      <w:r w:rsidRPr="00E903ED">
        <w:rPr>
          <w:rFonts w:ascii="微軟正黑體" w:eastAsia="微軟正黑體" w:hAnsi="微軟正黑體" w:hint="eastAsia"/>
          <w:bCs/>
          <w:sz w:val="28"/>
          <w:szCs w:val="28"/>
        </w:rPr>
        <w:t>提升企業價值計畫屬公司營運策略和業務計畫文件，應依公司內部控制制度及核決權限，完成必要之內部編製、覆核及核決程序後，</w:t>
      </w:r>
      <w:r w:rsidRPr="00E903ED">
        <w:rPr>
          <w:rFonts w:ascii="微軟正黑體" w:eastAsia="微軟正黑體" w:hAnsi="微軟正黑體"/>
          <w:bCs/>
          <w:sz w:val="28"/>
          <w:szCs w:val="28"/>
        </w:rPr>
        <w:t>即時對外申報或揭露。倘計畫內容進一步包含財務預測性資訊時，該部分資訊應適用公司依「公開發行公司建立內部控制制度處理準則」所建立之預測性資訊相關內部控制制度，且</w:t>
      </w:r>
      <w:r w:rsidRPr="00E903ED">
        <w:rPr>
          <w:rFonts w:ascii="微軟正黑體" w:eastAsia="微軟正黑體" w:hAnsi="微軟正黑體" w:hint="eastAsia"/>
          <w:bCs/>
          <w:sz w:val="28"/>
          <w:szCs w:val="28"/>
        </w:rPr>
        <w:t>上市公司應將本檢核表列為提升企業價值計畫公文簽核之參考附件。)</w:t>
      </w:r>
    </w:p>
    <w:p w14:paraId="28996E40" w14:textId="77777777" w:rsidR="00BE28CD" w:rsidRPr="00475DF5" w:rsidRDefault="00BE28CD" w:rsidP="00BE28CD">
      <w:pPr>
        <w:pStyle w:val="a9"/>
        <w:numPr>
          <w:ilvl w:val="0"/>
          <w:numId w:val="2"/>
        </w:numPr>
        <w:spacing w:line="440" w:lineRule="exact"/>
        <w:jc w:val="both"/>
        <w:rPr>
          <w:rFonts w:ascii="微軟正黑體" w:eastAsia="微軟正黑體" w:hAnsi="微軟正黑體"/>
          <w:b/>
          <w:sz w:val="28"/>
          <w:szCs w:val="28"/>
        </w:rPr>
      </w:pPr>
      <w:r w:rsidRPr="00475DF5">
        <w:rPr>
          <w:rFonts w:ascii="微軟正黑體" w:eastAsia="微軟正黑體" w:hAnsi="微軟正黑體" w:hint="eastAsia"/>
          <w:b/>
          <w:sz w:val="28"/>
          <w:szCs w:val="28"/>
        </w:rPr>
        <w:t>計畫基本資料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7938"/>
      </w:tblGrid>
      <w:tr w:rsidR="00BE28CD" w:rsidRPr="00475DF5" w14:paraId="5E12A279" w14:textId="77777777" w:rsidTr="00BE28CD">
        <w:tc>
          <w:tcPr>
            <w:tcW w:w="2689" w:type="dxa"/>
          </w:tcPr>
          <w:p w14:paraId="21275E51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計畫所屬年度：</w:t>
            </w:r>
          </w:p>
        </w:tc>
        <w:tc>
          <w:tcPr>
            <w:tcW w:w="7938" w:type="dxa"/>
          </w:tcPr>
          <w:p w14:paraId="7E5A022E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11X年(請填計畫上傳年度)</w:t>
            </w:r>
          </w:p>
        </w:tc>
      </w:tr>
      <w:tr w:rsidR="00BE28CD" w:rsidRPr="00475DF5" w14:paraId="2DA1A6A4" w14:textId="77777777" w:rsidTr="00BE28CD">
        <w:tc>
          <w:tcPr>
            <w:tcW w:w="2689" w:type="dxa"/>
          </w:tcPr>
          <w:p w14:paraId="0BEFD2A7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編製人員/單位：</w:t>
            </w:r>
          </w:p>
        </w:tc>
        <w:tc>
          <w:tcPr>
            <w:tcW w:w="7938" w:type="dxa"/>
          </w:tcPr>
          <w:p w14:paraId="0A710A37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BE28CD" w:rsidRPr="00475DF5" w14:paraId="4747B8CB" w14:textId="77777777" w:rsidTr="00BE28CD">
        <w:tc>
          <w:tcPr>
            <w:tcW w:w="2689" w:type="dxa"/>
          </w:tcPr>
          <w:p w14:paraId="2D82A012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編製完成日期：</w:t>
            </w:r>
          </w:p>
        </w:tc>
        <w:tc>
          <w:tcPr>
            <w:tcW w:w="7938" w:type="dxa"/>
          </w:tcPr>
          <w:p w14:paraId="074398C0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BE28CD" w:rsidRPr="00475DF5" w14:paraId="54F2A636" w14:textId="77777777" w:rsidTr="00BE28CD">
        <w:tc>
          <w:tcPr>
            <w:tcW w:w="2689" w:type="dxa"/>
          </w:tcPr>
          <w:p w14:paraId="258922AF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覆核人員/單位：</w:t>
            </w:r>
          </w:p>
        </w:tc>
        <w:tc>
          <w:tcPr>
            <w:tcW w:w="7938" w:type="dxa"/>
          </w:tcPr>
          <w:p w14:paraId="19044C5F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BE28CD" w:rsidRPr="00475DF5" w14:paraId="3C244696" w14:textId="77777777" w:rsidTr="00BE28CD">
        <w:tc>
          <w:tcPr>
            <w:tcW w:w="2689" w:type="dxa"/>
          </w:tcPr>
          <w:p w14:paraId="7BDF4D51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覆核日期：</w:t>
            </w:r>
          </w:p>
        </w:tc>
        <w:tc>
          <w:tcPr>
            <w:tcW w:w="7938" w:type="dxa"/>
          </w:tcPr>
          <w:p w14:paraId="40A60540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BE28CD" w:rsidRPr="00475DF5" w14:paraId="295C4A38" w14:textId="77777777" w:rsidTr="00BE28CD">
        <w:tc>
          <w:tcPr>
            <w:tcW w:w="2689" w:type="dxa"/>
          </w:tcPr>
          <w:p w14:paraId="56B4B644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決行人員/單位：</w:t>
            </w:r>
          </w:p>
        </w:tc>
        <w:tc>
          <w:tcPr>
            <w:tcW w:w="7938" w:type="dxa"/>
          </w:tcPr>
          <w:p w14:paraId="6DC13D5F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BE28CD" w:rsidRPr="00475DF5" w14:paraId="03E035C3" w14:textId="77777777" w:rsidTr="00BE28CD">
        <w:tc>
          <w:tcPr>
            <w:tcW w:w="2689" w:type="dxa"/>
          </w:tcPr>
          <w:p w14:paraId="5497FE9D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決行日期：</w:t>
            </w:r>
          </w:p>
        </w:tc>
        <w:tc>
          <w:tcPr>
            <w:tcW w:w="7938" w:type="dxa"/>
          </w:tcPr>
          <w:p w14:paraId="660FB6AF" w14:textId="77777777" w:rsidR="00BE28CD" w:rsidRPr="00475DF5" w:rsidRDefault="00BE28CD" w:rsidP="005D355F">
            <w:pPr>
              <w:spacing w:after="0" w:line="440" w:lineRule="exact"/>
              <w:jc w:val="both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</w:tbl>
    <w:p w14:paraId="4B7B39AE" w14:textId="77777777" w:rsidR="00BE28CD" w:rsidRPr="00E903ED" w:rsidRDefault="00BE28CD" w:rsidP="00BE28CD">
      <w:pPr>
        <w:spacing w:line="400" w:lineRule="exact"/>
        <w:jc w:val="both"/>
        <w:rPr>
          <w:rFonts w:ascii="微軟正黑體" w:eastAsia="微軟正黑體" w:hAnsi="微軟正黑體"/>
          <w:sz w:val="28"/>
          <w:szCs w:val="28"/>
        </w:rPr>
      </w:pPr>
      <w:r w:rsidRPr="00E903ED">
        <w:rPr>
          <w:rFonts w:ascii="微軟正黑體" w:eastAsia="微軟正黑體" w:hAnsi="微軟正黑體" w:hint="eastAsia"/>
          <w:sz w:val="28"/>
          <w:szCs w:val="28"/>
        </w:rPr>
        <w:t>(註：應依各公司內部核決權限辦理，若經提報董事會，則決行欄位請填董事會及董事會</w:t>
      </w:r>
      <w:r w:rsidRPr="00E903ED">
        <w:rPr>
          <w:rFonts w:ascii="微軟正黑體" w:eastAsia="微軟正黑體" w:hAnsi="微軟正黑體" w:hint="eastAsia"/>
          <w:bCs/>
          <w:sz w:val="28"/>
          <w:szCs w:val="28"/>
        </w:rPr>
        <w:t>日期</w:t>
      </w:r>
      <w:r w:rsidRPr="00E903ED">
        <w:rPr>
          <w:rFonts w:ascii="微軟正黑體" w:eastAsia="微軟正黑體" w:hAnsi="微軟正黑體" w:hint="eastAsia"/>
          <w:sz w:val="28"/>
          <w:szCs w:val="28"/>
        </w:rPr>
        <w:t>)</w:t>
      </w:r>
    </w:p>
    <w:p w14:paraId="516098C2" w14:textId="77777777" w:rsidR="00BE28CD" w:rsidRPr="009F7D2A" w:rsidRDefault="00BE28CD" w:rsidP="00BE28CD">
      <w:pPr>
        <w:pStyle w:val="a9"/>
        <w:numPr>
          <w:ilvl w:val="0"/>
          <w:numId w:val="2"/>
        </w:numPr>
        <w:spacing w:line="440" w:lineRule="exact"/>
        <w:jc w:val="both"/>
        <w:rPr>
          <w:rFonts w:ascii="微軟正黑體" w:eastAsia="微軟正黑體" w:hAnsi="微軟正黑體"/>
          <w:b/>
          <w:sz w:val="28"/>
          <w:szCs w:val="28"/>
        </w:rPr>
      </w:pPr>
      <w:r w:rsidRPr="009F7D2A">
        <w:rPr>
          <w:rFonts w:ascii="微軟正黑體" w:eastAsia="微軟正黑體" w:hAnsi="微軟正黑體" w:hint="eastAsia"/>
          <w:b/>
          <w:sz w:val="28"/>
          <w:szCs w:val="28"/>
        </w:rPr>
        <w:t>財務預測性資訊檢核事項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670"/>
      </w:tblGrid>
      <w:tr w:rsidR="00BE28CD" w:rsidRPr="00475DF5" w14:paraId="7F6AB4B6" w14:textId="77777777" w:rsidTr="00BE28CD">
        <w:trPr>
          <w:tblHeader/>
        </w:trPr>
        <w:tc>
          <w:tcPr>
            <w:tcW w:w="4962" w:type="dxa"/>
            <w:shd w:val="clear" w:color="auto" w:fill="E8E8E8"/>
          </w:tcPr>
          <w:p w14:paraId="01D12E6F" w14:textId="77777777" w:rsidR="00BE28CD" w:rsidRPr="00475DF5" w:rsidRDefault="00BE28CD" w:rsidP="005D355F">
            <w:pPr>
              <w:spacing w:after="0" w:line="52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檢核項目</w:t>
            </w:r>
          </w:p>
        </w:tc>
        <w:tc>
          <w:tcPr>
            <w:tcW w:w="5670" w:type="dxa"/>
            <w:shd w:val="clear" w:color="auto" w:fill="E8E8E8"/>
          </w:tcPr>
          <w:p w14:paraId="50EF17A3" w14:textId="77777777" w:rsidR="00BE28CD" w:rsidRPr="00475DF5" w:rsidRDefault="00BE28CD" w:rsidP="005D355F">
            <w:pPr>
              <w:spacing w:after="0" w:line="52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檢核情形</w:t>
            </w:r>
          </w:p>
        </w:tc>
      </w:tr>
      <w:tr w:rsidR="00BE28CD" w:rsidRPr="00475DF5" w14:paraId="4F181489" w14:textId="77777777" w:rsidTr="00BE28CD">
        <w:tc>
          <w:tcPr>
            <w:tcW w:w="4962" w:type="dxa"/>
            <w:vMerge w:val="restart"/>
          </w:tcPr>
          <w:p w14:paraId="3BA39B8F" w14:textId="77777777" w:rsidR="00BE28CD" w:rsidRPr="00475DF5" w:rsidRDefault="00BE28CD" w:rsidP="00BE28CD">
            <w:pPr>
              <w:pStyle w:val="a9"/>
              <w:numPr>
                <w:ilvl w:val="0"/>
                <w:numId w:val="1"/>
              </w:num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提升企業價值計畫內容包含預測性資訊(如營收、獲利、財務指標等)</w:t>
            </w:r>
          </w:p>
        </w:tc>
        <w:tc>
          <w:tcPr>
            <w:tcW w:w="5670" w:type="dxa"/>
          </w:tcPr>
          <w:p w14:paraId="0E939717" w14:textId="77777777" w:rsidR="00BE28CD" w:rsidRPr="00475DF5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是</w:t>
            </w:r>
          </w:p>
        </w:tc>
      </w:tr>
      <w:tr w:rsidR="00BE28CD" w:rsidRPr="00475DF5" w14:paraId="31410D17" w14:textId="77777777" w:rsidTr="00BE28CD">
        <w:trPr>
          <w:trHeight w:val="58"/>
        </w:trPr>
        <w:tc>
          <w:tcPr>
            <w:tcW w:w="4962" w:type="dxa"/>
            <w:vMerge/>
          </w:tcPr>
          <w:p w14:paraId="69D8BB09" w14:textId="77777777" w:rsidR="00BE28CD" w:rsidRPr="00475DF5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A8C3E5B" w14:textId="77777777" w:rsidR="00BE28CD" w:rsidRPr="00475DF5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否(續填第</w:t>
            </w:r>
            <w:r w:rsidRPr="00BE796E">
              <w:rPr>
                <w:rFonts w:ascii="微軟正黑體" w:eastAsia="微軟正黑體" w:hAnsi="微軟正黑體"/>
                <w:sz w:val="28"/>
                <w:szCs w:val="28"/>
              </w:rPr>
              <w:t>8</w:t>
            </w: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點)</w:t>
            </w:r>
          </w:p>
        </w:tc>
      </w:tr>
      <w:tr w:rsidR="00BE28CD" w:rsidRPr="00475DF5" w14:paraId="02D295AC" w14:textId="77777777" w:rsidTr="00BE28CD">
        <w:trPr>
          <w:trHeight w:val="58"/>
        </w:trPr>
        <w:tc>
          <w:tcPr>
            <w:tcW w:w="4962" w:type="dxa"/>
            <w:vMerge w:val="restart"/>
          </w:tcPr>
          <w:p w14:paraId="279FF1A4" w14:textId="77777777" w:rsidR="00BE28CD" w:rsidRPr="00475DF5" w:rsidRDefault="00BE28CD" w:rsidP="005D355F">
            <w:pPr>
              <w:spacing w:after="0" w:line="520" w:lineRule="exact"/>
              <w:ind w:leftChars="132" w:left="317" w:firstLine="2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1-1預測性資訊核決層級</w:t>
            </w:r>
          </w:p>
        </w:tc>
        <w:tc>
          <w:tcPr>
            <w:tcW w:w="5670" w:type="dxa"/>
          </w:tcPr>
          <w:p w14:paraId="3E05E297" w14:textId="77777777" w:rsidR="00BE28CD" w:rsidRPr="00475DF5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已提報</w:t>
            </w:r>
            <w:r w:rsidRPr="00475DF5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>11X</w:t>
            </w: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年</w:t>
            </w:r>
            <w:r w:rsidRPr="00475DF5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>X</w:t>
            </w: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月 </w:t>
            </w:r>
            <w:r w:rsidRPr="00475DF5">
              <w:rPr>
                <w:rFonts w:ascii="微軟正黑體" w:eastAsia="微軟正黑體" w:hAnsi="微軟正黑體" w:hint="eastAsia"/>
                <w:sz w:val="28"/>
                <w:szCs w:val="28"/>
                <w:u w:val="single"/>
              </w:rPr>
              <w:t>X</w:t>
            </w: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日董事會通過</w:t>
            </w:r>
          </w:p>
        </w:tc>
      </w:tr>
      <w:tr w:rsidR="00BE28CD" w:rsidRPr="00475DF5" w14:paraId="7A0B5CB6" w14:textId="77777777" w:rsidTr="00BE28CD">
        <w:trPr>
          <w:trHeight w:val="58"/>
        </w:trPr>
        <w:tc>
          <w:tcPr>
            <w:tcW w:w="4962" w:type="dxa"/>
            <w:vMerge/>
          </w:tcPr>
          <w:p w14:paraId="63C4A0A7" w14:textId="77777777" w:rsidR="00BE28CD" w:rsidRPr="00475DF5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9541737" w14:textId="77777777" w:rsidR="00BE28CD" w:rsidRPr="000732CB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u w:val="single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sym w:font="Wingdings" w:char="F06F"/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未提報董事會者，惟符合公司預測性資訊相關內部控制及核決權限規定，並取得董事長同意後發布。</w:t>
            </w:r>
          </w:p>
        </w:tc>
      </w:tr>
      <w:tr w:rsidR="00BE28CD" w:rsidRPr="00475DF5" w14:paraId="5842FDC1" w14:textId="77777777" w:rsidTr="00BE28CD">
        <w:trPr>
          <w:trHeight w:val="750"/>
        </w:trPr>
        <w:tc>
          <w:tcPr>
            <w:tcW w:w="4962" w:type="dxa"/>
            <w:vMerge w:val="restart"/>
          </w:tcPr>
          <w:p w14:paraId="20F0BA1D" w14:textId="77777777" w:rsidR="00BE28CD" w:rsidRPr="000732CB" w:rsidRDefault="00BE28CD" w:rsidP="00BE28CD">
            <w:pPr>
              <w:pStyle w:val="a9"/>
              <w:numPr>
                <w:ilvl w:val="0"/>
                <w:numId w:val="1"/>
              </w:num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屬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臺灣證券交易所股份有限公司「對上市公司應公開完整式財務預測之認定標準」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第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3條第1項第3款，視為已公開財務預測資訊，不適用應公開完整式財務預測之公司</w:t>
            </w:r>
          </w:p>
        </w:tc>
        <w:tc>
          <w:tcPr>
            <w:tcW w:w="5670" w:type="dxa"/>
          </w:tcPr>
          <w:p w14:paraId="4E20B816" w14:textId="77777777" w:rsidR="00BE28CD" w:rsidRPr="000732CB" w:rsidRDefault="00BE28CD" w:rsidP="005D355F">
            <w:pPr>
              <w:spacing w:after="0" w:line="52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sym w:font="Wingdings" w:char="F06F"/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是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(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續填第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4點)</w:t>
            </w:r>
          </w:p>
        </w:tc>
      </w:tr>
      <w:tr w:rsidR="00BE28CD" w:rsidRPr="00475DF5" w14:paraId="150D488F" w14:textId="77777777" w:rsidTr="00BE28CD">
        <w:tc>
          <w:tcPr>
            <w:tcW w:w="4962" w:type="dxa"/>
            <w:vMerge/>
          </w:tcPr>
          <w:p w14:paraId="1D0DC62F" w14:textId="77777777" w:rsidR="00BE28CD" w:rsidRPr="000732CB" w:rsidRDefault="00BE28CD" w:rsidP="00BE28CD">
            <w:pPr>
              <w:pStyle w:val="a9"/>
              <w:numPr>
                <w:ilvl w:val="0"/>
                <w:numId w:val="1"/>
              </w:num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478B039" w14:textId="77777777" w:rsidR="00BE28CD" w:rsidRPr="000732CB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sym w:font="Wingdings" w:char="F06F"/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否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(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續填第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3點)</w:t>
            </w:r>
          </w:p>
        </w:tc>
      </w:tr>
      <w:tr w:rsidR="00BE28CD" w:rsidRPr="004E0552" w14:paraId="00340DF6" w14:textId="77777777" w:rsidTr="00BE28CD">
        <w:tc>
          <w:tcPr>
            <w:tcW w:w="4962" w:type="dxa"/>
            <w:vMerge w:val="restart"/>
          </w:tcPr>
          <w:p w14:paraId="39A56539" w14:textId="77777777" w:rsidR="00BE28CD" w:rsidRPr="000732CB" w:rsidRDefault="00BE28CD" w:rsidP="00BE28CD">
            <w:pPr>
              <w:pStyle w:val="a9"/>
              <w:numPr>
                <w:ilvl w:val="0"/>
                <w:numId w:val="1"/>
              </w:num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lastRenderedPageBreak/>
              <w:t>已依「公開發行公司公開財務預測資訊處理準則」或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臺灣證券交易所股份有限公司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「對上市公司應公開完整式財務預測之認定標準」第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3條第1項第1、2款辦理公開財務預測資訊</w:t>
            </w:r>
          </w:p>
        </w:tc>
        <w:tc>
          <w:tcPr>
            <w:tcW w:w="5670" w:type="dxa"/>
          </w:tcPr>
          <w:p w14:paraId="19291C4B" w14:textId="77777777" w:rsidR="00BE28CD" w:rsidRPr="000732CB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sym w:font="Wingdings" w:char="F06F"/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是</w:t>
            </w:r>
          </w:p>
          <w:p w14:paraId="592F21E4" w14:textId="77777777" w:rsidR="00BE28CD" w:rsidRPr="000732CB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(召開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法說會公布日期：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u w:val="single"/>
              </w:rPr>
              <w:t>11X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年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u w:val="single"/>
              </w:rPr>
              <w:t>X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月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u w:val="single"/>
              </w:rPr>
              <w:t>X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日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/公布完整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式或簡式財測日期：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u w:val="single"/>
              </w:rPr>
              <w:t>11X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年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u w:val="single"/>
              </w:rPr>
              <w:t>X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月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 xml:space="preserve"> 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  <w:u w:val="single"/>
              </w:rPr>
              <w:t>X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日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)</w:t>
            </w:r>
          </w:p>
        </w:tc>
      </w:tr>
      <w:tr w:rsidR="00BE28CD" w:rsidRPr="00475DF5" w14:paraId="79534B94" w14:textId="77777777" w:rsidTr="00BE28CD">
        <w:trPr>
          <w:trHeight w:val="531"/>
        </w:trPr>
        <w:tc>
          <w:tcPr>
            <w:tcW w:w="4962" w:type="dxa"/>
            <w:vMerge/>
          </w:tcPr>
          <w:p w14:paraId="68083995" w14:textId="77777777" w:rsidR="00BE28CD" w:rsidRPr="00B47E20" w:rsidRDefault="00BE28CD" w:rsidP="005D355F">
            <w:pPr>
              <w:pStyle w:val="a9"/>
              <w:spacing w:after="0" w:line="520" w:lineRule="exact"/>
              <w:ind w:left="0"/>
              <w:jc w:val="both"/>
              <w:rPr>
                <w:rFonts w:ascii="微軟正黑體" w:eastAsia="微軟正黑體" w:hAnsi="微軟正黑體"/>
                <w:color w:val="FF0000"/>
                <w:sz w:val="28"/>
                <w:szCs w:val="28"/>
              </w:rPr>
            </w:pPr>
          </w:p>
        </w:tc>
        <w:tc>
          <w:tcPr>
            <w:tcW w:w="5670" w:type="dxa"/>
          </w:tcPr>
          <w:p w14:paraId="1E95F135" w14:textId="77777777" w:rsidR="00BE28CD" w:rsidRPr="000732CB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sym w:font="Wingdings" w:char="F06F"/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否</w:t>
            </w:r>
          </w:p>
        </w:tc>
      </w:tr>
      <w:tr w:rsidR="00BE28CD" w:rsidRPr="00475DF5" w14:paraId="66A34213" w14:textId="77777777" w:rsidTr="00BE28CD">
        <w:tc>
          <w:tcPr>
            <w:tcW w:w="4962" w:type="dxa"/>
          </w:tcPr>
          <w:p w14:paraId="0B8757FE" w14:textId="77777777" w:rsidR="00BE28CD" w:rsidRPr="004E0552" w:rsidRDefault="00BE28CD" w:rsidP="00BE28CD">
            <w:pPr>
              <w:pStyle w:val="a9"/>
              <w:numPr>
                <w:ilvl w:val="0"/>
                <w:numId w:val="1"/>
              </w:num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預測性資訊涵蓋期間</w:t>
            </w:r>
          </w:p>
        </w:tc>
        <w:tc>
          <w:tcPr>
            <w:tcW w:w="5670" w:type="dxa"/>
          </w:tcPr>
          <w:p w14:paraId="62475C0D" w14:textId="27EAB964" w:rsidR="00BE28CD" w:rsidRPr="000732CB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(如</w:t>
            </w:r>
            <w:r w:rsidRPr="00BE28CD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11X年~11X年、11X年第X季至11X年第X季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)</w:t>
            </w:r>
          </w:p>
        </w:tc>
      </w:tr>
      <w:tr w:rsidR="00BE28CD" w:rsidRPr="00475DF5" w14:paraId="5D19A02A" w14:textId="77777777" w:rsidTr="00BE28CD">
        <w:tc>
          <w:tcPr>
            <w:tcW w:w="4962" w:type="dxa"/>
          </w:tcPr>
          <w:p w14:paraId="202ACD90" w14:textId="77777777" w:rsidR="00BE28CD" w:rsidRPr="00475DF5" w:rsidRDefault="00BE28CD" w:rsidP="00BE28CD">
            <w:pPr>
              <w:pStyle w:val="a9"/>
              <w:numPr>
                <w:ilvl w:val="0"/>
                <w:numId w:val="1"/>
              </w:num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預測性資訊內容摘要</w:t>
            </w:r>
          </w:p>
        </w:tc>
        <w:tc>
          <w:tcPr>
            <w:tcW w:w="5670" w:type="dxa"/>
          </w:tcPr>
          <w:p w14:paraId="251CCE0D" w14:textId="77777777" w:rsidR="00BE28CD" w:rsidRPr="000732CB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(請包含指標及數據)</w:t>
            </w:r>
          </w:p>
        </w:tc>
      </w:tr>
      <w:tr w:rsidR="00BE28CD" w:rsidRPr="00475DF5" w14:paraId="388F0A74" w14:textId="77777777" w:rsidTr="00BE28CD">
        <w:tc>
          <w:tcPr>
            <w:tcW w:w="4962" w:type="dxa"/>
            <w:vMerge w:val="restart"/>
          </w:tcPr>
          <w:p w14:paraId="3B224420" w14:textId="77777777" w:rsidR="00BE28CD" w:rsidRPr="00475DF5" w:rsidRDefault="00BE28CD" w:rsidP="00BE28CD">
            <w:pPr>
              <w:pStyle w:val="a9"/>
              <w:numPr>
                <w:ilvl w:val="0"/>
                <w:numId w:val="1"/>
              </w:num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預測性資訊</w:t>
            </w: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加註警語</w:t>
            </w:r>
          </w:p>
          <w:p w14:paraId="2C9C4370" w14:textId="77777777" w:rsidR="00BE28CD" w:rsidRPr="00475DF5" w:rsidRDefault="00BE28CD" w:rsidP="005D355F">
            <w:pPr>
              <w:pStyle w:val="a9"/>
              <w:spacing w:after="0" w:line="520" w:lineRule="exact"/>
              <w:ind w:left="36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(如：本</w:t>
            </w:r>
            <w:r w:rsidRPr="00475DF5">
              <w:rPr>
                <w:rFonts w:ascii="微軟正黑體" w:eastAsia="微軟正黑體" w:hAnsi="微軟正黑體"/>
                <w:bCs/>
                <w:sz w:val="28"/>
                <w:szCs w:val="28"/>
              </w:rPr>
              <w:t>資料係屬預測性質，將來未必能完全達成，投資人應審慎評估</w:t>
            </w:r>
            <w:r w:rsidRPr="00475DF5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投資</w:t>
            </w:r>
            <w:r w:rsidRPr="00475DF5">
              <w:rPr>
                <w:rFonts w:ascii="微軟正黑體" w:eastAsia="微軟正黑體" w:hAnsi="微軟正黑體"/>
                <w:bCs/>
                <w:sz w:val="28"/>
                <w:szCs w:val="28"/>
              </w:rPr>
              <w:t>風險</w:t>
            </w:r>
            <w:r w:rsidRPr="00475DF5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)</w:t>
            </w:r>
          </w:p>
        </w:tc>
        <w:tc>
          <w:tcPr>
            <w:tcW w:w="5670" w:type="dxa"/>
          </w:tcPr>
          <w:p w14:paraId="01D3E1EE" w14:textId="77777777" w:rsidR="00BE28CD" w:rsidRPr="000732CB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sym w:font="Wingdings" w:char="F06F"/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是</w:t>
            </w:r>
          </w:p>
        </w:tc>
      </w:tr>
      <w:tr w:rsidR="00BE28CD" w:rsidRPr="00475DF5" w14:paraId="5FB1CDF9" w14:textId="77777777" w:rsidTr="00BE28CD">
        <w:trPr>
          <w:trHeight w:val="1550"/>
        </w:trPr>
        <w:tc>
          <w:tcPr>
            <w:tcW w:w="4962" w:type="dxa"/>
            <w:vMerge/>
          </w:tcPr>
          <w:p w14:paraId="6290D750" w14:textId="77777777" w:rsidR="00BE28CD" w:rsidRPr="00475DF5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5670" w:type="dxa"/>
          </w:tcPr>
          <w:p w14:paraId="69A0FA5E" w14:textId="77777777" w:rsidR="00BE28CD" w:rsidRPr="000732CB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sym w:font="Wingdings" w:char="F06F"/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否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(請確認是否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應揭示左列資訊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)</w:t>
            </w:r>
          </w:p>
        </w:tc>
      </w:tr>
      <w:tr w:rsidR="00BE28CD" w:rsidRPr="00475DF5" w14:paraId="636CCDFB" w14:textId="77777777" w:rsidTr="00BE28CD">
        <w:tc>
          <w:tcPr>
            <w:tcW w:w="4962" w:type="dxa"/>
            <w:vMerge w:val="restart"/>
          </w:tcPr>
          <w:p w14:paraId="4337C3E4" w14:textId="77777777" w:rsidR="00BE28CD" w:rsidRPr="00475DF5" w:rsidRDefault="00BE28CD" w:rsidP="00BE28CD">
            <w:pPr>
              <w:pStyle w:val="a9"/>
              <w:numPr>
                <w:ilvl w:val="0"/>
                <w:numId w:val="1"/>
              </w:num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計畫已揭露</w:t>
            </w:r>
            <w:r w:rsidRPr="00475DF5">
              <w:rPr>
                <w:rFonts w:ascii="微軟正黑體" w:eastAsia="微軟正黑體" w:hAnsi="微軟正黑體"/>
                <w:sz w:val="28"/>
                <w:szCs w:val="28"/>
              </w:rPr>
              <w:t>預測性資訊之重要基本假設</w:t>
            </w: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及</w:t>
            </w:r>
            <w:r w:rsidRPr="00475DF5">
              <w:rPr>
                <w:rFonts w:ascii="微軟正黑體" w:eastAsia="微軟正黑體" w:hAnsi="微軟正黑體"/>
                <w:sz w:val="28"/>
                <w:szCs w:val="28"/>
              </w:rPr>
              <w:t>估計基礎</w:t>
            </w:r>
          </w:p>
        </w:tc>
        <w:tc>
          <w:tcPr>
            <w:tcW w:w="5670" w:type="dxa"/>
          </w:tcPr>
          <w:p w14:paraId="4D62D406" w14:textId="77777777" w:rsidR="00BE28CD" w:rsidRPr="000732CB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sym w:font="Wingdings" w:char="F06F"/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是</w:t>
            </w:r>
          </w:p>
        </w:tc>
      </w:tr>
      <w:tr w:rsidR="00BE28CD" w:rsidRPr="00475DF5" w14:paraId="4335A2AA" w14:textId="77777777" w:rsidTr="00BE28CD">
        <w:trPr>
          <w:trHeight w:val="421"/>
        </w:trPr>
        <w:tc>
          <w:tcPr>
            <w:tcW w:w="4962" w:type="dxa"/>
            <w:vMerge/>
          </w:tcPr>
          <w:p w14:paraId="60271449" w14:textId="77777777" w:rsidR="00BE28CD" w:rsidRPr="00475DF5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6422942" w14:textId="77777777" w:rsidR="00BE28CD" w:rsidRPr="000732CB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sym w:font="Wingdings" w:char="F06F"/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否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(請確認是否</w:t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應揭示左列資訊</w:t>
            </w: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t>)</w:t>
            </w:r>
          </w:p>
        </w:tc>
      </w:tr>
      <w:tr w:rsidR="00BE28CD" w:rsidRPr="00475DF5" w14:paraId="0517115B" w14:textId="77777777" w:rsidTr="00BE28CD">
        <w:tc>
          <w:tcPr>
            <w:tcW w:w="4962" w:type="dxa"/>
            <w:vMerge w:val="restart"/>
          </w:tcPr>
          <w:p w14:paraId="7BAE3DDA" w14:textId="77777777" w:rsidR="00BE28CD" w:rsidRPr="00475DF5" w:rsidRDefault="00BE28CD" w:rsidP="00BE28CD">
            <w:pPr>
              <w:pStyle w:val="a9"/>
              <w:numPr>
                <w:ilvl w:val="0"/>
                <w:numId w:val="1"/>
              </w:num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E903ED">
              <w:rPr>
                <w:rFonts w:ascii="微軟正黑體" w:eastAsia="微軟正黑體" w:hAnsi="微軟正黑體"/>
                <w:sz w:val="28"/>
                <w:szCs w:val="28"/>
              </w:rPr>
              <w:t>歷次（含前次與本次）計畫所發布之預測性資訊有未能達成之情形時，於涵蓋期間內是否已依法令進行修正或更新。</w:t>
            </w:r>
          </w:p>
        </w:tc>
        <w:tc>
          <w:tcPr>
            <w:tcW w:w="5670" w:type="dxa"/>
          </w:tcPr>
          <w:p w14:paraId="6687DC30" w14:textId="77777777" w:rsidR="00BE28CD" w:rsidRPr="000732CB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sym w:font="Wingdings" w:char="F06F"/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是</w:t>
            </w:r>
          </w:p>
        </w:tc>
      </w:tr>
      <w:tr w:rsidR="00BE28CD" w:rsidRPr="00475DF5" w14:paraId="00118E8E" w14:textId="77777777" w:rsidTr="00BE28CD">
        <w:tc>
          <w:tcPr>
            <w:tcW w:w="4962" w:type="dxa"/>
            <w:vMerge/>
          </w:tcPr>
          <w:p w14:paraId="61018375" w14:textId="77777777" w:rsidR="00BE28CD" w:rsidRPr="00475DF5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5670" w:type="dxa"/>
          </w:tcPr>
          <w:p w14:paraId="121D1093" w14:textId="77777777" w:rsidR="00BE28CD" w:rsidRPr="000732CB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732CB"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  <w:sym w:font="Wingdings" w:char="F06F"/>
            </w:r>
            <w:r w:rsidRPr="000732CB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否</w:t>
            </w:r>
          </w:p>
        </w:tc>
      </w:tr>
      <w:tr w:rsidR="00BE28CD" w:rsidRPr="00475DF5" w14:paraId="30132192" w14:textId="77777777" w:rsidTr="00BE28CD">
        <w:tc>
          <w:tcPr>
            <w:tcW w:w="4962" w:type="dxa"/>
            <w:vMerge/>
          </w:tcPr>
          <w:p w14:paraId="3C968513" w14:textId="77777777" w:rsidR="00BE28CD" w:rsidRPr="00475DF5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57BF92D" w14:textId="77777777" w:rsidR="00BE28CD" w:rsidRPr="00475DF5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r w:rsidRPr="00475DF5">
              <w:rPr>
                <w:rFonts w:ascii="微軟正黑體" w:eastAsia="微軟正黑體" w:hAnsi="微軟正黑體" w:hint="eastAsia"/>
                <w:sz w:val="28"/>
                <w:szCs w:val="28"/>
              </w:rPr>
              <w:t>不適用</w:t>
            </w:r>
          </w:p>
        </w:tc>
      </w:tr>
      <w:tr w:rsidR="00BE28CD" w:rsidRPr="00475DF5" w14:paraId="36C59E95" w14:textId="77777777" w:rsidTr="00BE28CD">
        <w:tc>
          <w:tcPr>
            <w:tcW w:w="4962" w:type="dxa"/>
            <w:vMerge w:val="restart"/>
          </w:tcPr>
          <w:p w14:paraId="68FB9901" w14:textId="77777777" w:rsidR="00BE28CD" w:rsidRPr="00766A63" w:rsidRDefault="00BE28CD" w:rsidP="00BE28CD">
            <w:pPr>
              <w:pStyle w:val="a9"/>
              <w:numPr>
                <w:ilvl w:val="0"/>
                <w:numId w:val="1"/>
              </w:num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F4460A">
              <w:rPr>
                <w:rFonts w:ascii="微軟正黑體" w:eastAsia="微軟正黑體" w:hAnsi="微軟正黑體" w:hint="eastAsia"/>
                <w:sz w:val="28"/>
                <w:szCs w:val="28"/>
              </w:rPr>
              <w:t>計畫應</w:t>
            </w:r>
            <w:r w:rsidRPr="00F4460A">
              <w:rPr>
                <w:rFonts w:ascii="微軟正黑體" w:eastAsia="微軟正黑體" w:hAnsi="微軟正黑體"/>
                <w:sz w:val="28"/>
                <w:szCs w:val="28"/>
              </w:rPr>
              <w:t>依公司內部控制制度辦理，包含編製、覆核、核決程序、核決權限及對外揭露時點。</w:t>
            </w:r>
          </w:p>
        </w:tc>
        <w:tc>
          <w:tcPr>
            <w:tcW w:w="5670" w:type="dxa"/>
          </w:tcPr>
          <w:p w14:paraId="1729B9B2" w14:textId="77777777" w:rsidR="00BE28CD" w:rsidRPr="00766A63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66A63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sym w:font="Wingdings" w:char="F06F"/>
            </w:r>
            <w:r w:rsidRPr="00766A63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是</w:t>
            </w:r>
          </w:p>
        </w:tc>
      </w:tr>
      <w:tr w:rsidR="00BE28CD" w:rsidRPr="00475DF5" w14:paraId="00C8BEDB" w14:textId="77777777" w:rsidTr="00BE28CD">
        <w:tc>
          <w:tcPr>
            <w:tcW w:w="4962" w:type="dxa"/>
            <w:vMerge/>
          </w:tcPr>
          <w:p w14:paraId="56618774" w14:textId="77777777" w:rsidR="00BE28CD" w:rsidRPr="002534D5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dstrike/>
                <w:sz w:val="28"/>
                <w:szCs w:val="28"/>
              </w:rPr>
            </w:pPr>
          </w:p>
        </w:tc>
        <w:tc>
          <w:tcPr>
            <w:tcW w:w="5670" w:type="dxa"/>
          </w:tcPr>
          <w:p w14:paraId="7696585C" w14:textId="77777777" w:rsidR="00BE28CD" w:rsidRPr="00766A63" w:rsidRDefault="00BE28CD" w:rsidP="005D355F">
            <w:pPr>
              <w:spacing w:after="0" w:line="52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66A63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sym w:font="Wingdings" w:char="F06F"/>
            </w:r>
            <w:r w:rsidRPr="00766A63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否</w:t>
            </w:r>
          </w:p>
        </w:tc>
      </w:tr>
    </w:tbl>
    <w:p w14:paraId="304E8DBC" w14:textId="77777777" w:rsidR="00BE28CD" w:rsidRPr="00475DF5" w:rsidRDefault="00BE28CD" w:rsidP="00BE28CD">
      <w:pPr>
        <w:spacing w:line="400" w:lineRule="exact"/>
        <w:jc w:val="both"/>
        <w:rPr>
          <w:rFonts w:ascii="微軟正黑體" w:eastAsia="微軟正黑體" w:hAnsi="微軟正黑體"/>
          <w:sz w:val="28"/>
          <w:szCs w:val="28"/>
        </w:rPr>
      </w:pPr>
      <w:r w:rsidRPr="00475DF5">
        <w:rPr>
          <w:rFonts w:ascii="微軟正黑體" w:eastAsia="微軟正黑體" w:hAnsi="微軟正黑體" w:hint="eastAsia"/>
          <w:bCs/>
          <w:sz w:val="28"/>
          <w:szCs w:val="28"/>
        </w:rPr>
        <w:t>註：上市公司可自行依其內部控制制度相關規定增加檢查項目，但不建議刪除檢查項</w:t>
      </w:r>
      <w:r w:rsidRPr="00475DF5">
        <w:rPr>
          <w:rFonts w:ascii="微軟正黑體" w:eastAsia="微軟正黑體" w:hAnsi="微軟正黑體"/>
          <w:bCs/>
          <w:sz w:val="28"/>
          <w:szCs w:val="28"/>
        </w:rPr>
        <w:t>。</w:t>
      </w:r>
    </w:p>
    <w:p w14:paraId="50A02549" w14:textId="77777777" w:rsidR="00BE28CD" w:rsidRPr="00475DF5" w:rsidRDefault="00BE28CD" w:rsidP="00BE28CD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  <w:b/>
          <w:sz w:val="28"/>
          <w:szCs w:val="28"/>
        </w:rPr>
      </w:pPr>
      <w:r w:rsidRPr="00475DF5">
        <w:rPr>
          <w:rFonts w:ascii="微軟正黑體" w:eastAsia="微軟正黑體" w:hAnsi="微軟正黑體" w:hint="eastAsia"/>
          <w:b/>
          <w:sz w:val="28"/>
          <w:szCs w:val="28"/>
        </w:rPr>
        <w:t>資料保存</w:t>
      </w:r>
    </w:p>
    <w:p w14:paraId="6CB0F198" w14:textId="2AC34B82" w:rsidR="00612066" w:rsidRPr="00BE28CD" w:rsidRDefault="00BE28CD" w:rsidP="00BE28CD">
      <w:pPr>
        <w:spacing w:line="400" w:lineRule="exact"/>
        <w:jc w:val="both"/>
      </w:pPr>
      <w:r w:rsidRPr="00475DF5">
        <w:rPr>
          <w:rFonts w:ascii="微軟正黑體" w:eastAsia="微軟正黑體" w:hAnsi="微軟正黑體" w:hint="eastAsia"/>
          <w:bCs/>
          <w:sz w:val="28"/>
          <w:szCs w:val="28"/>
        </w:rPr>
        <w:t>提升企業價值計畫及本檢核表</w:t>
      </w:r>
      <w:r w:rsidRPr="004E0552">
        <w:rPr>
          <w:rFonts w:ascii="微軟正黑體" w:eastAsia="微軟正黑體" w:hAnsi="微軟正黑體"/>
          <w:bCs/>
          <w:sz w:val="28"/>
          <w:szCs w:val="28"/>
        </w:rPr>
        <w:t>應以書面作成紀錄，倘以電子方式</w:t>
      </w:r>
      <w:r w:rsidRPr="004E0552">
        <w:rPr>
          <w:rFonts w:ascii="微軟正黑體" w:eastAsia="微軟正黑體" w:hAnsi="微軟正黑體" w:hint="eastAsia"/>
          <w:bCs/>
          <w:sz w:val="28"/>
          <w:szCs w:val="28"/>
        </w:rPr>
        <w:t>評估或</w:t>
      </w:r>
      <w:r w:rsidRPr="004E0552">
        <w:rPr>
          <w:rFonts w:ascii="微軟正黑體" w:eastAsia="微軟正黑體" w:hAnsi="微軟正黑體"/>
          <w:bCs/>
          <w:sz w:val="28"/>
          <w:szCs w:val="28"/>
        </w:rPr>
        <w:t>陳核者，</w:t>
      </w:r>
      <w:r w:rsidRPr="004E0552">
        <w:rPr>
          <w:rFonts w:ascii="微軟正黑體" w:eastAsia="微軟正黑體" w:hAnsi="微軟正黑體" w:hint="eastAsia"/>
          <w:bCs/>
          <w:sz w:val="28"/>
          <w:szCs w:val="28"/>
        </w:rPr>
        <w:t>事後建議以</w:t>
      </w:r>
      <w:r w:rsidRPr="004E0552">
        <w:rPr>
          <w:rFonts w:ascii="微軟正黑體" w:eastAsia="微軟正黑體" w:hAnsi="微軟正黑體"/>
          <w:bCs/>
          <w:sz w:val="28"/>
          <w:szCs w:val="28"/>
        </w:rPr>
        <w:t>書面</w:t>
      </w:r>
      <w:r w:rsidRPr="004E0552">
        <w:rPr>
          <w:rFonts w:ascii="微軟正黑體" w:eastAsia="微軟正黑體" w:hAnsi="微軟正黑體" w:hint="eastAsia"/>
          <w:bCs/>
          <w:sz w:val="28"/>
          <w:szCs w:val="28"/>
        </w:rPr>
        <w:t>方式併同簽核軌跡</w:t>
      </w:r>
      <w:r w:rsidRPr="004E0552">
        <w:rPr>
          <w:rFonts w:ascii="微軟正黑體" w:eastAsia="微軟正黑體" w:hAnsi="微軟正黑體"/>
          <w:bCs/>
          <w:sz w:val="28"/>
          <w:szCs w:val="28"/>
        </w:rPr>
        <w:t>歸檔</w:t>
      </w:r>
      <w:r w:rsidRPr="004E0552">
        <w:rPr>
          <w:rFonts w:ascii="微軟正黑體" w:eastAsia="微軟正黑體" w:hAnsi="微軟正黑體" w:hint="eastAsia"/>
          <w:bCs/>
          <w:sz w:val="28"/>
          <w:szCs w:val="28"/>
        </w:rPr>
        <w:t>。</w:t>
      </w:r>
      <w:r w:rsidRPr="004E0552">
        <w:rPr>
          <w:rFonts w:ascii="微軟正黑體" w:eastAsia="微軟正黑體" w:hAnsi="微軟正黑體"/>
          <w:bCs/>
          <w:sz w:val="28"/>
          <w:szCs w:val="28"/>
        </w:rPr>
        <w:t>前開</w:t>
      </w:r>
      <w:r w:rsidRPr="004E0552">
        <w:rPr>
          <w:rFonts w:ascii="微軟正黑體" w:eastAsia="微軟正黑體" w:hAnsi="微軟正黑體" w:hint="eastAsia"/>
          <w:bCs/>
          <w:sz w:val="28"/>
          <w:szCs w:val="28"/>
        </w:rPr>
        <w:t>計畫、檢核表</w:t>
      </w:r>
      <w:r w:rsidRPr="004E0552">
        <w:rPr>
          <w:rFonts w:ascii="微軟正黑體" w:eastAsia="微軟正黑體" w:hAnsi="微軟正黑體"/>
          <w:bCs/>
          <w:sz w:val="28"/>
          <w:szCs w:val="28"/>
        </w:rPr>
        <w:t>及相關資料應至少保存</w:t>
      </w:r>
      <w:r w:rsidRPr="004E0552">
        <w:rPr>
          <w:rFonts w:ascii="微軟正黑體" w:eastAsia="微軟正黑體" w:hAnsi="微軟正黑體" w:hint="eastAsia"/>
          <w:bCs/>
          <w:sz w:val="28"/>
          <w:szCs w:val="28"/>
        </w:rPr>
        <w:t>X</w:t>
      </w:r>
      <w:r w:rsidRPr="004E0552">
        <w:rPr>
          <w:rFonts w:ascii="微軟正黑體" w:eastAsia="微軟正黑體" w:hAnsi="微軟正黑體"/>
          <w:bCs/>
          <w:sz w:val="28"/>
          <w:szCs w:val="28"/>
        </w:rPr>
        <w:t>年</w:t>
      </w:r>
      <w:r w:rsidRPr="004E0552">
        <w:rPr>
          <w:rFonts w:ascii="微軟正黑體" w:eastAsia="微軟正黑體" w:hAnsi="微軟正黑體" w:hint="eastAsia"/>
          <w:bCs/>
          <w:sz w:val="28"/>
          <w:szCs w:val="28"/>
        </w:rPr>
        <w:t>(依各公司內部文件保存期限規定辦理)。</w:t>
      </w:r>
    </w:p>
    <w:sectPr w:rsidR="00612066" w:rsidRPr="00BE28CD" w:rsidSect="00BE28CD">
      <w:footerReference w:type="default" r:id="rId8"/>
      <w:pgSz w:w="11906" w:h="16838"/>
      <w:pgMar w:top="709" w:right="566" w:bottom="568" w:left="567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F415A" w14:textId="77777777" w:rsidR="00060EB9" w:rsidRDefault="00060EB9" w:rsidP="00612066">
      <w:pPr>
        <w:spacing w:after="0" w:line="240" w:lineRule="auto"/>
      </w:pPr>
      <w:r>
        <w:separator/>
      </w:r>
    </w:p>
  </w:endnote>
  <w:endnote w:type="continuationSeparator" w:id="0">
    <w:p w14:paraId="2E41E4E5" w14:textId="77777777" w:rsidR="00060EB9" w:rsidRDefault="00060EB9" w:rsidP="00612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3241E" w14:textId="77777777" w:rsidR="00612066" w:rsidRDefault="00612066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TW"/>
      </w:rPr>
      <w:t>1</w:t>
    </w:r>
    <w:r>
      <w:fldChar w:fldCharType="end"/>
    </w:r>
  </w:p>
  <w:p w14:paraId="017D7655" w14:textId="77777777" w:rsidR="00612066" w:rsidRDefault="0061206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6C072" w14:textId="77777777" w:rsidR="00060EB9" w:rsidRDefault="00060EB9" w:rsidP="00612066">
      <w:pPr>
        <w:spacing w:after="0" w:line="240" w:lineRule="auto"/>
      </w:pPr>
      <w:r>
        <w:separator/>
      </w:r>
    </w:p>
  </w:footnote>
  <w:footnote w:type="continuationSeparator" w:id="0">
    <w:p w14:paraId="040F1FA2" w14:textId="77777777" w:rsidR="00060EB9" w:rsidRDefault="00060EB9" w:rsidP="00612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42FBB"/>
    <w:multiLevelType w:val="hybridMultilevel"/>
    <w:tmpl w:val="7E8C4AAE"/>
    <w:lvl w:ilvl="0" w:tplc="978406E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9381126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EDF09A5"/>
    <w:multiLevelType w:val="hybridMultilevel"/>
    <w:tmpl w:val="D7EE3F84"/>
    <w:lvl w:ilvl="0" w:tplc="3FD666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32670305">
    <w:abstractNumId w:val="1"/>
  </w:num>
  <w:num w:numId="2" w16cid:durableId="1030112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066"/>
    <w:rsid w:val="00035AD6"/>
    <w:rsid w:val="00060EB9"/>
    <w:rsid w:val="002002C6"/>
    <w:rsid w:val="00210743"/>
    <w:rsid w:val="0037499B"/>
    <w:rsid w:val="003E17D6"/>
    <w:rsid w:val="00600960"/>
    <w:rsid w:val="00612066"/>
    <w:rsid w:val="00675477"/>
    <w:rsid w:val="00AA1979"/>
    <w:rsid w:val="00B36124"/>
    <w:rsid w:val="00BE28CD"/>
    <w:rsid w:val="00EE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BA24C"/>
  <w15:chartTrackingRefBased/>
  <w15:docId w15:val="{9083E2DE-309C-44A5-AFED-8D41179A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066"/>
    <w:pPr>
      <w:widowControl w:val="0"/>
    </w:pPr>
    <w:rPr>
      <w:rFonts w:ascii="Aptos" w:eastAsia="新細明體" w:hAnsi="Aptos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20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2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206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206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20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206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206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206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206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120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120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1206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120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120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120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120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120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120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20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12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20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120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2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120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20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20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2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120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2066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6120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612066"/>
    <w:rPr>
      <w:rFonts w:ascii="Aptos" w:eastAsia="新細明體" w:hAnsi="Aptos" w:cs="Times New Roman"/>
      <w:sz w:val="20"/>
      <w:szCs w:val="20"/>
      <w14:ligatures w14:val="none"/>
    </w:rPr>
  </w:style>
  <w:style w:type="paragraph" w:styleId="af0">
    <w:name w:val="header"/>
    <w:basedOn w:val="a"/>
    <w:link w:val="af1"/>
    <w:uiPriority w:val="99"/>
    <w:unhideWhenUsed/>
    <w:rsid w:val="006120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612066"/>
    <w:rPr>
      <w:rFonts w:ascii="Aptos" w:eastAsia="新細明體" w:hAnsi="Aptos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rootlaw.com.tw/LawContent.aspx?LawID=A040390051088100-11308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王惠君</dc:creator>
  <cp:keywords/>
  <dc:description/>
  <cp:lastModifiedBy>王惠君</cp:lastModifiedBy>
  <cp:revision>5</cp:revision>
  <cp:lastPrinted>2026-10-19T03:22:00Z</cp:lastPrinted>
  <dcterms:created xsi:type="dcterms:W3CDTF">2026-10-19T02:00:00Z</dcterms:created>
  <dcterms:modified xsi:type="dcterms:W3CDTF">2026-10-19T03:39:00Z</dcterms:modified>
</cp:coreProperties>
</file>